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C8F" w:rsidRPr="00CD44A3" w:rsidRDefault="00377A22" w:rsidP="00B76C8F">
      <w:pPr>
        <w:jc w:val="center"/>
      </w:pPr>
      <w:r w:rsidRPr="00CD44A3">
        <w:fldChar w:fldCharType="begin"/>
      </w:r>
      <w:r w:rsidR="00B76C8F" w:rsidRPr="00CD44A3">
        <w:instrText xml:space="preserve"> SEQ CHAPTER \h \r 1</w:instrText>
      </w:r>
      <w:r w:rsidRPr="00CD44A3">
        <w:fldChar w:fldCharType="end"/>
      </w:r>
      <w:r w:rsidR="00B76C8F" w:rsidRPr="00CD44A3">
        <w:t>UNITED STATES DISTRICT COURT</w:t>
      </w:r>
    </w:p>
    <w:p w:rsidR="00B76C8F" w:rsidRPr="00CD44A3" w:rsidRDefault="00B76C8F" w:rsidP="00B76C8F">
      <w:pPr>
        <w:jc w:val="center"/>
      </w:pPr>
      <w:r w:rsidRPr="00CD44A3">
        <w:t>DISTRICT OF MARYLAND</w:t>
      </w:r>
    </w:p>
    <w:p w:rsidR="00B76C8F" w:rsidRPr="00CD44A3" w:rsidRDefault="00B76C8F" w:rsidP="00B76C8F">
      <w:pPr>
        <w:jc w:val="center"/>
      </w:pPr>
      <w:r w:rsidRPr="00CD44A3">
        <w:t>BALTIMORE DIVISION</w:t>
      </w:r>
    </w:p>
    <w:p w:rsidR="00B76C8F" w:rsidRPr="00CD44A3" w:rsidRDefault="00B76C8F" w:rsidP="00B76C8F">
      <w:pPr>
        <w:jc w:val="center"/>
      </w:pPr>
    </w:p>
    <w:p w:rsidR="00B76C8F" w:rsidRPr="00CD44A3" w:rsidRDefault="00B76C8F" w:rsidP="00B76C8F">
      <w:r w:rsidRPr="00CD44A3">
        <w:tab/>
      </w:r>
      <w:r w:rsidRPr="00CD44A3">
        <w:tab/>
      </w:r>
      <w:r w:rsidRPr="00CD44A3">
        <w:tab/>
      </w:r>
      <w:r w:rsidRPr="00CD44A3">
        <w:tab/>
      </w:r>
      <w:r w:rsidRPr="00CD44A3">
        <w:tab/>
      </w:r>
      <w:r w:rsidRPr="00CD44A3">
        <w:tab/>
      </w:r>
    </w:p>
    <w:p w:rsidR="00B76C8F" w:rsidRPr="00CD44A3" w:rsidRDefault="00B76C8F" w:rsidP="00B76C8F">
      <w:r w:rsidRPr="00CD44A3">
        <w:t>THE UNITED STATES OF AMERICA,</w:t>
      </w:r>
      <w:r w:rsidRPr="00CD44A3">
        <w:tab/>
        <w:t>)</w:t>
      </w:r>
    </w:p>
    <w:p w:rsidR="00B76C8F" w:rsidRPr="00CD44A3" w:rsidRDefault="00B76C8F" w:rsidP="00B76C8F">
      <w:r w:rsidRPr="00CD44A3">
        <w:tab/>
      </w:r>
      <w:r w:rsidRPr="00CD44A3">
        <w:tab/>
      </w:r>
      <w:r w:rsidRPr="00CD44A3">
        <w:tab/>
      </w:r>
      <w:r w:rsidRPr="00CD44A3">
        <w:tab/>
      </w:r>
      <w:r w:rsidRPr="00CD44A3">
        <w:tab/>
      </w:r>
      <w:r w:rsidRPr="00CD44A3">
        <w:tab/>
        <w:t>)</w:t>
      </w:r>
    </w:p>
    <w:p w:rsidR="00B76C8F" w:rsidRPr="00CD44A3" w:rsidRDefault="00B76C8F" w:rsidP="00B76C8F">
      <w:r w:rsidRPr="00CD44A3">
        <w:tab/>
      </w:r>
      <w:r w:rsidRPr="00CD44A3">
        <w:tab/>
        <w:t>Plaintiff,</w:t>
      </w:r>
      <w:r w:rsidRPr="00CD44A3">
        <w:tab/>
      </w:r>
      <w:r w:rsidRPr="00CD44A3">
        <w:tab/>
      </w:r>
      <w:r w:rsidRPr="00CD44A3">
        <w:tab/>
        <w:t>)</w:t>
      </w:r>
    </w:p>
    <w:p w:rsidR="00B76C8F" w:rsidRPr="00CD44A3" w:rsidRDefault="00B76C8F" w:rsidP="00B76C8F">
      <w:r w:rsidRPr="00CD44A3">
        <w:tab/>
      </w:r>
      <w:r w:rsidRPr="00CD44A3">
        <w:tab/>
      </w:r>
      <w:r w:rsidRPr="00CD44A3">
        <w:tab/>
      </w:r>
      <w:r w:rsidRPr="00CD44A3">
        <w:tab/>
      </w:r>
      <w:r w:rsidRPr="00CD44A3">
        <w:tab/>
      </w:r>
      <w:r w:rsidRPr="00CD44A3">
        <w:tab/>
        <w:t>)</w:t>
      </w:r>
      <w:r w:rsidRPr="00CD44A3">
        <w:tab/>
      </w:r>
    </w:p>
    <w:p w:rsidR="00B76C8F" w:rsidRPr="00CD44A3" w:rsidRDefault="00B76C8F" w:rsidP="00B76C8F">
      <w:pPr>
        <w:ind w:left="720" w:firstLine="720"/>
      </w:pPr>
      <w:r w:rsidRPr="00CD44A3">
        <w:t>v.</w:t>
      </w:r>
      <w:r w:rsidRPr="00CD44A3">
        <w:tab/>
      </w:r>
      <w:r w:rsidRPr="00CD44A3">
        <w:tab/>
      </w:r>
      <w:r w:rsidRPr="00CD44A3">
        <w:tab/>
      </w:r>
      <w:r w:rsidRPr="00CD44A3">
        <w:tab/>
        <w:t>)</w:t>
      </w:r>
      <w:r w:rsidRPr="00CD44A3">
        <w:tab/>
        <w:t>CIVIL NO. 09 CV 1049 (JFM)</w:t>
      </w:r>
    </w:p>
    <w:p w:rsidR="00B76C8F" w:rsidRPr="00CD44A3" w:rsidRDefault="00B76C8F" w:rsidP="00B76C8F">
      <w:r w:rsidRPr="00CD44A3">
        <w:tab/>
      </w:r>
      <w:r w:rsidRPr="00CD44A3">
        <w:tab/>
      </w:r>
      <w:r w:rsidRPr="00CD44A3">
        <w:tab/>
      </w:r>
      <w:r w:rsidRPr="00CD44A3">
        <w:tab/>
      </w:r>
      <w:r w:rsidRPr="00CD44A3">
        <w:tab/>
      </w:r>
      <w:r w:rsidRPr="00CD44A3">
        <w:tab/>
        <w:t>)</w:t>
      </w:r>
      <w:r w:rsidRPr="00CD44A3">
        <w:tab/>
      </w:r>
    </w:p>
    <w:p w:rsidR="00B76C8F" w:rsidRPr="00CD44A3" w:rsidRDefault="00B76C8F" w:rsidP="00B76C8F">
      <w:r w:rsidRPr="00CD44A3">
        <w:t>CITY OF BALTIMORE,</w:t>
      </w:r>
      <w:r w:rsidRPr="00CD44A3">
        <w:tab/>
      </w:r>
      <w:r w:rsidRPr="00CD44A3">
        <w:tab/>
      </w:r>
      <w:r w:rsidRPr="00CD44A3">
        <w:tab/>
        <w:t>)</w:t>
      </w:r>
    </w:p>
    <w:p w:rsidR="00B76C8F" w:rsidRPr="00CD44A3" w:rsidRDefault="00B76C8F" w:rsidP="00B76C8F">
      <w:pPr>
        <w:ind w:left="3600" w:firstLine="720"/>
      </w:pPr>
      <w:r w:rsidRPr="00CD44A3">
        <w:t>)</w:t>
      </w:r>
    </w:p>
    <w:p w:rsidR="00B76C8F" w:rsidRPr="00CD44A3" w:rsidRDefault="00B76C8F" w:rsidP="00B76C8F">
      <w:r w:rsidRPr="00CD44A3">
        <w:tab/>
      </w:r>
      <w:r w:rsidRPr="00CD44A3">
        <w:tab/>
        <w:t>Defendant.</w:t>
      </w:r>
      <w:r w:rsidRPr="00CD44A3">
        <w:tab/>
      </w:r>
      <w:r w:rsidRPr="00CD44A3">
        <w:tab/>
      </w:r>
      <w:r w:rsidRPr="00CD44A3">
        <w:tab/>
        <w:t>)</w:t>
      </w:r>
    </w:p>
    <w:p w:rsidR="00B76C8F" w:rsidRPr="00CD44A3" w:rsidRDefault="00B76C8F" w:rsidP="00B76C8F">
      <w:r w:rsidRPr="00CD44A3">
        <w:t>___________________________________  )</w:t>
      </w:r>
    </w:p>
    <w:p w:rsidR="00B76C8F" w:rsidRPr="00CD44A3" w:rsidRDefault="00B76C8F" w:rsidP="00B76C8F"/>
    <w:p w:rsidR="00B76C8F" w:rsidRPr="00CD44A3" w:rsidRDefault="00B76C8F" w:rsidP="00B76C8F">
      <w:pPr>
        <w:jc w:val="center"/>
        <w:rPr>
          <w:b/>
        </w:rPr>
      </w:pPr>
    </w:p>
    <w:p w:rsidR="00B76C8F" w:rsidRPr="00CD44A3" w:rsidRDefault="00B76C8F" w:rsidP="00B76C8F">
      <w:pPr>
        <w:jc w:val="center"/>
        <w:rPr>
          <w:b/>
        </w:rPr>
      </w:pPr>
    </w:p>
    <w:p w:rsidR="00B76C8F" w:rsidRPr="00CD44A3" w:rsidRDefault="00B76C8F" w:rsidP="00B76C8F">
      <w:pPr>
        <w:jc w:val="center"/>
        <w:rPr>
          <w:b/>
        </w:rPr>
      </w:pPr>
    </w:p>
    <w:p w:rsidR="00B76C8F" w:rsidRPr="00CD44A3" w:rsidRDefault="00B76C8F" w:rsidP="00B76C8F">
      <w:pPr>
        <w:jc w:val="center"/>
        <w:rPr>
          <w:b/>
        </w:rPr>
      </w:pPr>
      <w:r w:rsidRPr="00CD44A3">
        <w:rPr>
          <w:b/>
        </w:rPr>
        <w:t xml:space="preserve">MEMORANDUM IN SUPPORT OF UNITED STATES’ </w:t>
      </w:r>
    </w:p>
    <w:p w:rsidR="00B76C8F" w:rsidRPr="00CD44A3" w:rsidRDefault="00B76C8F" w:rsidP="00B76C8F">
      <w:pPr>
        <w:jc w:val="center"/>
        <w:rPr>
          <w:b/>
        </w:rPr>
      </w:pPr>
      <w:r w:rsidRPr="00CD44A3">
        <w:rPr>
          <w:b/>
        </w:rPr>
        <w:t>MOTION FOR PARTIAL SUMMARY JUDGMENT</w:t>
      </w:r>
    </w:p>
    <w:p w:rsidR="00B76C8F" w:rsidRPr="00CD44A3" w:rsidRDefault="00B76C8F" w:rsidP="00B76C8F">
      <w:pPr>
        <w:rPr>
          <w:b/>
        </w:rPr>
      </w:pPr>
    </w:p>
    <w:p w:rsidR="004E5661" w:rsidRPr="00CD44A3" w:rsidRDefault="004E5661" w:rsidP="00B76C8F">
      <w:pPr>
        <w:rPr>
          <w:b/>
        </w:rPr>
      </w:pPr>
    </w:p>
    <w:p w:rsidR="004E5661" w:rsidRPr="00CD44A3" w:rsidRDefault="004E5661" w:rsidP="00B76C8F">
      <w:pPr>
        <w:rPr>
          <w:b/>
        </w:rPr>
      </w:pPr>
    </w:p>
    <w:p w:rsidR="004E5661" w:rsidRPr="00CD44A3" w:rsidRDefault="004E5661" w:rsidP="00B76C8F">
      <w:pPr>
        <w:rPr>
          <w:b/>
        </w:rPr>
      </w:pPr>
    </w:p>
    <w:p w:rsidR="004E5661" w:rsidRPr="00CD44A3" w:rsidRDefault="004E5661" w:rsidP="00B76C8F">
      <w:pPr>
        <w:rPr>
          <w:b/>
        </w:rPr>
      </w:pPr>
    </w:p>
    <w:p w:rsidR="004E5661" w:rsidRPr="00CD44A3" w:rsidRDefault="004E5661" w:rsidP="00B76C8F">
      <w:pPr>
        <w:rPr>
          <w:b/>
        </w:rPr>
      </w:pPr>
    </w:p>
    <w:p w:rsidR="004E5661" w:rsidRPr="00CD44A3" w:rsidRDefault="004E5661" w:rsidP="00B76C8F">
      <w:pPr>
        <w:rPr>
          <w:b/>
        </w:rPr>
      </w:pPr>
    </w:p>
    <w:p w:rsidR="004E5661" w:rsidRPr="00CD44A3" w:rsidRDefault="004E5661" w:rsidP="00B76C8F">
      <w:pPr>
        <w:rPr>
          <w:b/>
        </w:rPr>
      </w:pPr>
    </w:p>
    <w:p w:rsidR="004E5661" w:rsidRPr="00CD44A3" w:rsidRDefault="004E5661" w:rsidP="00B76C8F">
      <w:pPr>
        <w:rPr>
          <w:b/>
        </w:rPr>
      </w:pPr>
    </w:p>
    <w:p w:rsidR="004E5661" w:rsidRPr="00CD44A3" w:rsidRDefault="004E5661" w:rsidP="00B76C8F">
      <w:pPr>
        <w:rPr>
          <w:b/>
        </w:rPr>
      </w:pPr>
    </w:p>
    <w:p w:rsidR="004E5661" w:rsidRPr="00CD44A3" w:rsidRDefault="004E5661" w:rsidP="00B76C8F">
      <w:pPr>
        <w:rPr>
          <w:b/>
        </w:rPr>
      </w:pPr>
    </w:p>
    <w:p w:rsidR="004E5661" w:rsidRPr="00CD44A3" w:rsidRDefault="004E5661" w:rsidP="00B76C8F">
      <w:pPr>
        <w:rPr>
          <w:b/>
        </w:rPr>
      </w:pPr>
    </w:p>
    <w:p w:rsidR="004E5661" w:rsidRPr="00CD44A3" w:rsidRDefault="004E5661" w:rsidP="00B76C8F">
      <w:pPr>
        <w:rPr>
          <w:b/>
        </w:rPr>
      </w:pPr>
    </w:p>
    <w:p w:rsidR="004E5661" w:rsidRPr="00CD44A3" w:rsidRDefault="004E5661" w:rsidP="00B76C8F">
      <w:pPr>
        <w:rPr>
          <w:b/>
        </w:rPr>
      </w:pPr>
    </w:p>
    <w:p w:rsidR="004E5661" w:rsidRPr="00CD44A3" w:rsidRDefault="004E5661" w:rsidP="00B76C8F">
      <w:pPr>
        <w:rPr>
          <w:b/>
        </w:rPr>
      </w:pPr>
    </w:p>
    <w:p w:rsidR="004E5661" w:rsidRPr="00CD44A3" w:rsidRDefault="004E5661" w:rsidP="00B76C8F">
      <w:pPr>
        <w:rPr>
          <w:b/>
        </w:rPr>
      </w:pPr>
    </w:p>
    <w:p w:rsidR="004E5661" w:rsidRPr="00CD44A3" w:rsidRDefault="004E5661" w:rsidP="00B76C8F">
      <w:pPr>
        <w:rPr>
          <w:b/>
        </w:rPr>
      </w:pPr>
    </w:p>
    <w:p w:rsidR="00B76C8F" w:rsidRPr="00CD44A3" w:rsidRDefault="00B76C8F" w:rsidP="00B76C8F">
      <w:pPr>
        <w:rPr>
          <w:b/>
        </w:rPr>
      </w:pPr>
    </w:p>
    <w:p w:rsidR="002E4ECB" w:rsidRPr="00CD44A3" w:rsidRDefault="002E4ECB">
      <w:pPr>
        <w:rPr>
          <w:b/>
          <w:bCs/>
          <w:szCs w:val="24"/>
        </w:rPr>
      </w:pPr>
      <w:r w:rsidRPr="00CD44A3">
        <w:rPr>
          <w:szCs w:val="24"/>
        </w:rPr>
        <w:br w:type="page"/>
      </w:r>
    </w:p>
    <w:p w:rsidR="002E4ECB" w:rsidRPr="00CD44A3" w:rsidRDefault="002E4ECB" w:rsidP="00B76C8F">
      <w:pPr>
        <w:pStyle w:val="TOCHeading"/>
        <w:jc w:val="center"/>
        <w:rPr>
          <w:rFonts w:ascii="Times New Roman" w:hAnsi="Times New Roman"/>
          <w:color w:val="auto"/>
          <w:sz w:val="24"/>
          <w:szCs w:val="24"/>
        </w:rPr>
        <w:sectPr w:rsidR="002E4ECB" w:rsidRPr="00CD44A3" w:rsidSect="00052E33">
          <w:headerReference w:type="even" r:id="rId7"/>
          <w:headerReference w:type="default" r:id="rId8"/>
          <w:footerReference w:type="even" r:id="rId9"/>
          <w:footerReference w:type="default" r:id="rId10"/>
          <w:headerReference w:type="first" r:id="rId11"/>
          <w:footerReference w:type="first" r:id="rId12"/>
          <w:type w:val="continuous"/>
          <w:pgSz w:w="12240" w:h="15840"/>
          <w:pgMar w:top="2160" w:right="720" w:bottom="1440" w:left="1440" w:header="720" w:footer="1440" w:gutter="0"/>
          <w:pgNumType w:fmt="lowerRoman" w:start="1"/>
          <w:cols w:space="720"/>
          <w:docGrid w:linePitch="326"/>
        </w:sectPr>
      </w:pPr>
    </w:p>
    <w:p w:rsidR="00B76C8F" w:rsidRPr="00CD44A3" w:rsidRDefault="00B76C8F" w:rsidP="00B76C8F">
      <w:pPr>
        <w:pStyle w:val="TOCHeading"/>
        <w:jc w:val="center"/>
        <w:rPr>
          <w:rFonts w:ascii="Times New Roman" w:hAnsi="Times New Roman"/>
          <w:color w:val="auto"/>
          <w:sz w:val="24"/>
          <w:szCs w:val="24"/>
        </w:rPr>
      </w:pPr>
      <w:r w:rsidRPr="00CD44A3">
        <w:rPr>
          <w:rFonts w:ascii="Times New Roman" w:hAnsi="Times New Roman"/>
          <w:color w:val="auto"/>
          <w:sz w:val="24"/>
          <w:szCs w:val="24"/>
        </w:rPr>
        <w:lastRenderedPageBreak/>
        <w:t>TABLE OF CONTENTS</w:t>
      </w:r>
    </w:p>
    <w:p w:rsidR="00B76C8F" w:rsidRPr="00CD44A3" w:rsidRDefault="00B76C8F" w:rsidP="00B76C8F"/>
    <w:p w:rsidR="002A7DC5" w:rsidRDefault="00377A22">
      <w:pPr>
        <w:pStyle w:val="TOC1"/>
        <w:rPr>
          <w:rFonts w:asciiTheme="minorHAnsi" w:eastAsiaTheme="minorEastAsia" w:hAnsiTheme="minorHAnsi" w:cstheme="minorBidi"/>
          <w:noProof/>
          <w:sz w:val="22"/>
          <w:szCs w:val="22"/>
        </w:rPr>
      </w:pPr>
      <w:r>
        <w:fldChar w:fldCharType="begin"/>
      </w:r>
      <w:r w:rsidR="002A7DC5">
        <w:instrText xml:space="preserve"> TOC \o "1-4" \h \z \u </w:instrText>
      </w:r>
      <w:r>
        <w:fldChar w:fldCharType="separate"/>
      </w:r>
      <w:hyperlink w:anchor="_Toc290573096" w:history="1">
        <w:r w:rsidR="002A7DC5" w:rsidRPr="000D0F36">
          <w:rPr>
            <w:rStyle w:val="Hyperlink"/>
            <w:b/>
            <w:noProof/>
          </w:rPr>
          <w:t>I.</w:t>
        </w:r>
        <w:r w:rsidR="002A7DC5">
          <w:rPr>
            <w:rFonts w:asciiTheme="minorHAnsi" w:eastAsiaTheme="minorEastAsia" w:hAnsiTheme="minorHAnsi" w:cstheme="minorBidi"/>
            <w:noProof/>
            <w:sz w:val="22"/>
            <w:szCs w:val="22"/>
          </w:rPr>
          <w:tab/>
        </w:r>
        <w:r w:rsidR="002A7DC5" w:rsidRPr="000D0F36">
          <w:rPr>
            <w:rStyle w:val="Hyperlink"/>
            <w:b/>
            <w:caps/>
            <w:noProof/>
          </w:rPr>
          <w:t>Introduction</w:t>
        </w:r>
        <w:r w:rsidR="002A7DC5">
          <w:rPr>
            <w:noProof/>
            <w:webHidden/>
          </w:rPr>
          <w:tab/>
        </w:r>
        <w:r>
          <w:rPr>
            <w:noProof/>
            <w:webHidden/>
          </w:rPr>
          <w:fldChar w:fldCharType="begin"/>
        </w:r>
        <w:r w:rsidR="002A7DC5">
          <w:rPr>
            <w:noProof/>
            <w:webHidden/>
          </w:rPr>
          <w:instrText xml:space="preserve"> PAGEREF _Toc290573096 \h </w:instrText>
        </w:r>
        <w:r>
          <w:rPr>
            <w:noProof/>
            <w:webHidden/>
          </w:rPr>
        </w:r>
        <w:r>
          <w:rPr>
            <w:noProof/>
            <w:webHidden/>
          </w:rPr>
          <w:fldChar w:fldCharType="separate"/>
        </w:r>
        <w:r w:rsidR="00BA1179">
          <w:rPr>
            <w:noProof/>
            <w:webHidden/>
          </w:rPr>
          <w:t>1</w:t>
        </w:r>
        <w:r>
          <w:rPr>
            <w:noProof/>
            <w:webHidden/>
          </w:rPr>
          <w:fldChar w:fldCharType="end"/>
        </w:r>
      </w:hyperlink>
    </w:p>
    <w:p w:rsidR="002A7DC5" w:rsidRDefault="00377A22">
      <w:pPr>
        <w:pStyle w:val="TOC1"/>
        <w:rPr>
          <w:rFonts w:asciiTheme="minorHAnsi" w:eastAsiaTheme="minorEastAsia" w:hAnsiTheme="minorHAnsi" w:cstheme="minorBidi"/>
          <w:noProof/>
          <w:sz w:val="22"/>
          <w:szCs w:val="22"/>
        </w:rPr>
      </w:pPr>
      <w:hyperlink w:anchor="_Toc290573097" w:history="1">
        <w:r w:rsidR="002A7DC5" w:rsidRPr="000D0F36">
          <w:rPr>
            <w:rStyle w:val="Hyperlink"/>
            <w:b/>
            <w:noProof/>
          </w:rPr>
          <w:t>II.</w:t>
        </w:r>
        <w:r w:rsidR="002A7DC5">
          <w:rPr>
            <w:rFonts w:asciiTheme="minorHAnsi" w:eastAsiaTheme="minorEastAsia" w:hAnsiTheme="minorHAnsi" w:cstheme="minorBidi"/>
            <w:noProof/>
            <w:sz w:val="22"/>
            <w:szCs w:val="22"/>
          </w:rPr>
          <w:tab/>
        </w:r>
        <w:r w:rsidR="002A7DC5" w:rsidRPr="000D0F36">
          <w:rPr>
            <w:rStyle w:val="Hyperlink"/>
            <w:b/>
            <w:caps/>
            <w:noProof/>
          </w:rPr>
          <w:t>Procedural Background</w:t>
        </w:r>
        <w:r w:rsidR="002A7DC5">
          <w:rPr>
            <w:noProof/>
            <w:webHidden/>
          </w:rPr>
          <w:tab/>
        </w:r>
        <w:r>
          <w:rPr>
            <w:noProof/>
            <w:webHidden/>
          </w:rPr>
          <w:fldChar w:fldCharType="begin"/>
        </w:r>
        <w:r w:rsidR="002A7DC5">
          <w:rPr>
            <w:noProof/>
            <w:webHidden/>
          </w:rPr>
          <w:instrText xml:space="preserve"> PAGEREF _Toc290573097 \h </w:instrText>
        </w:r>
        <w:r>
          <w:rPr>
            <w:noProof/>
            <w:webHidden/>
          </w:rPr>
        </w:r>
        <w:r>
          <w:rPr>
            <w:noProof/>
            <w:webHidden/>
          </w:rPr>
          <w:fldChar w:fldCharType="separate"/>
        </w:r>
        <w:r w:rsidR="00BA1179">
          <w:rPr>
            <w:noProof/>
            <w:webHidden/>
          </w:rPr>
          <w:t>2</w:t>
        </w:r>
        <w:r>
          <w:rPr>
            <w:noProof/>
            <w:webHidden/>
          </w:rPr>
          <w:fldChar w:fldCharType="end"/>
        </w:r>
      </w:hyperlink>
    </w:p>
    <w:p w:rsidR="002A7DC5" w:rsidRDefault="00377A22">
      <w:pPr>
        <w:pStyle w:val="TOC1"/>
        <w:rPr>
          <w:rFonts w:asciiTheme="minorHAnsi" w:eastAsiaTheme="minorEastAsia" w:hAnsiTheme="minorHAnsi" w:cstheme="minorBidi"/>
          <w:noProof/>
          <w:sz w:val="22"/>
          <w:szCs w:val="22"/>
        </w:rPr>
      </w:pPr>
      <w:hyperlink w:anchor="_Toc290573098" w:history="1">
        <w:r w:rsidR="002A7DC5" w:rsidRPr="000D0F36">
          <w:rPr>
            <w:rStyle w:val="Hyperlink"/>
            <w:b/>
            <w:noProof/>
          </w:rPr>
          <w:t>III.</w:t>
        </w:r>
        <w:r w:rsidR="002A7DC5">
          <w:rPr>
            <w:rFonts w:asciiTheme="minorHAnsi" w:eastAsiaTheme="minorEastAsia" w:hAnsiTheme="minorHAnsi" w:cstheme="minorBidi"/>
            <w:noProof/>
            <w:sz w:val="22"/>
            <w:szCs w:val="22"/>
          </w:rPr>
          <w:tab/>
        </w:r>
        <w:r w:rsidR="002A7DC5" w:rsidRPr="000D0F36">
          <w:rPr>
            <w:rStyle w:val="Hyperlink"/>
            <w:b/>
            <w:caps/>
            <w:noProof/>
          </w:rPr>
          <w:t>Factual Background</w:t>
        </w:r>
        <w:r w:rsidR="002A7DC5">
          <w:rPr>
            <w:noProof/>
            <w:webHidden/>
          </w:rPr>
          <w:tab/>
        </w:r>
        <w:r>
          <w:rPr>
            <w:noProof/>
            <w:webHidden/>
          </w:rPr>
          <w:fldChar w:fldCharType="begin"/>
        </w:r>
        <w:r w:rsidR="002A7DC5">
          <w:rPr>
            <w:noProof/>
            <w:webHidden/>
          </w:rPr>
          <w:instrText xml:space="preserve"> PAGEREF _Toc290573098 \h </w:instrText>
        </w:r>
        <w:r>
          <w:rPr>
            <w:noProof/>
            <w:webHidden/>
          </w:rPr>
        </w:r>
        <w:r>
          <w:rPr>
            <w:noProof/>
            <w:webHidden/>
          </w:rPr>
          <w:fldChar w:fldCharType="separate"/>
        </w:r>
        <w:r w:rsidR="00BA1179">
          <w:rPr>
            <w:noProof/>
            <w:webHidden/>
          </w:rPr>
          <w:t>3</w:t>
        </w:r>
        <w:r>
          <w:rPr>
            <w:noProof/>
            <w:webHidden/>
          </w:rPr>
          <w:fldChar w:fldCharType="end"/>
        </w:r>
      </w:hyperlink>
    </w:p>
    <w:p w:rsidR="002A7DC5" w:rsidRDefault="00377A22">
      <w:pPr>
        <w:pStyle w:val="TOC2"/>
        <w:tabs>
          <w:tab w:val="left" w:pos="1350"/>
        </w:tabs>
        <w:rPr>
          <w:rFonts w:asciiTheme="minorHAnsi" w:eastAsiaTheme="minorEastAsia" w:hAnsiTheme="minorHAnsi" w:cstheme="minorBidi"/>
          <w:noProof/>
          <w:sz w:val="22"/>
          <w:szCs w:val="22"/>
        </w:rPr>
      </w:pPr>
      <w:hyperlink w:anchor="_Toc290573099" w:history="1">
        <w:r w:rsidR="002A7DC5" w:rsidRPr="000D0F36">
          <w:rPr>
            <w:rStyle w:val="Hyperlink"/>
            <w:noProof/>
          </w:rPr>
          <w:t>A.</w:t>
        </w:r>
        <w:r w:rsidR="002A7DC5">
          <w:rPr>
            <w:rFonts w:asciiTheme="minorHAnsi" w:eastAsiaTheme="minorEastAsia" w:hAnsiTheme="minorHAnsi" w:cstheme="minorBidi"/>
            <w:noProof/>
            <w:sz w:val="22"/>
            <w:szCs w:val="22"/>
          </w:rPr>
          <w:tab/>
        </w:r>
        <w:r w:rsidR="002A7DC5" w:rsidRPr="000D0F36">
          <w:rPr>
            <w:rStyle w:val="Hyperlink"/>
            <w:noProof/>
          </w:rPr>
          <w:t>Zoning Process for Residential Substance Abuse Treatment Programs</w:t>
        </w:r>
        <w:r w:rsidR="002A7DC5">
          <w:rPr>
            <w:noProof/>
            <w:webHidden/>
          </w:rPr>
          <w:tab/>
        </w:r>
        <w:r>
          <w:rPr>
            <w:noProof/>
            <w:webHidden/>
          </w:rPr>
          <w:fldChar w:fldCharType="begin"/>
        </w:r>
        <w:r w:rsidR="002A7DC5">
          <w:rPr>
            <w:noProof/>
            <w:webHidden/>
          </w:rPr>
          <w:instrText xml:space="preserve"> PAGEREF _Toc290573099 \h </w:instrText>
        </w:r>
        <w:r>
          <w:rPr>
            <w:noProof/>
            <w:webHidden/>
          </w:rPr>
        </w:r>
        <w:r>
          <w:rPr>
            <w:noProof/>
            <w:webHidden/>
          </w:rPr>
          <w:fldChar w:fldCharType="separate"/>
        </w:r>
        <w:r w:rsidR="00BA1179">
          <w:rPr>
            <w:noProof/>
            <w:webHidden/>
          </w:rPr>
          <w:t>3</w:t>
        </w:r>
        <w:r>
          <w:rPr>
            <w:noProof/>
            <w:webHidden/>
          </w:rPr>
          <w:fldChar w:fldCharType="end"/>
        </w:r>
      </w:hyperlink>
    </w:p>
    <w:p w:rsidR="002A7DC5" w:rsidRDefault="00377A22">
      <w:pPr>
        <w:pStyle w:val="TOC3"/>
        <w:tabs>
          <w:tab w:val="left" w:pos="2070"/>
        </w:tabs>
        <w:rPr>
          <w:rFonts w:asciiTheme="minorHAnsi" w:eastAsiaTheme="minorEastAsia" w:hAnsiTheme="minorHAnsi" w:cstheme="minorBidi"/>
          <w:noProof/>
          <w:sz w:val="22"/>
          <w:szCs w:val="22"/>
        </w:rPr>
      </w:pPr>
      <w:hyperlink w:anchor="_Toc290573100" w:history="1">
        <w:r w:rsidR="002A7DC5" w:rsidRPr="000D0F36">
          <w:rPr>
            <w:rStyle w:val="Hyperlink"/>
            <w:noProof/>
          </w:rPr>
          <w:t>1.</w:t>
        </w:r>
        <w:r w:rsidR="002A7DC5">
          <w:rPr>
            <w:rFonts w:asciiTheme="minorHAnsi" w:eastAsiaTheme="minorEastAsia" w:hAnsiTheme="minorHAnsi" w:cstheme="minorBidi"/>
            <w:noProof/>
            <w:sz w:val="22"/>
            <w:szCs w:val="22"/>
          </w:rPr>
          <w:tab/>
        </w:r>
        <w:r w:rsidR="002A7DC5" w:rsidRPr="000D0F36">
          <w:rPr>
            <w:rStyle w:val="Hyperlink"/>
            <w:noProof/>
          </w:rPr>
          <w:t>Homes for the Rehabilitation of Non-Bedridden Alcoholics is a Conditional Use Requiring the Approval of the Mayor and City Council</w:t>
        </w:r>
        <w:r w:rsidR="002A7DC5">
          <w:rPr>
            <w:noProof/>
            <w:webHidden/>
          </w:rPr>
          <w:tab/>
        </w:r>
        <w:r>
          <w:rPr>
            <w:noProof/>
            <w:webHidden/>
          </w:rPr>
          <w:fldChar w:fldCharType="begin"/>
        </w:r>
        <w:r w:rsidR="002A7DC5">
          <w:rPr>
            <w:noProof/>
            <w:webHidden/>
          </w:rPr>
          <w:instrText xml:space="preserve"> PAGEREF _Toc290573100 \h </w:instrText>
        </w:r>
        <w:r>
          <w:rPr>
            <w:noProof/>
            <w:webHidden/>
          </w:rPr>
        </w:r>
        <w:r>
          <w:rPr>
            <w:noProof/>
            <w:webHidden/>
          </w:rPr>
          <w:fldChar w:fldCharType="separate"/>
        </w:r>
        <w:r w:rsidR="00BA1179">
          <w:rPr>
            <w:noProof/>
            <w:webHidden/>
          </w:rPr>
          <w:t>4</w:t>
        </w:r>
        <w:r>
          <w:rPr>
            <w:noProof/>
            <w:webHidden/>
          </w:rPr>
          <w:fldChar w:fldCharType="end"/>
        </w:r>
      </w:hyperlink>
    </w:p>
    <w:p w:rsidR="002A7DC5" w:rsidRDefault="00377A22">
      <w:pPr>
        <w:pStyle w:val="TOC3"/>
        <w:tabs>
          <w:tab w:val="left" w:pos="2070"/>
        </w:tabs>
        <w:rPr>
          <w:rFonts w:asciiTheme="minorHAnsi" w:eastAsiaTheme="minorEastAsia" w:hAnsiTheme="minorHAnsi" w:cstheme="minorBidi"/>
          <w:noProof/>
          <w:sz w:val="22"/>
          <w:szCs w:val="22"/>
        </w:rPr>
      </w:pPr>
      <w:hyperlink w:anchor="_Toc290573101" w:history="1">
        <w:r w:rsidR="002A7DC5" w:rsidRPr="000D0F36">
          <w:rPr>
            <w:rStyle w:val="Hyperlink"/>
            <w:noProof/>
          </w:rPr>
          <w:t>2.</w:t>
        </w:r>
        <w:r w:rsidR="002A7DC5">
          <w:rPr>
            <w:rFonts w:asciiTheme="minorHAnsi" w:eastAsiaTheme="minorEastAsia" w:hAnsiTheme="minorHAnsi" w:cstheme="minorBidi"/>
            <w:noProof/>
            <w:sz w:val="22"/>
            <w:szCs w:val="22"/>
          </w:rPr>
          <w:tab/>
        </w:r>
        <w:r w:rsidR="009A6FD7">
          <w:rPr>
            <w:rStyle w:val="Hyperlink"/>
            <w:noProof/>
          </w:rPr>
          <w:t xml:space="preserve">The </w:t>
        </w:r>
        <w:r w:rsidR="002A7DC5" w:rsidRPr="000D0F36">
          <w:rPr>
            <w:rStyle w:val="Hyperlink"/>
            <w:noProof/>
          </w:rPr>
          <w:t>CO Process Requires Community Approval</w:t>
        </w:r>
        <w:r w:rsidR="002A7DC5">
          <w:rPr>
            <w:noProof/>
            <w:webHidden/>
          </w:rPr>
          <w:tab/>
        </w:r>
        <w:r>
          <w:rPr>
            <w:noProof/>
            <w:webHidden/>
          </w:rPr>
          <w:fldChar w:fldCharType="begin"/>
        </w:r>
        <w:r w:rsidR="002A7DC5">
          <w:rPr>
            <w:noProof/>
            <w:webHidden/>
          </w:rPr>
          <w:instrText xml:space="preserve"> PAGEREF _Toc290573101 \h </w:instrText>
        </w:r>
        <w:r>
          <w:rPr>
            <w:noProof/>
            <w:webHidden/>
          </w:rPr>
        </w:r>
        <w:r>
          <w:rPr>
            <w:noProof/>
            <w:webHidden/>
          </w:rPr>
          <w:fldChar w:fldCharType="separate"/>
        </w:r>
        <w:r w:rsidR="00BA1179">
          <w:rPr>
            <w:noProof/>
            <w:webHidden/>
          </w:rPr>
          <w:t>5</w:t>
        </w:r>
        <w:r>
          <w:rPr>
            <w:noProof/>
            <w:webHidden/>
          </w:rPr>
          <w:fldChar w:fldCharType="end"/>
        </w:r>
      </w:hyperlink>
    </w:p>
    <w:p w:rsidR="002A7DC5" w:rsidRDefault="00377A22">
      <w:pPr>
        <w:pStyle w:val="TOC3"/>
        <w:tabs>
          <w:tab w:val="left" w:pos="2070"/>
        </w:tabs>
        <w:rPr>
          <w:rFonts w:asciiTheme="minorHAnsi" w:eastAsiaTheme="minorEastAsia" w:hAnsiTheme="minorHAnsi" w:cstheme="minorBidi"/>
          <w:noProof/>
          <w:sz w:val="22"/>
          <w:szCs w:val="22"/>
        </w:rPr>
      </w:pPr>
      <w:hyperlink w:anchor="_Toc290573102" w:history="1">
        <w:r w:rsidR="002A7DC5" w:rsidRPr="000D0F36">
          <w:rPr>
            <w:rStyle w:val="Hyperlink"/>
            <w:noProof/>
          </w:rPr>
          <w:t>3.</w:t>
        </w:r>
        <w:r w:rsidR="002A7DC5">
          <w:rPr>
            <w:rFonts w:asciiTheme="minorHAnsi" w:eastAsiaTheme="minorEastAsia" w:hAnsiTheme="minorHAnsi" w:cstheme="minorBidi"/>
            <w:noProof/>
            <w:sz w:val="22"/>
            <w:szCs w:val="22"/>
          </w:rPr>
          <w:tab/>
        </w:r>
        <w:r w:rsidR="002A7DC5" w:rsidRPr="000D0F36">
          <w:rPr>
            <w:rStyle w:val="Hyperlink"/>
            <w:noProof/>
          </w:rPr>
          <w:t>Residential Substance Abuse Treatment Programs May Locate by Attempting to Utilize a Different Land Use Classification that Does Not Refer to Substance Abuse Treatment.</w:t>
        </w:r>
        <w:r w:rsidR="002A7DC5">
          <w:rPr>
            <w:noProof/>
            <w:webHidden/>
          </w:rPr>
          <w:tab/>
        </w:r>
        <w:r>
          <w:rPr>
            <w:noProof/>
            <w:webHidden/>
          </w:rPr>
          <w:fldChar w:fldCharType="begin"/>
        </w:r>
        <w:r w:rsidR="002A7DC5">
          <w:rPr>
            <w:noProof/>
            <w:webHidden/>
          </w:rPr>
          <w:instrText xml:space="preserve"> PAGEREF _Toc290573102 \h </w:instrText>
        </w:r>
        <w:r>
          <w:rPr>
            <w:noProof/>
            <w:webHidden/>
          </w:rPr>
        </w:r>
        <w:r>
          <w:rPr>
            <w:noProof/>
            <w:webHidden/>
          </w:rPr>
          <w:fldChar w:fldCharType="separate"/>
        </w:r>
        <w:r w:rsidR="00BA1179">
          <w:rPr>
            <w:noProof/>
            <w:webHidden/>
          </w:rPr>
          <w:t>10</w:t>
        </w:r>
        <w:r>
          <w:rPr>
            <w:noProof/>
            <w:webHidden/>
          </w:rPr>
          <w:fldChar w:fldCharType="end"/>
        </w:r>
      </w:hyperlink>
    </w:p>
    <w:p w:rsidR="002A7DC5" w:rsidRDefault="00377A22">
      <w:pPr>
        <w:pStyle w:val="TOC2"/>
        <w:tabs>
          <w:tab w:val="left" w:pos="1350"/>
        </w:tabs>
        <w:rPr>
          <w:rFonts w:asciiTheme="minorHAnsi" w:eastAsiaTheme="minorEastAsia" w:hAnsiTheme="minorHAnsi" w:cstheme="minorBidi"/>
          <w:noProof/>
          <w:sz w:val="22"/>
          <w:szCs w:val="22"/>
        </w:rPr>
      </w:pPr>
      <w:hyperlink w:anchor="_Toc290573103" w:history="1">
        <w:r w:rsidR="002A7DC5" w:rsidRPr="000D0F36">
          <w:rPr>
            <w:rStyle w:val="Hyperlink"/>
            <w:noProof/>
          </w:rPr>
          <w:t>B.</w:t>
        </w:r>
        <w:r w:rsidR="002A7DC5">
          <w:rPr>
            <w:rFonts w:asciiTheme="minorHAnsi" w:eastAsiaTheme="minorEastAsia" w:hAnsiTheme="minorHAnsi" w:cstheme="minorBidi"/>
            <w:noProof/>
            <w:sz w:val="22"/>
            <w:szCs w:val="22"/>
          </w:rPr>
          <w:tab/>
        </w:r>
        <w:r w:rsidR="002A7DC5" w:rsidRPr="000D0F36">
          <w:rPr>
            <w:rStyle w:val="Hyperlink"/>
            <w:noProof/>
          </w:rPr>
          <w:t>History of the CO Requirement</w:t>
        </w:r>
        <w:r w:rsidR="002A7DC5">
          <w:rPr>
            <w:noProof/>
            <w:webHidden/>
          </w:rPr>
          <w:tab/>
        </w:r>
        <w:r>
          <w:rPr>
            <w:noProof/>
            <w:webHidden/>
          </w:rPr>
          <w:fldChar w:fldCharType="begin"/>
        </w:r>
        <w:r w:rsidR="002A7DC5">
          <w:rPr>
            <w:noProof/>
            <w:webHidden/>
          </w:rPr>
          <w:instrText xml:space="preserve"> PAGEREF _Toc290573103 \h </w:instrText>
        </w:r>
        <w:r>
          <w:rPr>
            <w:noProof/>
            <w:webHidden/>
          </w:rPr>
        </w:r>
        <w:r>
          <w:rPr>
            <w:noProof/>
            <w:webHidden/>
          </w:rPr>
          <w:fldChar w:fldCharType="separate"/>
        </w:r>
        <w:r w:rsidR="00BA1179">
          <w:rPr>
            <w:noProof/>
            <w:webHidden/>
          </w:rPr>
          <w:t>13</w:t>
        </w:r>
        <w:r>
          <w:rPr>
            <w:noProof/>
            <w:webHidden/>
          </w:rPr>
          <w:fldChar w:fldCharType="end"/>
        </w:r>
      </w:hyperlink>
    </w:p>
    <w:p w:rsidR="002A7DC5" w:rsidRDefault="00377A22">
      <w:pPr>
        <w:pStyle w:val="TOC2"/>
        <w:tabs>
          <w:tab w:val="left" w:pos="1350"/>
        </w:tabs>
        <w:rPr>
          <w:rFonts w:asciiTheme="minorHAnsi" w:eastAsiaTheme="minorEastAsia" w:hAnsiTheme="minorHAnsi" w:cstheme="minorBidi"/>
          <w:noProof/>
          <w:sz w:val="22"/>
          <w:szCs w:val="22"/>
        </w:rPr>
      </w:pPr>
      <w:hyperlink w:anchor="_Toc290573104" w:history="1">
        <w:r w:rsidR="002A7DC5" w:rsidRPr="000D0F36">
          <w:rPr>
            <w:rStyle w:val="Hyperlink"/>
            <w:noProof/>
          </w:rPr>
          <w:t>C.</w:t>
        </w:r>
        <w:r w:rsidR="002A7DC5">
          <w:rPr>
            <w:rFonts w:asciiTheme="minorHAnsi" w:eastAsiaTheme="minorEastAsia" w:hAnsiTheme="minorHAnsi" w:cstheme="minorBidi"/>
            <w:noProof/>
            <w:sz w:val="22"/>
            <w:szCs w:val="22"/>
          </w:rPr>
          <w:tab/>
        </w:r>
        <w:r w:rsidR="002A7DC5" w:rsidRPr="000D0F36">
          <w:rPr>
            <w:rStyle w:val="Hyperlink"/>
            <w:noProof/>
          </w:rPr>
          <w:t>Community and City Council’s Opposition to Amending CO Requirement</w:t>
        </w:r>
        <w:r w:rsidR="002A7DC5">
          <w:rPr>
            <w:noProof/>
            <w:webHidden/>
          </w:rPr>
          <w:tab/>
        </w:r>
        <w:r>
          <w:rPr>
            <w:noProof/>
            <w:webHidden/>
          </w:rPr>
          <w:fldChar w:fldCharType="begin"/>
        </w:r>
        <w:r w:rsidR="002A7DC5">
          <w:rPr>
            <w:noProof/>
            <w:webHidden/>
          </w:rPr>
          <w:instrText xml:space="preserve"> PAGEREF _Toc290573104 \h </w:instrText>
        </w:r>
        <w:r>
          <w:rPr>
            <w:noProof/>
            <w:webHidden/>
          </w:rPr>
        </w:r>
        <w:r>
          <w:rPr>
            <w:noProof/>
            <w:webHidden/>
          </w:rPr>
          <w:fldChar w:fldCharType="separate"/>
        </w:r>
        <w:r w:rsidR="00BA1179">
          <w:rPr>
            <w:noProof/>
            <w:webHidden/>
          </w:rPr>
          <w:t>14</w:t>
        </w:r>
        <w:r>
          <w:rPr>
            <w:noProof/>
            <w:webHidden/>
          </w:rPr>
          <w:fldChar w:fldCharType="end"/>
        </w:r>
      </w:hyperlink>
    </w:p>
    <w:p w:rsidR="002A7DC5" w:rsidRDefault="00377A22">
      <w:pPr>
        <w:pStyle w:val="TOC2"/>
        <w:tabs>
          <w:tab w:val="left" w:pos="1350"/>
        </w:tabs>
        <w:rPr>
          <w:rFonts w:asciiTheme="minorHAnsi" w:eastAsiaTheme="minorEastAsia" w:hAnsiTheme="minorHAnsi" w:cstheme="minorBidi"/>
          <w:noProof/>
          <w:sz w:val="22"/>
          <w:szCs w:val="22"/>
        </w:rPr>
      </w:pPr>
      <w:hyperlink w:anchor="_Toc290573105" w:history="1">
        <w:r w:rsidR="002A7DC5" w:rsidRPr="000D0F36">
          <w:rPr>
            <w:rStyle w:val="Hyperlink"/>
            <w:noProof/>
          </w:rPr>
          <w:t>D.</w:t>
        </w:r>
        <w:r w:rsidR="002A7DC5">
          <w:rPr>
            <w:rFonts w:asciiTheme="minorHAnsi" w:eastAsiaTheme="minorEastAsia" w:hAnsiTheme="minorHAnsi" w:cstheme="minorBidi"/>
            <w:noProof/>
            <w:sz w:val="22"/>
            <w:szCs w:val="22"/>
          </w:rPr>
          <w:tab/>
        </w:r>
        <w:r w:rsidR="002A7DC5" w:rsidRPr="000D0F36">
          <w:rPr>
            <w:rStyle w:val="Hyperlink"/>
            <w:noProof/>
          </w:rPr>
          <w:t>City’s Draft Revised Zoning Code Eliminates CO Requirement in Favor of BMZA Approval</w:t>
        </w:r>
        <w:r w:rsidR="002A7DC5">
          <w:rPr>
            <w:noProof/>
            <w:webHidden/>
          </w:rPr>
          <w:tab/>
        </w:r>
        <w:r>
          <w:rPr>
            <w:noProof/>
            <w:webHidden/>
          </w:rPr>
          <w:fldChar w:fldCharType="begin"/>
        </w:r>
        <w:r w:rsidR="002A7DC5">
          <w:rPr>
            <w:noProof/>
            <w:webHidden/>
          </w:rPr>
          <w:instrText xml:space="preserve"> PAGEREF _Toc290573105 \h </w:instrText>
        </w:r>
        <w:r>
          <w:rPr>
            <w:noProof/>
            <w:webHidden/>
          </w:rPr>
        </w:r>
        <w:r>
          <w:rPr>
            <w:noProof/>
            <w:webHidden/>
          </w:rPr>
          <w:fldChar w:fldCharType="separate"/>
        </w:r>
        <w:r w:rsidR="00BA1179">
          <w:rPr>
            <w:noProof/>
            <w:webHidden/>
          </w:rPr>
          <w:t>17</w:t>
        </w:r>
        <w:r>
          <w:rPr>
            <w:noProof/>
            <w:webHidden/>
          </w:rPr>
          <w:fldChar w:fldCharType="end"/>
        </w:r>
      </w:hyperlink>
    </w:p>
    <w:p w:rsidR="002A7DC5" w:rsidRDefault="00377A22">
      <w:pPr>
        <w:pStyle w:val="TOC2"/>
        <w:tabs>
          <w:tab w:val="left" w:pos="1350"/>
        </w:tabs>
        <w:rPr>
          <w:rFonts w:asciiTheme="minorHAnsi" w:eastAsiaTheme="minorEastAsia" w:hAnsiTheme="minorHAnsi" w:cstheme="minorBidi"/>
          <w:noProof/>
          <w:sz w:val="22"/>
          <w:szCs w:val="22"/>
        </w:rPr>
      </w:pPr>
      <w:hyperlink w:anchor="_Toc290573106" w:history="1">
        <w:r w:rsidR="002A7DC5" w:rsidRPr="000D0F36">
          <w:rPr>
            <w:rStyle w:val="Hyperlink"/>
            <w:noProof/>
          </w:rPr>
          <w:t>E.</w:t>
        </w:r>
        <w:r w:rsidR="002A7DC5">
          <w:rPr>
            <w:rFonts w:asciiTheme="minorHAnsi" w:eastAsiaTheme="minorEastAsia" w:hAnsiTheme="minorHAnsi" w:cstheme="minorBidi"/>
            <w:noProof/>
            <w:sz w:val="22"/>
            <w:szCs w:val="22"/>
          </w:rPr>
          <w:tab/>
        </w:r>
        <w:r w:rsidR="002A7DC5" w:rsidRPr="000D0F36">
          <w:rPr>
            <w:rStyle w:val="Hyperlink"/>
            <w:noProof/>
          </w:rPr>
          <w:t>State Certified Residential Substance Abuse Treatment Programs Pose No Danger to the Community</w:t>
        </w:r>
        <w:r w:rsidR="002A7DC5">
          <w:rPr>
            <w:noProof/>
            <w:webHidden/>
          </w:rPr>
          <w:tab/>
        </w:r>
        <w:r>
          <w:rPr>
            <w:noProof/>
            <w:webHidden/>
          </w:rPr>
          <w:fldChar w:fldCharType="begin"/>
        </w:r>
        <w:r w:rsidR="002A7DC5">
          <w:rPr>
            <w:noProof/>
            <w:webHidden/>
          </w:rPr>
          <w:instrText xml:space="preserve"> PAGEREF _Toc290573106 \h </w:instrText>
        </w:r>
        <w:r>
          <w:rPr>
            <w:noProof/>
            <w:webHidden/>
          </w:rPr>
        </w:r>
        <w:r>
          <w:rPr>
            <w:noProof/>
            <w:webHidden/>
          </w:rPr>
          <w:fldChar w:fldCharType="separate"/>
        </w:r>
        <w:r w:rsidR="00BA1179">
          <w:rPr>
            <w:noProof/>
            <w:webHidden/>
          </w:rPr>
          <w:t>18</w:t>
        </w:r>
        <w:r>
          <w:rPr>
            <w:noProof/>
            <w:webHidden/>
          </w:rPr>
          <w:fldChar w:fldCharType="end"/>
        </w:r>
      </w:hyperlink>
    </w:p>
    <w:p w:rsidR="002A7DC5" w:rsidRDefault="00377A22">
      <w:pPr>
        <w:pStyle w:val="TOC1"/>
        <w:rPr>
          <w:rFonts w:asciiTheme="minorHAnsi" w:eastAsiaTheme="minorEastAsia" w:hAnsiTheme="minorHAnsi" w:cstheme="minorBidi"/>
          <w:noProof/>
          <w:sz w:val="22"/>
          <w:szCs w:val="22"/>
        </w:rPr>
      </w:pPr>
      <w:hyperlink w:anchor="_Toc290573107" w:history="1">
        <w:r w:rsidR="002A7DC5" w:rsidRPr="000D0F36">
          <w:rPr>
            <w:rStyle w:val="Hyperlink"/>
            <w:b/>
            <w:noProof/>
          </w:rPr>
          <w:t>IV.</w:t>
        </w:r>
        <w:r w:rsidR="002A7DC5">
          <w:rPr>
            <w:rFonts w:asciiTheme="minorHAnsi" w:eastAsiaTheme="minorEastAsia" w:hAnsiTheme="minorHAnsi" w:cstheme="minorBidi"/>
            <w:noProof/>
            <w:sz w:val="22"/>
            <w:szCs w:val="22"/>
          </w:rPr>
          <w:tab/>
        </w:r>
        <w:r w:rsidR="002A7DC5" w:rsidRPr="000D0F36">
          <w:rPr>
            <w:rStyle w:val="Hyperlink"/>
            <w:b/>
            <w:noProof/>
          </w:rPr>
          <w:t>ARGUMENT</w:t>
        </w:r>
        <w:r w:rsidR="002A7DC5">
          <w:rPr>
            <w:noProof/>
            <w:webHidden/>
          </w:rPr>
          <w:tab/>
        </w:r>
        <w:r>
          <w:rPr>
            <w:noProof/>
            <w:webHidden/>
          </w:rPr>
          <w:fldChar w:fldCharType="begin"/>
        </w:r>
        <w:r w:rsidR="002A7DC5">
          <w:rPr>
            <w:noProof/>
            <w:webHidden/>
          </w:rPr>
          <w:instrText xml:space="preserve"> PAGEREF _Toc290573107 \h </w:instrText>
        </w:r>
        <w:r>
          <w:rPr>
            <w:noProof/>
            <w:webHidden/>
          </w:rPr>
        </w:r>
        <w:r>
          <w:rPr>
            <w:noProof/>
            <w:webHidden/>
          </w:rPr>
          <w:fldChar w:fldCharType="separate"/>
        </w:r>
        <w:r w:rsidR="00BA1179">
          <w:rPr>
            <w:noProof/>
            <w:webHidden/>
          </w:rPr>
          <w:t>20</w:t>
        </w:r>
        <w:r>
          <w:rPr>
            <w:noProof/>
            <w:webHidden/>
          </w:rPr>
          <w:fldChar w:fldCharType="end"/>
        </w:r>
      </w:hyperlink>
    </w:p>
    <w:p w:rsidR="002A7DC5" w:rsidRDefault="00377A22">
      <w:pPr>
        <w:pStyle w:val="TOC2"/>
        <w:tabs>
          <w:tab w:val="left" w:pos="1350"/>
        </w:tabs>
        <w:rPr>
          <w:rFonts w:asciiTheme="minorHAnsi" w:eastAsiaTheme="minorEastAsia" w:hAnsiTheme="minorHAnsi" w:cstheme="minorBidi"/>
          <w:noProof/>
          <w:sz w:val="22"/>
          <w:szCs w:val="22"/>
        </w:rPr>
      </w:pPr>
      <w:hyperlink w:anchor="_Toc290573108" w:history="1">
        <w:r w:rsidR="002A7DC5" w:rsidRPr="000D0F36">
          <w:rPr>
            <w:rStyle w:val="Hyperlink"/>
            <w:noProof/>
          </w:rPr>
          <w:t>A.</w:t>
        </w:r>
        <w:r w:rsidR="002A7DC5">
          <w:rPr>
            <w:rFonts w:asciiTheme="minorHAnsi" w:eastAsiaTheme="minorEastAsia" w:hAnsiTheme="minorHAnsi" w:cstheme="minorBidi"/>
            <w:noProof/>
            <w:sz w:val="22"/>
            <w:szCs w:val="22"/>
          </w:rPr>
          <w:tab/>
        </w:r>
        <w:r w:rsidR="002A7DC5" w:rsidRPr="000D0F36">
          <w:rPr>
            <w:rStyle w:val="Hyperlink"/>
            <w:noProof/>
          </w:rPr>
          <w:t>Summary Judgment Standard</w:t>
        </w:r>
        <w:r w:rsidR="002A7DC5">
          <w:rPr>
            <w:noProof/>
            <w:webHidden/>
          </w:rPr>
          <w:tab/>
        </w:r>
        <w:r>
          <w:rPr>
            <w:noProof/>
            <w:webHidden/>
          </w:rPr>
          <w:fldChar w:fldCharType="begin"/>
        </w:r>
        <w:r w:rsidR="002A7DC5">
          <w:rPr>
            <w:noProof/>
            <w:webHidden/>
          </w:rPr>
          <w:instrText xml:space="preserve"> PAGEREF _Toc290573108 \h </w:instrText>
        </w:r>
        <w:r>
          <w:rPr>
            <w:noProof/>
            <w:webHidden/>
          </w:rPr>
        </w:r>
        <w:r>
          <w:rPr>
            <w:noProof/>
            <w:webHidden/>
          </w:rPr>
          <w:fldChar w:fldCharType="separate"/>
        </w:r>
        <w:r w:rsidR="00BA1179">
          <w:rPr>
            <w:noProof/>
            <w:webHidden/>
          </w:rPr>
          <w:t>20</w:t>
        </w:r>
        <w:r>
          <w:rPr>
            <w:noProof/>
            <w:webHidden/>
          </w:rPr>
          <w:fldChar w:fldCharType="end"/>
        </w:r>
      </w:hyperlink>
    </w:p>
    <w:p w:rsidR="002A7DC5" w:rsidRDefault="00377A22">
      <w:pPr>
        <w:pStyle w:val="TOC2"/>
        <w:tabs>
          <w:tab w:val="left" w:pos="1350"/>
        </w:tabs>
        <w:rPr>
          <w:rFonts w:asciiTheme="minorHAnsi" w:eastAsiaTheme="minorEastAsia" w:hAnsiTheme="minorHAnsi" w:cstheme="minorBidi"/>
          <w:noProof/>
          <w:sz w:val="22"/>
          <w:szCs w:val="22"/>
        </w:rPr>
      </w:pPr>
      <w:hyperlink w:anchor="_Toc290573109" w:history="1">
        <w:r w:rsidR="002A7DC5" w:rsidRPr="000D0F36">
          <w:rPr>
            <w:rStyle w:val="Hyperlink"/>
            <w:caps/>
            <w:noProof/>
          </w:rPr>
          <w:t>B.</w:t>
        </w:r>
        <w:r w:rsidR="002A7DC5">
          <w:rPr>
            <w:rFonts w:asciiTheme="minorHAnsi" w:eastAsiaTheme="minorEastAsia" w:hAnsiTheme="minorHAnsi" w:cstheme="minorBidi"/>
            <w:noProof/>
            <w:sz w:val="22"/>
            <w:szCs w:val="22"/>
          </w:rPr>
          <w:tab/>
        </w:r>
        <w:r w:rsidR="002A7DC5" w:rsidRPr="000D0F36">
          <w:rPr>
            <w:rStyle w:val="Hyperlink"/>
            <w:noProof/>
          </w:rPr>
          <w:t>The City’s CO Requirement for “Homes for Non-Beddridden Alcoholics” Violates the ADA as a Matter of Law.</w:t>
        </w:r>
        <w:r w:rsidR="002A7DC5">
          <w:rPr>
            <w:noProof/>
            <w:webHidden/>
          </w:rPr>
          <w:tab/>
        </w:r>
        <w:r>
          <w:rPr>
            <w:noProof/>
            <w:webHidden/>
          </w:rPr>
          <w:fldChar w:fldCharType="begin"/>
        </w:r>
        <w:r w:rsidR="002A7DC5">
          <w:rPr>
            <w:noProof/>
            <w:webHidden/>
          </w:rPr>
          <w:instrText xml:space="preserve"> PAGEREF _Toc290573109 \h </w:instrText>
        </w:r>
        <w:r>
          <w:rPr>
            <w:noProof/>
            <w:webHidden/>
          </w:rPr>
        </w:r>
        <w:r>
          <w:rPr>
            <w:noProof/>
            <w:webHidden/>
          </w:rPr>
          <w:fldChar w:fldCharType="separate"/>
        </w:r>
        <w:r w:rsidR="00BA1179">
          <w:rPr>
            <w:noProof/>
            <w:webHidden/>
          </w:rPr>
          <w:t>20</w:t>
        </w:r>
        <w:r>
          <w:rPr>
            <w:noProof/>
            <w:webHidden/>
          </w:rPr>
          <w:fldChar w:fldCharType="end"/>
        </w:r>
      </w:hyperlink>
    </w:p>
    <w:p w:rsidR="002A7DC5" w:rsidRDefault="00377A22">
      <w:pPr>
        <w:pStyle w:val="TOC3"/>
        <w:tabs>
          <w:tab w:val="left" w:pos="2070"/>
        </w:tabs>
        <w:rPr>
          <w:rFonts w:asciiTheme="minorHAnsi" w:eastAsiaTheme="minorEastAsia" w:hAnsiTheme="minorHAnsi" w:cstheme="minorBidi"/>
          <w:noProof/>
          <w:sz w:val="22"/>
          <w:szCs w:val="22"/>
        </w:rPr>
      </w:pPr>
      <w:hyperlink w:anchor="_Toc290573110" w:history="1">
        <w:r w:rsidR="002A7DC5" w:rsidRPr="000D0F36">
          <w:rPr>
            <w:rStyle w:val="Hyperlink"/>
            <w:noProof/>
          </w:rPr>
          <w:t>1.</w:t>
        </w:r>
        <w:r w:rsidR="002A7DC5">
          <w:rPr>
            <w:rFonts w:asciiTheme="minorHAnsi" w:eastAsiaTheme="minorEastAsia" w:hAnsiTheme="minorHAnsi" w:cstheme="minorBidi"/>
            <w:noProof/>
            <w:sz w:val="22"/>
            <w:szCs w:val="22"/>
          </w:rPr>
          <w:tab/>
        </w:r>
        <w:r w:rsidR="002A7DC5" w:rsidRPr="000D0F36">
          <w:rPr>
            <w:rStyle w:val="Hyperlink"/>
            <w:noProof/>
          </w:rPr>
          <w:t>The Americans with Disabilities Act Protects Persons with Disabilities.</w:t>
        </w:r>
        <w:r w:rsidR="002A7DC5">
          <w:rPr>
            <w:noProof/>
            <w:webHidden/>
          </w:rPr>
          <w:tab/>
        </w:r>
        <w:r>
          <w:rPr>
            <w:noProof/>
            <w:webHidden/>
          </w:rPr>
          <w:fldChar w:fldCharType="begin"/>
        </w:r>
        <w:r w:rsidR="002A7DC5">
          <w:rPr>
            <w:noProof/>
            <w:webHidden/>
          </w:rPr>
          <w:instrText xml:space="preserve"> PAGEREF _Toc290573110 \h </w:instrText>
        </w:r>
        <w:r>
          <w:rPr>
            <w:noProof/>
            <w:webHidden/>
          </w:rPr>
        </w:r>
        <w:r>
          <w:rPr>
            <w:noProof/>
            <w:webHidden/>
          </w:rPr>
          <w:fldChar w:fldCharType="separate"/>
        </w:r>
        <w:r w:rsidR="00BA1179">
          <w:rPr>
            <w:noProof/>
            <w:webHidden/>
          </w:rPr>
          <w:t>21</w:t>
        </w:r>
        <w:r>
          <w:rPr>
            <w:noProof/>
            <w:webHidden/>
          </w:rPr>
          <w:fldChar w:fldCharType="end"/>
        </w:r>
      </w:hyperlink>
    </w:p>
    <w:p w:rsidR="002A7DC5" w:rsidRDefault="00377A22">
      <w:pPr>
        <w:pStyle w:val="TOC3"/>
        <w:tabs>
          <w:tab w:val="left" w:pos="2070"/>
        </w:tabs>
        <w:rPr>
          <w:rFonts w:asciiTheme="minorHAnsi" w:eastAsiaTheme="minorEastAsia" w:hAnsiTheme="minorHAnsi" w:cstheme="minorBidi"/>
          <w:noProof/>
          <w:sz w:val="22"/>
          <w:szCs w:val="22"/>
        </w:rPr>
      </w:pPr>
      <w:hyperlink w:anchor="_Toc290573111" w:history="1">
        <w:r w:rsidR="002A7DC5" w:rsidRPr="000D0F36">
          <w:rPr>
            <w:rStyle w:val="Hyperlink"/>
            <w:noProof/>
          </w:rPr>
          <w:t>2.</w:t>
        </w:r>
        <w:r w:rsidR="002A7DC5">
          <w:rPr>
            <w:rFonts w:asciiTheme="minorHAnsi" w:eastAsiaTheme="minorEastAsia" w:hAnsiTheme="minorHAnsi" w:cstheme="minorBidi"/>
            <w:noProof/>
            <w:sz w:val="22"/>
            <w:szCs w:val="22"/>
          </w:rPr>
          <w:tab/>
        </w:r>
        <w:r w:rsidR="002A7DC5" w:rsidRPr="000D0F36">
          <w:rPr>
            <w:rStyle w:val="Hyperlink"/>
            <w:noProof/>
          </w:rPr>
          <w:t>There is No Genuine Dispute of Material Fact That Individuals in Residential Substance Abuse Treatment Programs Are Persons With Disabilities</w:t>
        </w:r>
        <w:r w:rsidR="002A7DC5">
          <w:rPr>
            <w:noProof/>
            <w:webHidden/>
          </w:rPr>
          <w:tab/>
        </w:r>
        <w:r>
          <w:rPr>
            <w:noProof/>
            <w:webHidden/>
          </w:rPr>
          <w:fldChar w:fldCharType="begin"/>
        </w:r>
        <w:r w:rsidR="002A7DC5">
          <w:rPr>
            <w:noProof/>
            <w:webHidden/>
          </w:rPr>
          <w:instrText xml:space="preserve"> PAGEREF _Toc290573111 \h </w:instrText>
        </w:r>
        <w:r>
          <w:rPr>
            <w:noProof/>
            <w:webHidden/>
          </w:rPr>
        </w:r>
        <w:r>
          <w:rPr>
            <w:noProof/>
            <w:webHidden/>
          </w:rPr>
          <w:fldChar w:fldCharType="separate"/>
        </w:r>
        <w:r w:rsidR="00BA1179">
          <w:rPr>
            <w:noProof/>
            <w:webHidden/>
          </w:rPr>
          <w:t>22</w:t>
        </w:r>
        <w:r>
          <w:rPr>
            <w:noProof/>
            <w:webHidden/>
          </w:rPr>
          <w:fldChar w:fldCharType="end"/>
        </w:r>
      </w:hyperlink>
    </w:p>
    <w:p w:rsidR="002A7DC5" w:rsidRDefault="00377A22">
      <w:pPr>
        <w:pStyle w:val="TOC4"/>
        <w:tabs>
          <w:tab w:val="left" w:pos="2880"/>
        </w:tabs>
        <w:rPr>
          <w:rFonts w:asciiTheme="minorHAnsi" w:eastAsiaTheme="minorEastAsia" w:hAnsiTheme="minorHAnsi" w:cstheme="minorBidi"/>
          <w:noProof/>
          <w:sz w:val="22"/>
          <w:szCs w:val="22"/>
        </w:rPr>
      </w:pPr>
      <w:hyperlink w:anchor="_Toc290573112" w:history="1">
        <w:r w:rsidR="002A7DC5" w:rsidRPr="000D0F36">
          <w:rPr>
            <w:rStyle w:val="Hyperlink"/>
            <w:noProof/>
          </w:rPr>
          <w:t>a.</w:t>
        </w:r>
        <w:r w:rsidR="002A7DC5">
          <w:rPr>
            <w:rFonts w:asciiTheme="minorHAnsi" w:eastAsiaTheme="minorEastAsia" w:hAnsiTheme="minorHAnsi" w:cstheme="minorBidi"/>
            <w:noProof/>
            <w:sz w:val="22"/>
            <w:szCs w:val="22"/>
          </w:rPr>
          <w:tab/>
        </w:r>
        <w:r w:rsidR="002A7DC5" w:rsidRPr="000D0F36">
          <w:rPr>
            <w:rStyle w:val="Hyperlink"/>
            <w:noProof/>
          </w:rPr>
          <w:t>The City has conceded that RSATP residents are persons with disabilities.</w:t>
        </w:r>
        <w:r w:rsidR="002A7DC5">
          <w:rPr>
            <w:noProof/>
            <w:webHidden/>
          </w:rPr>
          <w:tab/>
        </w:r>
        <w:r>
          <w:rPr>
            <w:noProof/>
            <w:webHidden/>
          </w:rPr>
          <w:fldChar w:fldCharType="begin"/>
        </w:r>
        <w:r w:rsidR="002A7DC5">
          <w:rPr>
            <w:noProof/>
            <w:webHidden/>
          </w:rPr>
          <w:instrText xml:space="preserve"> PAGEREF _Toc290573112 \h </w:instrText>
        </w:r>
        <w:r>
          <w:rPr>
            <w:noProof/>
            <w:webHidden/>
          </w:rPr>
        </w:r>
        <w:r>
          <w:rPr>
            <w:noProof/>
            <w:webHidden/>
          </w:rPr>
          <w:fldChar w:fldCharType="separate"/>
        </w:r>
        <w:r w:rsidR="00BA1179">
          <w:rPr>
            <w:noProof/>
            <w:webHidden/>
          </w:rPr>
          <w:t>22</w:t>
        </w:r>
        <w:r>
          <w:rPr>
            <w:noProof/>
            <w:webHidden/>
          </w:rPr>
          <w:fldChar w:fldCharType="end"/>
        </w:r>
      </w:hyperlink>
    </w:p>
    <w:p w:rsidR="002A7DC5" w:rsidRDefault="00377A22">
      <w:pPr>
        <w:pStyle w:val="TOC4"/>
        <w:tabs>
          <w:tab w:val="left" w:pos="2880"/>
        </w:tabs>
        <w:rPr>
          <w:rFonts w:asciiTheme="minorHAnsi" w:eastAsiaTheme="minorEastAsia" w:hAnsiTheme="minorHAnsi" w:cstheme="minorBidi"/>
          <w:noProof/>
          <w:sz w:val="22"/>
          <w:szCs w:val="22"/>
        </w:rPr>
      </w:pPr>
      <w:hyperlink w:anchor="_Toc290573113" w:history="1">
        <w:r w:rsidR="002A7DC5" w:rsidRPr="000D0F36">
          <w:rPr>
            <w:rStyle w:val="Hyperlink"/>
            <w:noProof/>
          </w:rPr>
          <w:t>b.</w:t>
        </w:r>
        <w:r w:rsidR="002A7DC5">
          <w:rPr>
            <w:rFonts w:asciiTheme="minorHAnsi" w:eastAsiaTheme="minorEastAsia" w:hAnsiTheme="minorHAnsi" w:cstheme="minorBidi"/>
            <w:noProof/>
            <w:sz w:val="22"/>
            <w:szCs w:val="22"/>
          </w:rPr>
          <w:tab/>
        </w:r>
        <w:r w:rsidR="002A7DC5" w:rsidRPr="000D0F36">
          <w:rPr>
            <w:rStyle w:val="Hyperlink"/>
            <w:noProof/>
          </w:rPr>
          <w:t>Maryland’s regulatory scheme for licensed substance abuse treatment programs effectively requires that RSATP residents have a disability</w:t>
        </w:r>
        <w:r w:rsidR="002A7DC5">
          <w:rPr>
            <w:noProof/>
            <w:webHidden/>
          </w:rPr>
          <w:tab/>
        </w:r>
        <w:r>
          <w:rPr>
            <w:noProof/>
            <w:webHidden/>
          </w:rPr>
          <w:fldChar w:fldCharType="begin"/>
        </w:r>
        <w:r w:rsidR="002A7DC5">
          <w:rPr>
            <w:noProof/>
            <w:webHidden/>
          </w:rPr>
          <w:instrText xml:space="preserve"> PAGEREF _Toc290573113 \h </w:instrText>
        </w:r>
        <w:r>
          <w:rPr>
            <w:noProof/>
            <w:webHidden/>
          </w:rPr>
        </w:r>
        <w:r>
          <w:rPr>
            <w:noProof/>
            <w:webHidden/>
          </w:rPr>
          <w:fldChar w:fldCharType="separate"/>
        </w:r>
        <w:r w:rsidR="00BA1179">
          <w:rPr>
            <w:noProof/>
            <w:webHidden/>
          </w:rPr>
          <w:t>23</w:t>
        </w:r>
        <w:r>
          <w:rPr>
            <w:noProof/>
            <w:webHidden/>
          </w:rPr>
          <w:fldChar w:fldCharType="end"/>
        </w:r>
      </w:hyperlink>
    </w:p>
    <w:p w:rsidR="00E578E6" w:rsidRDefault="00377A22">
      <w:pPr>
        <w:pStyle w:val="TOC4"/>
        <w:tabs>
          <w:tab w:val="left" w:pos="2880"/>
        </w:tabs>
        <w:rPr>
          <w:rStyle w:val="Hyperlink"/>
          <w:noProof/>
        </w:rPr>
      </w:pPr>
      <w:hyperlink w:anchor="_Toc290573114" w:history="1">
        <w:r w:rsidR="002A7DC5" w:rsidRPr="000D0F36">
          <w:rPr>
            <w:rStyle w:val="Hyperlink"/>
            <w:noProof/>
          </w:rPr>
          <w:t>c.</w:t>
        </w:r>
        <w:r w:rsidR="002A7DC5">
          <w:rPr>
            <w:rFonts w:asciiTheme="minorHAnsi" w:eastAsiaTheme="minorEastAsia" w:hAnsiTheme="minorHAnsi" w:cstheme="minorBidi"/>
            <w:noProof/>
            <w:sz w:val="22"/>
            <w:szCs w:val="22"/>
          </w:rPr>
          <w:tab/>
        </w:r>
        <w:r w:rsidR="002A7DC5" w:rsidRPr="000D0F36">
          <w:rPr>
            <w:rStyle w:val="Hyperlink"/>
            <w:noProof/>
          </w:rPr>
          <w:t>Individuals requiring residential substance abuse treatment have a disability per federal case law.</w:t>
        </w:r>
        <w:r w:rsidR="002A7DC5">
          <w:rPr>
            <w:noProof/>
            <w:webHidden/>
          </w:rPr>
          <w:tab/>
        </w:r>
        <w:r>
          <w:rPr>
            <w:noProof/>
            <w:webHidden/>
          </w:rPr>
          <w:fldChar w:fldCharType="begin"/>
        </w:r>
        <w:r w:rsidR="002A7DC5">
          <w:rPr>
            <w:noProof/>
            <w:webHidden/>
          </w:rPr>
          <w:instrText xml:space="preserve"> PAGEREF _Toc290573114 \h </w:instrText>
        </w:r>
        <w:r>
          <w:rPr>
            <w:noProof/>
            <w:webHidden/>
          </w:rPr>
        </w:r>
        <w:r>
          <w:rPr>
            <w:noProof/>
            <w:webHidden/>
          </w:rPr>
          <w:fldChar w:fldCharType="separate"/>
        </w:r>
        <w:r w:rsidR="00BA1179">
          <w:rPr>
            <w:noProof/>
            <w:webHidden/>
          </w:rPr>
          <w:t>24</w:t>
        </w:r>
        <w:r>
          <w:rPr>
            <w:noProof/>
            <w:webHidden/>
          </w:rPr>
          <w:fldChar w:fldCharType="end"/>
        </w:r>
      </w:hyperlink>
    </w:p>
    <w:p w:rsidR="00E578E6" w:rsidRDefault="00E578E6" w:rsidP="00E578E6">
      <w:pPr>
        <w:rPr>
          <w:rStyle w:val="Hyperlink"/>
          <w:noProof/>
        </w:rPr>
      </w:pPr>
      <w:r>
        <w:rPr>
          <w:rStyle w:val="Hyperlink"/>
          <w:noProof/>
        </w:rPr>
        <w:br w:type="page"/>
      </w:r>
    </w:p>
    <w:p w:rsidR="002A7DC5" w:rsidRDefault="002A7DC5">
      <w:pPr>
        <w:pStyle w:val="TOC4"/>
        <w:tabs>
          <w:tab w:val="left" w:pos="2880"/>
        </w:tabs>
        <w:rPr>
          <w:rFonts w:asciiTheme="minorHAnsi" w:eastAsiaTheme="minorEastAsia" w:hAnsiTheme="minorHAnsi" w:cstheme="minorBidi"/>
          <w:noProof/>
          <w:sz w:val="22"/>
          <w:szCs w:val="22"/>
        </w:rPr>
      </w:pPr>
    </w:p>
    <w:p w:rsidR="002A7DC5" w:rsidRDefault="00377A22">
      <w:pPr>
        <w:pStyle w:val="TOC3"/>
        <w:tabs>
          <w:tab w:val="left" w:pos="2070"/>
        </w:tabs>
        <w:rPr>
          <w:rFonts w:asciiTheme="minorHAnsi" w:eastAsiaTheme="minorEastAsia" w:hAnsiTheme="minorHAnsi" w:cstheme="minorBidi"/>
          <w:noProof/>
          <w:sz w:val="22"/>
          <w:szCs w:val="22"/>
        </w:rPr>
      </w:pPr>
      <w:hyperlink w:anchor="_Toc290573115" w:history="1">
        <w:r w:rsidR="002A7DC5" w:rsidRPr="000D0F36">
          <w:rPr>
            <w:rStyle w:val="Hyperlink"/>
            <w:noProof/>
          </w:rPr>
          <w:t>3.</w:t>
        </w:r>
        <w:r w:rsidR="002A7DC5">
          <w:rPr>
            <w:rFonts w:asciiTheme="minorHAnsi" w:eastAsiaTheme="minorEastAsia" w:hAnsiTheme="minorHAnsi" w:cstheme="minorBidi"/>
            <w:noProof/>
            <w:sz w:val="22"/>
            <w:szCs w:val="22"/>
          </w:rPr>
          <w:tab/>
        </w:r>
        <w:r w:rsidR="002A7DC5" w:rsidRPr="000D0F36">
          <w:rPr>
            <w:rStyle w:val="Hyperlink"/>
            <w:noProof/>
          </w:rPr>
          <w:t>The CO Requirement for RSATPs Violates the ADA Because it is Facially Discriminatory</w:t>
        </w:r>
        <w:r w:rsidR="002A7DC5">
          <w:rPr>
            <w:noProof/>
            <w:webHidden/>
          </w:rPr>
          <w:tab/>
        </w:r>
        <w:r>
          <w:rPr>
            <w:noProof/>
            <w:webHidden/>
          </w:rPr>
          <w:fldChar w:fldCharType="begin"/>
        </w:r>
        <w:r w:rsidR="002A7DC5">
          <w:rPr>
            <w:noProof/>
            <w:webHidden/>
          </w:rPr>
          <w:instrText xml:space="preserve"> PAGEREF _Toc290573115 \h </w:instrText>
        </w:r>
        <w:r>
          <w:rPr>
            <w:noProof/>
            <w:webHidden/>
          </w:rPr>
        </w:r>
        <w:r>
          <w:rPr>
            <w:noProof/>
            <w:webHidden/>
          </w:rPr>
          <w:fldChar w:fldCharType="separate"/>
        </w:r>
        <w:r w:rsidR="00BA1179">
          <w:rPr>
            <w:noProof/>
            <w:webHidden/>
          </w:rPr>
          <w:t>27</w:t>
        </w:r>
        <w:r>
          <w:rPr>
            <w:noProof/>
            <w:webHidden/>
          </w:rPr>
          <w:fldChar w:fldCharType="end"/>
        </w:r>
      </w:hyperlink>
    </w:p>
    <w:p w:rsidR="002A7DC5" w:rsidRDefault="00377A22">
      <w:pPr>
        <w:pStyle w:val="TOC4"/>
        <w:tabs>
          <w:tab w:val="left" w:pos="2880"/>
        </w:tabs>
        <w:rPr>
          <w:rFonts w:asciiTheme="minorHAnsi" w:eastAsiaTheme="minorEastAsia" w:hAnsiTheme="minorHAnsi" w:cstheme="minorBidi"/>
          <w:noProof/>
          <w:sz w:val="22"/>
          <w:szCs w:val="22"/>
        </w:rPr>
      </w:pPr>
      <w:hyperlink w:anchor="_Toc290573116" w:history="1">
        <w:r w:rsidR="002A7DC5" w:rsidRPr="000D0F36">
          <w:rPr>
            <w:rStyle w:val="Hyperlink"/>
            <w:noProof/>
          </w:rPr>
          <w:t>a.</w:t>
        </w:r>
        <w:r w:rsidR="002A7DC5">
          <w:rPr>
            <w:rFonts w:asciiTheme="minorHAnsi" w:eastAsiaTheme="minorEastAsia" w:hAnsiTheme="minorHAnsi" w:cstheme="minorBidi"/>
            <w:noProof/>
            <w:sz w:val="22"/>
            <w:szCs w:val="22"/>
          </w:rPr>
          <w:tab/>
        </w:r>
        <w:r w:rsidR="002A7DC5" w:rsidRPr="000D0F36">
          <w:rPr>
            <w:rStyle w:val="Hyperlink"/>
            <w:noProof/>
          </w:rPr>
          <w:t>Comparable Uses to RSATPs are Permitted to Locate as of Right Under the Zoning Code.</w:t>
        </w:r>
        <w:r w:rsidR="002A7DC5">
          <w:rPr>
            <w:noProof/>
            <w:webHidden/>
          </w:rPr>
          <w:tab/>
        </w:r>
        <w:r>
          <w:rPr>
            <w:noProof/>
            <w:webHidden/>
          </w:rPr>
          <w:fldChar w:fldCharType="begin"/>
        </w:r>
        <w:r w:rsidR="002A7DC5">
          <w:rPr>
            <w:noProof/>
            <w:webHidden/>
          </w:rPr>
          <w:instrText xml:space="preserve"> PAGEREF _Toc290573116 \h </w:instrText>
        </w:r>
        <w:r>
          <w:rPr>
            <w:noProof/>
            <w:webHidden/>
          </w:rPr>
        </w:r>
        <w:r>
          <w:rPr>
            <w:noProof/>
            <w:webHidden/>
          </w:rPr>
          <w:fldChar w:fldCharType="separate"/>
        </w:r>
        <w:r w:rsidR="00BA1179">
          <w:rPr>
            <w:noProof/>
            <w:webHidden/>
          </w:rPr>
          <w:t>29</w:t>
        </w:r>
        <w:r>
          <w:rPr>
            <w:noProof/>
            <w:webHidden/>
          </w:rPr>
          <w:fldChar w:fldCharType="end"/>
        </w:r>
      </w:hyperlink>
    </w:p>
    <w:p w:rsidR="002A7DC5" w:rsidRDefault="00377A22">
      <w:pPr>
        <w:pStyle w:val="TOC4"/>
        <w:tabs>
          <w:tab w:val="left" w:pos="2880"/>
        </w:tabs>
        <w:rPr>
          <w:rFonts w:asciiTheme="minorHAnsi" w:eastAsiaTheme="minorEastAsia" w:hAnsiTheme="minorHAnsi" w:cstheme="minorBidi"/>
          <w:noProof/>
          <w:sz w:val="22"/>
          <w:szCs w:val="22"/>
        </w:rPr>
      </w:pPr>
      <w:hyperlink w:anchor="_Toc290573117" w:history="1">
        <w:r w:rsidR="002A7DC5" w:rsidRPr="000D0F36">
          <w:rPr>
            <w:rStyle w:val="Hyperlink"/>
            <w:noProof/>
          </w:rPr>
          <w:t>b.</w:t>
        </w:r>
        <w:r w:rsidR="002A7DC5">
          <w:rPr>
            <w:rFonts w:asciiTheme="minorHAnsi" w:eastAsiaTheme="minorEastAsia" w:hAnsiTheme="minorHAnsi" w:cstheme="minorBidi"/>
            <w:noProof/>
            <w:sz w:val="22"/>
            <w:szCs w:val="22"/>
          </w:rPr>
          <w:tab/>
        </w:r>
        <w:r w:rsidR="002A7DC5" w:rsidRPr="000D0F36">
          <w:rPr>
            <w:rStyle w:val="Hyperlink"/>
            <w:noProof/>
          </w:rPr>
          <w:t>Residential Drug Treatment Programs Do Not Pose a Significant Risk to the Health or Safety of Others</w:t>
        </w:r>
        <w:r w:rsidR="002A7DC5">
          <w:rPr>
            <w:noProof/>
            <w:webHidden/>
          </w:rPr>
          <w:tab/>
        </w:r>
        <w:r>
          <w:rPr>
            <w:noProof/>
            <w:webHidden/>
          </w:rPr>
          <w:fldChar w:fldCharType="begin"/>
        </w:r>
        <w:r w:rsidR="002A7DC5">
          <w:rPr>
            <w:noProof/>
            <w:webHidden/>
          </w:rPr>
          <w:instrText xml:space="preserve"> PAGEREF _Toc290573117 \h </w:instrText>
        </w:r>
        <w:r>
          <w:rPr>
            <w:noProof/>
            <w:webHidden/>
          </w:rPr>
        </w:r>
        <w:r>
          <w:rPr>
            <w:noProof/>
            <w:webHidden/>
          </w:rPr>
          <w:fldChar w:fldCharType="separate"/>
        </w:r>
        <w:r w:rsidR="00BA1179">
          <w:rPr>
            <w:noProof/>
            <w:webHidden/>
          </w:rPr>
          <w:t>36</w:t>
        </w:r>
        <w:r>
          <w:rPr>
            <w:noProof/>
            <w:webHidden/>
          </w:rPr>
          <w:fldChar w:fldCharType="end"/>
        </w:r>
      </w:hyperlink>
    </w:p>
    <w:p w:rsidR="002A7DC5" w:rsidRDefault="00377A22">
      <w:pPr>
        <w:pStyle w:val="TOC3"/>
        <w:tabs>
          <w:tab w:val="left" w:pos="2070"/>
        </w:tabs>
        <w:rPr>
          <w:rFonts w:asciiTheme="minorHAnsi" w:eastAsiaTheme="minorEastAsia" w:hAnsiTheme="minorHAnsi" w:cstheme="minorBidi"/>
          <w:noProof/>
          <w:sz w:val="22"/>
          <w:szCs w:val="22"/>
        </w:rPr>
      </w:pPr>
      <w:hyperlink w:anchor="_Toc290573118" w:history="1">
        <w:r w:rsidR="002A7DC5" w:rsidRPr="000D0F36">
          <w:rPr>
            <w:rStyle w:val="Hyperlink"/>
            <w:noProof/>
          </w:rPr>
          <w:t>4.</w:t>
        </w:r>
        <w:r w:rsidR="002A7DC5">
          <w:rPr>
            <w:rFonts w:asciiTheme="minorHAnsi" w:eastAsiaTheme="minorEastAsia" w:hAnsiTheme="minorHAnsi" w:cstheme="minorBidi"/>
            <w:noProof/>
            <w:sz w:val="22"/>
            <w:szCs w:val="22"/>
          </w:rPr>
          <w:tab/>
        </w:r>
        <w:r w:rsidR="002A7DC5" w:rsidRPr="000D0F36">
          <w:rPr>
            <w:rStyle w:val="Hyperlink"/>
            <w:noProof/>
          </w:rPr>
          <w:t>The CO Requirement Also Violates the ADA Because it is Intentionally Discriminatory</w:t>
        </w:r>
        <w:r w:rsidR="002A7DC5">
          <w:rPr>
            <w:noProof/>
            <w:webHidden/>
          </w:rPr>
          <w:tab/>
        </w:r>
        <w:r>
          <w:rPr>
            <w:noProof/>
            <w:webHidden/>
          </w:rPr>
          <w:fldChar w:fldCharType="begin"/>
        </w:r>
        <w:r w:rsidR="002A7DC5">
          <w:rPr>
            <w:noProof/>
            <w:webHidden/>
          </w:rPr>
          <w:instrText xml:space="preserve"> PAGEREF _Toc290573118 \h </w:instrText>
        </w:r>
        <w:r>
          <w:rPr>
            <w:noProof/>
            <w:webHidden/>
          </w:rPr>
        </w:r>
        <w:r>
          <w:rPr>
            <w:noProof/>
            <w:webHidden/>
          </w:rPr>
          <w:fldChar w:fldCharType="separate"/>
        </w:r>
        <w:r w:rsidR="00BA1179">
          <w:rPr>
            <w:noProof/>
            <w:webHidden/>
          </w:rPr>
          <w:t>37</w:t>
        </w:r>
        <w:r>
          <w:rPr>
            <w:noProof/>
            <w:webHidden/>
          </w:rPr>
          <w:fldChar w:fldCharType="end"/>
        </w:r>
      </w:hyperlink>
    </w:p>
    <w:p w:rsidR="002A7DC5" w:rsidRDefault="00377A22">
      <w:pPr>
        <w:pStyle w:val="TOC4"/>
        <w:tabs>
          <w:tab w:val="left" w:pos="2880"/>
        </w:tabs>
        <w:rPr>
          <w:rFonts w:asciiTheme="minorHAnsi" w:eastAsiaTheme="minorEastAsia" w:hAnsiTheme="minorHAnsi" w:cstheme="minorBidi"/>
          <w:noProof/>
          <w:sz w:val="22"/>
          <w:szCs w:val="22"/>
        </w:rPr>
      </w:pPr>
      <w:hyperlink w:anchor="_Toc290573119" w:history="1">
        <w:r w:rsidR="002A7DC5" w:rsidRPr="000D0F36">
          <w:rPr>
            <w:rStyle w:val="Hyperlink"/>
            <w:noProof/>
          </w:rPr>
          <w:t>a.</w:t>
        </w:r>
        <w:r w:rsidR="002A7DC5">
          <w:rPr>
            <w:rFonts w:asciiTheme="minorHAnsi" w:eastAsiaTheme="minorEastAsia" w:hAnsiTheme="minorHAnsi" w:cstheme="minorBidi"/>
            <w:noProof/>
            <w:sz w:val="22"/>
            <w:szCs w:val="22"/>
          </w:rPr>
          <w:tab/>
        </w:r>
        <w:r w:rsidR="002A7DC5" w:rsidRPr="000D0F36">
          <w:rPr>
            <w:rStyle w:val="Hyperlink"/>
            <w:noProof/>
          </w:rPr>
          <w:t>The CO Requirement is Motivated by Animus Against Individuals in Recovery as Reflected in City Council Members’ and Residents’ Statements in Opposition to Bill 07-0002.</w:t>
        </w:r>
        <w:r w:rsidR="002A7DC5">
          <w:rPr>
            <w:noProof/>
            <w:webHidden/>
          </w:rPr>
          <w:tab/>
        </w:r>
        <w:r>
          <w:rPr>
            <w:noProof/>
            <w:webHidden/>
          </w:rPr>
          <w:fldChar w:fldCharType="begin"/>
        </w:r>
        <w:r w:rsidR="002A7DC5">
          <w:rPr>
            <w:noProof/>
            <w:webHidden/>
          </w:rPr>
          <w:instrText xml:space="preserve"> PAGEREF _Toc290573119 \h </w:instrText>
        </w:r>
        <w:r>
          <w:rPr>
            <w:noProof/>
            <w:webHidden/>
          </w:rPr>
        </w:r>
        <w:r>
          <w:rPr>
            <w:noProof/>
            <w:webHidden/>
          </w:rPr>
          <w:fldChar w:fldCharType="separate"/>
        </w:r>
        <w:r w:rsidR="00BA1179">
          <w:rPr>
            <w:noProof/>
            <w:webHidden/>
          </w:rPr>
          <w:t>38</w:t>
        </w:r>
        <w:r>
          <w:rPr>
            <w:noProof/>
            <w:webHidden/>
          </w:rPr>
          <w:fldChar w:fldCharType="end"/>
        </w:r>
      </w:hyperlink>
    </w:p>
    <w:p w:rsidR="002A7DC5" w:rsidRDefault="00377A22">
      <w:pPr>
        <w:pStyle w:val="TOC4"/>
        <w:tabs>
          <w:tab w:val="left" w:pos="2880"/>
        </w:tabs>
        <w:rPr>
          <w:rFonts w:asciiTheme="minorHAnsi" w:eastAsiaTheme="minorEastAsia" w:hAnsiTheme="minorHAnsi" w:cstheme="minorBidi"/>
          <w:noProof/>
          <w:sz w:val="22"/>
          <w:szCs w:val="22"/>
        </w:rPr>
      </w:pPr>
      <w:hyperlink w:anchor="_Toc290573120" w:history="1">
        <w:r w:rsidR="002A7DC5" w:rsidRPr="000D0F36">
          <w:rPr>
            <w:rStyle w:val="Hyperlink"/>
            <w:noProof/>
          </w:rPr>
          <w:t>b.</w:t>
        </w:r>
        <w:r w:rsidR="002A7DC5">
          <w:rPr>
            <w:rFonts w:asciiTheme="minorHAnsi" w:eastAsiaTheme="minorEastAsia" w:hAnsiTheme="minorHAnsi" w:cstheme="minorBidi"/>
            <w:noProof/>
            <w:sz w:val="22"/>
            <w:szCs w:val="22"/>
          </w:rPr>
          <w:tab/>
        </w:r>
        <w:r w:rsidR="002A7DC5" w:rsidRPr="000D0F36">
          <w:rPr>
            <w:rStyle w:val="Hyperlink"/>
            <w:noProof/>
          </w:rPr>
          <w:t>There Is No Legitimate Nondiscriminatory Reason For The CO Requirement</w:t>
        </w:r>
        <w:r w:rsidR="002A7DC5">
          <w:rPr>
            <w:noProof/>
            <w:webHidden/>
          </w:rPr>
          <w:tab/>
        </w:r>
        <w:r>
          <w:rPr>
            <w:noProof/>
            <w:webHidden/>
          </w:rPr>
          <w:fldChar w:fldCharType="begin"/>
        </w:r>
        <w:r w:rsidR="002A7DC5">
          <w:rPr>
            <w:noProof/>
            <w:webHidden/>
          </w:rPr>
          <w:instrText xml:space="preserve"> PAGEREF _Toc290573120 \h </w:instrText>
        </w:r>
        <w:r>
          <w:rPr>
            <w:noProof/>
            <w:webHidden/>
          </w:rPr>
        </w:r>
        <w:r>
          <w:rPr>
            <w:noProof/>
            <w:webHidden/>
          </w:rPr>
          <w:fldChar w:fldCharType="separate"/>
        </w:r>
        <w:r w:rsidR="00BA1179">
          <w:rPr>
            <w:noProof/>
            <w:webHidden/>
          </w:rPr>
          <w:t>43</w:t>
        </w:r>
        <w:r>
          <w:rPr>
            <w:noProof/>
            <w:webHidden/>
          </w:rPr>
          <w:fldChar w:fldCharType="end"/>
        </w:r>
      </w:hyperlink>
    </w:p>
    <w:p w:rsidR="002A7DC5" w:rsidRDefault="00377A22">
      <w:pPr>
        <w:pStyle w:val="TOC1"/>
        <w:rPr>
          <w:rFonts w:asciiTheme="minorHAnsi" w:eastAsiaTheme="minorEastAsia" w:hAnsiTheme="minorHAnsi" w:cstheme="minorBidi"/>
          <w:noProof/>
          <w:sz w:val="22"/>
          <w:szCs w:val="22"/>
        </w:rPr>
      </w:pPr>
      <w:hyperlink w:anchor="_Toc290573121" w:history="1">
        <w:r w:rsidR="002A7DC5" w:rsidRPr="000D0F36">
          <w:rPr>
            <w:rStyle w:val="Hyperlink"/>
            <w:b/>
            <w:noProof/>
          </w:rPr>
          <w:t>V.</w:t>
        </w:r>
        <w:r w:rsidR="002A7DC5">
          <w:rPr>
            <w:rFonts w:asciiTheme="minorHAnsi" w:eastAsiaTheme="minorEastAsia" w:hAnsiTheme="minorHAnsi" w:cstheme="minorBidi"/>
            <w:noProof/>
            <w:sz w:val="22"/>
            <w:szCs w:val="22"/>
          </w:rPr>
          <w:tab/>
        </w:r>
        <w:r w:rsidR="002A7DC5" w:rsidRPr="000D0F36">
          <w:rPr>
            <w:rStyle w:val="Hyperlink"/>
            <w:b/>
            <w:caps/>
            <w:noProof/>
          </w:rPr>
          <w:t>Conclusion</w:t>
        </w:r>
        <w:r w:rsidR="002A7DC5">
          <w:rPr>
            <w:noProof/>
            <w:webHidden/>
          </w:rPr>
          <w:tab/>
        </w:r>
        <w:r>
          <w:rPr>
            <w:noProof/>
            <w:webHidden/>
          </w:rPr>
          <w:fldChar w:fldCharType="begin"/>
        </w:r>
        <w:r w:rsidR="002A7DC5">
          <w:rPr>
            <w:noProof/>
            <w:webHidden/>
          </w:rPr>
          <w:instrText xml:space="preserve"> PAGEREF _Toc290573121 \h </w:instrText>
        </w:r>
        <w:r>
          <w:rPr>
            <w:noProof/>
            <w:webHidden/>
          </w:rPr>
        </w:r>
        <w:r>
          <w:rPr>
            <w:noProof/>
            <w:webHidden/>
          </w:rPr>
          <w:fldChar w:fldCharType="separate"/>
        </w:r>
        <w:r w:rsidR="00BA1179">
          <w:rPr>
            <w:noProof/>
            <w:webHidden/>
          </w:rPr>
          <w:t>45</w:t>
        </w:r>
        <w:r>
          <w:rPr>
            <w:noProof/>
            <w:webHidden/>
          </w:rPr>
          <w:fldChar w:fldCharType="end"/>
        </w:r>
      </w:hyperlink>
    </w:p>
    <w:p w:rsidR="002E4ECB" w:rsidRPr="00CD44A3" w:rsidRDefault="00377A22" w:rsidP="00B76C8F">
      <w:r>
        <w:fldChar w:fldCharType="end"/>
      </w:r>
    </w:p>
    <w:p w:rsidR="002E4ECB" w:rsidRPr="00CD44A3" w:rsidRDefault="002E4ECB">
      <w:r w:rsidRPr="00CD44A3">
        <w:br w:type="page"/>
      </w:r>
    </w:p>
    <w:p w:rsidR="00B76C8F" w:rsidRPr="00CD44A3" w:rsidRDefault="00B76C8F" w:rsidP="00B76C8F">
      <w:pPr>
        <w:jc w:val="center"/>
        <w:rPr>
          <w:b/>
        </w:rPr>
      </w:pPr>
      <w:r w:rsidRPr="00CD44A3">
        <w:rPr>
          <w:b/>
        </w:rPr>
        <w:lastRenderedPageBreak/>
        <w:t>TABLE OF AUTHORITIES</w:t>
      </w:r>
    </w:p>
    <w:p w:rsidR="00B76C8F" w:rsidRPr="00CD44A3" w:rsidRDefault="00377A22" w:rsidP="00B76C8F">
      <w:pPr>
        <w:pStyle w:val="TOAHeading"/>
        <w:tabs>
          <w:tab w:val="right" w:leader="dot" w:pos="10070"/>
        </w:tabs>
        <w:rPr>
          <w:rFonts w:ascii="Times New Roman" w:hAnsi="Times New Roman"/>
          <w:b/>
          <w:bCs w:val="0"/>
          <w:noProof/>
          <w:sz w:val="22"/>
          <w:szCs w:val="22"/>
        </w:rPr>
      </w:pPr>
      <w:r w:rsidRPr="00CD44A3">
        <w:rPr>
          <w:rFonts w:ascii="Times New Roman" w:hAnsi="Times New Roman"/>
        </w:rPr>
        <w:fldChar w:fldCharType="begin"/>
      </w:r>
      <w:r w:rsidR="00B76C8F" w:rsidRPr="00CD44A3">
        <w:rPr>
          <w:rFonts w:ascii="Times New Roman" w:hAnsi="Times New Roman"/>
        </w:rPr>
        <w:instrText xml:space="preserve"> TOA \h \c "3" \p </w:instrText>
      </w:r>
      <w:r w:rsidRPr="00CD44A3">
        <w:rPr>
          <w:rFonts w:ascii="Times New Roman" w:hAnsi="Times New Roman"/>
        </w:rPr>
        <w:fldChar w:fldCharType="separate"/>
      </w:r>
      <w:r w:rsidR="00B76C8F" w:rsidRPr="00CD44A3">
        <w:rPr>
          <w:rFonts w:ascii="Times New Roman" w:hAnsi="Times New Roman"/>
          <w:b/>
          <w:noProof/>
        </w:rPr>
        <w:t>Cases</w:t>
      </w:r>
    </w:p>
    <w:p w:rsidR="00B76C8F" w:rsidRPr="00034C63" w:rsidRDefault="00B76C8F" w:rsidP="00B76C8F">
      <w:pPr>
        <w:pStyle w:val="TableofAuthorities"/>
        <w:tabs>
          <w:tab w:val="right" w:leader="dot" w:pos="10070"/>
        </w:tabs>
        <w:rPr>
          <w:noProof/>
          <w:szCs w:val="24"/>
        </w:rPr>
      </w:pPr>
      <w:r w:rsidRPr="00034C63">
        <w:rPr>
          <w:noProof/>
          <w:szCs w:val="24"/>
          <w:u w:val="single"/>
        </w:rPr>
        <w:t xml:space="preserve">A Helping </w:t>
      </w:r>
      <w:r w:rsidR="00DB3ACA" w:rsidRPr="00034C63">
        <w:rPr>
          <w:noProof/>
          <w:szCs w:val="24"/>
          <w:u w:val="single"/>
        </w:rPr>
        <w:t>Hand, L.L.C. v. Baltimore Cnty.</w:t>
      </w:r>
      <w:r w:rsidRPr="00034C63">
        <w:rPr>
          <w:noProof/>
          <w:szCs w:val="24"/>
        </w:rPr>
        <w:t>,</w:t>
      </w:r>
      <w:r w:rsidRPr="00034C63">
        <w:rPr>
          <w:noProof/>
          <w:szCs w:val="24"/>
        </w:rPr>
        <w:br/>
        <w:t>515 F.3d 356 (4th Cir. 2008)</w:t>
      </w:r>
      <w:r w:rsidRPr="00034C63">
        <w:rPr>
          <w:noProof/>
          <w:szCs w:val="24"/>
        </w:rPr>
        <w:tab/>
      </w:r>
      <w:r w:rsidR="00AB369D" w:rsidRPr="00034C63">
        <w:rPr>
          <w:noProof/>
          <w:szCs w:val="24"/>
        </w:rPr>
        <w:t>24</w:t>
      </w:r>
      <w:r w:rsidR="00537654" w:rsidRPr="00034C63">
        <w:rPr>
          <w:noProof/>
          <w:szCs w:val="24"/>
        </w:rPr>
        <w:t>-</w:t>
      </w:r>
      <w:r w:rsidR="00AB369D" w:rsidRPr="00034C63">
        <w:rPr>
          <w:noProof/>
          <w:szCs w:val="24"/>
        </w:rPr>
        <w:t>25, 43</w:t>
      </w:r>
    </w:p>
    <w:p w:rsidR="00E85D9D" w:rsidRPr="00034C63" w:rsidRDefault="00E85D9D" w:rsidP="00B76C8F">
      <w:pPr>
        <w:pStyle w:val="TableofAuthorities"/>
        <w:tabs>
          <w:tab w:val="right" w:leader="dot" w:pos="10070"/>
        </w:tabs>
        <w:rPr>
          <w:noProof/>
          <w:szCs w:val="24"/>
        </w:rPr>
      </w:pPr>
      <w:r w:rsidRPr="00034C63">
        <w:rPr>
          <w:noProof/>
          <w:szCs w:val="24"/>
          <w:u w:val="single"/>
        </w:rPr>
        <w:t>A Helping Hand, L.L.C. v. Baltimore Cnty.</w:t>
      </w:r>
      <w:r w:rsidRPr="00034C63">
        <w:rPr>
          <w:noProof/>
          <w:szCs w:val="24"/>
        </w:rPr>
        <w:t>,</w:t>
      </w:r>
      <w:r w:rsidRPr="00034C63">
        <w:rPr>
          <w:noProof/>
          <w:szCs w:val="24"/>
        </w:rPr>
        <w:br/>
      </w:r>
      <w:r w:rsidRPr="00034C63">
        <w:rPr>
          <w:color w:val="000000"/>
          <w:szCs w:val="24"/>
        </w:rPr>
        <w:t xml:space="preserve">No. Civ. A. CCB-02-2568, </w:t>
      </w:r>
      <w:r w:rsidRPr="00034C63">
        <w:rPr>
          <w:szCs w:val="24"/>
        </w:rPr>
        <w:t>2005 WL 2453062 (D. Md. Sept. 30, 2005)</w:t>
      </w:r>
      <w:r w:rsidR="00F0446C">
        <w:rPr>
          <w:noProof/>
          <w:szCs w:val="24"/>
        </w:rPr>
        <w:tab/>
        <w:t>36</w:t>
      </w:r>
      <w:r w:rsidRPr="00034C63">
        <w:rPr>
          <w:noProof/>
          <w:szCs w:val="24"/>
        </w:rPr>
        <w:t>-38, 41, 43</w:t>
      </w:r>
    </w:p>
    <w:p w:rsidR="00B76C8F" w:rsidRPr="00034C63" w:rsidRDefault="00B76C8F" w:rsidP="00B76C8F">
      <w:pPr>
        <w:pStyle w:val="TableofAuthorities"/>
        <w:tabs>
          <w:tab w:val="right" w:leader="dot" w:pos="10070"/>
        </w:tabs>
        <w:rPr>
          <w:noProof/>
          <w:szCs w:val="24"/>
        </w:rPr>
      </w:pPr>
      <w:r w:rsidRPr="00034C63">
        <w:rPr>
          <w:noProof/>
          <w:szCs w:val="24"/>
          <w:u w:val="single"/>
        </w:rPr>
        <w:t>Anderson v. Liberty Lobby, Inc.</w:t>
      </w:r>
      <w:r w:rsidRPr="00034C63">
        <w:rPr>
          <w:noProof/>
          <w:szCs w:val="24"/>
        </w:rPr>
        <w:t>,</w:t>
      </w:r>
      <w:r w:rsidRPr="00034C63">
        <w:rPr>
          <w:noProof/>
          <w:szCs w:val="24"/>
        </w:rPr>
        <w:br/>
        <w:t>477 U.S. 242 (1986)</w:t>
      </w:r>
      <w:r w:rsidRPr="00034C63">
        <w:rPr>
          <w:noProof/>
          <w:szCs w:val="24"/>
        </w:rPr>
        <w:tab/>
        <w:t>20</w:t>
      </w:r>
    </w:p>
    <w:p w:rsidR="00B76C8F" w:rsidRPr="00034C63" w:rsidRDefault="00B76C8F" w:rsidP="00B76C8F">
      <w:pPr>
        <w:pStyle w:val="TableofAuthorities"/>
        <w:tabs>
          <w:tab w:val="right" w:leader="dot" w:pos="10070"/>
        </w:tabs>
        <w:rPr>
          <w:noProof/>
          <w:szCs w:val="24"/>
        </w:rPr>
      </w:pPr>
      <w:r w:rsidRPr="00034C63">
        <w:rPr>
          <w:noProof/>
          <w:szCs w:val="24"/>
          <w:u w:val="single"/>
        </w:rPr>
        <w:t>Bangerter v. Orem City Corp.</w:t>
      </w:r>
      <w:r w:rsidRPr="00034C63">
        <w:rPr>
          <w:noProof/>
          <w:szCs w:val="24"/>
        </w:rPr>
        <w:t>,</w:t>
      </w:r>
      <w:r w:rsidRPr="00034C63">
        <w:rPr>
          <w:noProof/>
          <w:szCs w:val="24"/>
        </w:rPr>
        <w:br/>
        <w:t>46 F.3</w:t>
      </w:r>
      <w:r w:rsidR="00F0446C">
        <w:rPr>
          <w:noProof/>
          <w:szCs w:val="24"/>
        </w:rPr>
        <w:t>d 1491 (10th Cir. 1995)</w:t>
      </w:r>
      <w:r w:rsidR="00F0446C">
        <w:rPr>
          <w:noProof/>
          <w:szCs w:val="24"/>
        </w:rPr>
        <w:tab/>
        <w:t>27</w:t>
      </w:r>
      <w:r w:rsidR="00537654" w:rsidRPr="00034C63">
        <w:rPr>
          <w:noProof/>
          <w:szCs w:val="24"/>
        </w:rPr>
        <w:t xml:space="preserve">, </w:t>
      </w:r>
      <w:r w:rsidR="00F0446C">
        <w:rPr>
          <w:noProof/>
          <w:szCs w:val="24"/>
        </w:rPr>
        <w:t>43, 45</w:t>
      </w:r>
    </w:p>
    <w:p w:rsidR="00B76C8F" w:rsidRPr="00034C63" w:rsidRDefault="00B76C8F" w:rsidP="00B76C8F">
      <w:pPr>
        <w:pStyle w:val="TableofAuthorities"/>
        <w:tabs>
          <w:tab w:val="right" w:leader="dot" w:pos="10070"/>
        </w:tabs>
        <w:rPr>
          <w:noProof/>
          <w:szCs w:val="24"/>
        </w:rPr>
      </w:pPr>
      <w:r w:rsidRPr="00034C63">
        <w:rPr>
          <w:noProof/>
          <w:szCs w:val="24"/>
          <w:u w:val="single"/>
        </w:rPr>
        <w:t>Barwick v. Celotex Corp.</w:t>
      </w:r>
      <w:r w:rsidRPr="00034C63">
        <w:rPr>
          <w:noProof/>
          <w:szCs w:val="24"/>
        </w:rPr>
        <w:t>,</w:t>
      </w:r>
      <w:r w:rsidRPr="00034C63">
        <w:rPr>
          <w:noProof/>
          <w:szCs w:val="24"/>
        </w:rPr>
        <w:br/>
        <w:t>736 F.2d 946 (4th Cir. 1984)</w:t>
      </w:r>
      <w:r w:rsidRPr="00034C63">
        <w:rPr>
          <w:noProof/>
          <w:szCs w:val="24"/>
        </w:rPr>
        <w:tab/>
        <w:t>20</w:t>
      </w:r>
    </w:p>
    <w:p w:rsidR="00C33C55" w:rsidRPr="00034C63" w:rsidRDefault="00C33C55" w:rsidP="00C33C55">
      <w:pPr>
        <w:pStyle w:val="TableofAuthorities"/>
        <w:tabs>
          <w:tab w:val="right" w:leader="dot" w:pos="10070"/>
        </w:tabs>
        <w:rPr>
          <w:noProof/>
          <w:szCs w:val="24"/>
        </w:rPr>
      </w:pPr>
      <w:r w:rsidRPr="00034C63">
        <w:rPr>
          <w:szCs w:val="24"/>
          <w:u w:val="single"/>
        </w:rPr>
        <w:t>Bay Area Addiction Research and Treatment, Inc. v. City of Antioch</w:t>
      </w:r>
      <w:r w:rsidRPr="00034C63">
        <w:rPr>
          <w:noProof/>
          <w:szCs w:val="24"/>
        </w:rPr>
        <w:t>,</w:t>
      </w:r>
      <w:r w:rsidRPr="00034C63">
        <w:rPr>
          <w:noProof/>
          <w:szCs w:val="24"/>
        </w:rPr>
        <w:br/>
      </w:r>
      <w:r w:rsidRPr="00034C63">
        <w:rPr>
          <w:szCs w:val="24"/>
        </w:rPr>
        <w:t>179 F.3d 725, 730 (9th Cir. 1999)</w:t>
      </w:r>
      <w:r w:rsidR="00F0446C">
        <w:rPr>
          <w:noProof/>
          <w:szCs w:val="24"/>
        </w:rPr>
        <w:tab/>
        <w:t>21, 26-29</w:t>
      </w:r>
      <w:r w:rsidRPr="00034C63">
        <w:rPr>
          <w:noProof/>
          <w:szCs w:val="24"/>
        </w:rPr>
        <w:t>, 45</w:t>
      </w:r>
    </w:p>
    <w:p w:rsidR="00B76C8F" w:rsidRPr="00034C63" w:rsidRDefault="00B76C8F" w:rsidP="00B76C8F">
      <w:pPr>
        <w:pStyle w:val="TableofAuthorities"/>
        <w:tabs>
          <w:tab w:val="right" w:leader="dot" w:pos="10070"/>
        </w:tabs>
        <w:rPr>
          <w:noProof/>
          <w:szCs w:val="24"/>
        </w:rPr>
      </w:pPr>
      <w:r w:rsidRPr="00034C63">
        <w:rPr>
          <w:noProof/>
          <w:szCs w:val="24"/>
          <w:u w:val="single"/>
        </w:rPr>
        <w:t>Bay Area Addiction Research and Treatment, Inc. v. City of Antioch</w:t>
      </w:r>
      <w:r w:rsidRPr="00034C63">
        <w:rPr>
          <w:noProof/>
          <w:szCs w:val="24"/>
        </w:rPr>
        <w:t>,</w:t>
      </w:r>
      <w:r w:rsidRPr="00034C63">
        <w:rPr>
          <w:noProof/>
          <w:szCs w:val="24"/>
        </w:rPr>
        <w:br/>
        <w:t>No. C 98-2651</w:t>
      </w:r>
      <w:r w:rsidR="00E32CB8">
        <w:rPr>
          <w:noProof/>
          <w:szCs w:val="24"/>
        </w:rPr>
        <w:t xml:space="preserve"> SI</w:t>
      </w:r>
      <w:r w:rsidRPr="00034C63">
        <w:rPr>
          <w:noProof/>
          <w:szCs w:val="24"/>
        </w:rPr>
        <w:t xml:space="preserve">, 2000 WL 33716782 (N.D. Cal. </w:t>
      </w:r>
      <w:r w:rsidR="00537654" w:rsidRPr="00034C63">
        <w:rPr>
          <w:noProof/>
          <w:szCs w:val="24"/>
        </w:rPr>
        <w:t xml:space="preserve">March 16, </w:t>
      </w:r>
      <w:r w:rsidRPr="00034C63">
        <w:rPr>
          <w:noProof/>
          <w:szCs w:val="24"/>
        </w:rPr>
        <w:t>2000)</w:t>
      </w:r>
      <w:r w:rsidRPr="00034C63">
        <w:rPr>
          <w:noProof/>
          <w:szCs w:val="24"/>
        </w:rPr>
        <w:tab/>
        <w:t>2</w:t>
      </w:r>
      <w:r w:rsidR="00F0446C">
        <w:rPr>
          <w:noProof/>
          <w:szCs w:val="24"/>
        </w:rPr>
        <w:t>8</w:t>
      </w:r>
      <w:r w:rsidRPr="00034C63">
        <w:rPr>
          <w:noProof/>
          <w:szCs w:val="24"/>
        </w:rPr>
        <w:t xml:space="preserve">, </w:t>
      </w:r>
      <w:r w:rsidR="00F0446C">
        <w:rPr>
          <w:noProof/>
          <w:szCs w:val="24"/>
        </w:rPr>
        <w:t>36</w:t>
      </w:r>
    </w:p>
    <w:p w:rsidR="00B76C8F" w:rsidRPr="00034C63" w:rsidRDefault="00B76C8F" w:rsidP="00B76C8F">
      <w:pPr>
        <w:pStyle w:val="TableofAuthorities"/>
        <w:tabs>
          <w:tab w:val="right" w:leader="dot" w:pos="10070"/>
        </w:tabs>
        <w:rPr>
          <w:noProof/>
          <w:szCs w:val="24"/>
        </w:rPr>
      </w:pPr>
      <w:r w:rsidRPr="00034C63">
        <w:rPr>
          <w:noProof/>
          <w:szCs w:val="24"/>
          <w:u w:val="single"/>
        </w:rPr>
        <w:t>Bryant v. Madigan</w:t>
      </w:r>
      <w:r w:rsidR="00F0446C">
        <w:rPr>
          <w:noProof/>
          <w:szCs w:val="24"/>
        </w:rPr>
        <w:t>,</w:t>
      </w:r>
      <w:r w:rsidR="00F0446C">
        <w:rPr>
          <w:noProof/>
          <w:szCs w:val="24"/>
        </w:rPr>
        <w:br/>
        <w:t>84 F.3d 246 (7th Cir. 1996)</w:t>
      </w:r>
      <w:r w:rsidR="00F0446C">
        <w:rPr>
          <w:noProof/>
          <w:szCs w:val="24"/>
        </w:rPr>
        <w:tab/>
        <w:t>25</w:t>
      </w:r>
    </w:p>
    <w:p w:rsidR="00B76C8F" w:rsidRPr="00034C63" w:rsidRDefault="00B76C8F" w:rsidP="00B76C8F">
      <w:pPr>
        <w:pStyle w:val="TableofAuthorities"/>
        <w:tabs>
          <w:tab w:val="right" w:leader="dot" w:pos="10070"/>
        </w:tabs>
        <w:rPr>
          <w:noProof/>
          <w:szCs w:val="24"/>
        </w:rPr>
      </w:pPr>
      <w:r w:rsidRPr="00034C63">
        <w:rPr>
          <w:noProof/>
          <w:szCs w:val="24"/>
          <w:u w:val="single"/>
        </w:rPr>
        <w:t>Celotex Corp. v. Catrett</w:t>
      </w:r>
      <w:r w:rsidRPr="00034C63">
        <w:rPr>
          <w:noProof/>
          <w:szCs w:val="24"/>
        </w:rPr>
        <w:t>,</w:t>
      </w:r>
      <w:r w:rsidRPr="00034C63">
        <w:rPr>
          <w:noProof/>
          <w:szCs w:val="24"/>
        </w:rPr>
        <w:br/>
        <w:t>477 U.S. 317 (1986)</w:t>
      </w:r>
      <w:r w:rsidRPr="00034C63">
        <w:rPr>
          <w:noProof/>
          <w:szCs w:val="24"/>
        </w:rPr>
        <w:tab/>
        <w:t>20</w:t>
      </w:r>
    </w:p>
    <w:p w:rsidR="00B76C8F" w:rsidRPr="00034C63" w:rsidRDefault="00B76C8F" w:rsidP="00B76C8F">
      <w:pPr>
        <w:pStyle w:val="TableofAuthorities"/>
        <w:tabs>
          <w:tab w:val="right" w:leader="dot" w:pos="10070"/>
        </w:tabs>
        <w:rPr>
          <w:noProof/>
          <w:szCs w:val="24"/>
        </w:rPr>
      </w:pPr>
      <w:r w:rsidRPr="00034C63">
        <w:rPr>
          <w:noProof/>
          <w:szCs w:val="24"/>
          <w:u w:val="single"/>
        </w:rPr>
        <w:t>First Step, Inc. v. City of New London</w:t>
      </w:r>
      <w:r w:rsidRPr="00034C63">
        <w:rPr>
          <w:noProof/>
          <w:szCs w:val="24"/>
        </w:rPr>
        <w:t>,</w:t>
      </w:r>
      <w:r w:rsidRPr="00034C63">
        <w:rPr>
          <w:noProof/>
          <w:szCs w:val="24"/>
        </w:rPr>
        <w:br/>
        <w:t>247 F.</w:t>
      </w:r>
      <w:r w:rsidR="003F0D09" w:rsidRPr="00034C63">
        <w:rPr>
          <w:noProof/>
          <w:szCs w:val="24"/>
        </w:rPr>
        <w:t xml:space="preserve"> </w:t>
      </w:r>
      <w:r w:rsidRPr="00034C63">
        <w:rPr>
          <w:noProof/>
          <w:szCs w:val="24"/>
        </w:rPr>
        <w:t>Supp.</w:t>
      </w:r>
      <w:r w:rsidR="00E32CB8">
        <w:rPr>
          <w:noProof/>
          <w:szCs w:val="24"/>
        </w:rPr>
        <w:t xml:space="preserve"> </w:t>
      </w:r>
      <w:r w:rsidRPr="00034C63">
        <w:rPr>
          <w:noProof/>
          <w:szCs w:val="24"/>
        </w:rPr>
        <w:t>2d 135 (D. Conn. 2003)</w:t>
      </w:r>
      <w:r w:rsidRPr="00034C63">
        <w:rPr>
          <w:noProof/>
          <w:szCs w:val="24"/>
        </w:rPr>
        <w:tab/>
        <w:t>2</w:t>
      </w:r>
      <w:r w:rsidR="00F0446C">
        <w:rPr>
          <w:noProof/>
          <w:szCs w:val="24"/>
        </w:rPr>
        <w:t>6-27, 42</w:t>
      </w:r>
    </w:p>
    <w:p w:rsidR="00B76C8F" w:rsidRPr="00034C63" w:rsidRDefault="00B76C8F" w:rsidP="00B76C8F">
      <w:pPr>
        <w:pStyle w:val="TableofAuthorities"/>
        <w:tabs>
          <w:tab w:val="right" w:leader="dot" w:pos="10070"/>
        </w:tabs>
        <w:rPr>
          <w:noProof/>
          <w:szCs w:val="24"/>
        </w:rPr>
      </w:pPr>
      <w:r w:rsidRPr="00034C63">
        <w:rPr>
          <w:noProof/>
          <w:szCs w:val="24"/>
          <w:u w:val="single"/>
        </w:rPr>
        <w:t>Gillen v. Fallon Ambulance Serv.</w:t>
      </w:r>
      <w:r w:rsidR="00F0446C">
        <w:rPr>
          <w:noProof/>
          <w:szCs w:val="24"/>
        </w:rPr>
        <w:t>,</w:t>
      </w:r>
      <w:r w:rsidR="00F0446C">
        <w:rPr>
          <w:noProof/>
          <w:szCs w:val="24"/>
        </w:rPr>
        <w:br/>
        <w:t>283 F.3d 11 (1st Cir. 2002)</w:t>
      </w:r>
      <w:r w:rsidR="00F0446C">
        <w:rPr>
          <w:noProof/>
          <w:szCs w:val="24"/>
        </w:rPr>
        <w:tab/>
        <w:t>24</w:t>
      </w:r>
    </w:p>
    <w:p w:rsidR="00B76C8F" w:rsidRPr="00034C63" w:rsidRDefault="00B76C8F" w:rsidP="00B76C8F">
      <w:pPr>
        <w:pStyle w:val="TableofAuthorities"/>
        <w:tabs>
          <w:tab w:val="right" w:leader="dot" w:pos="10070"/>
        </w:tabs>
        <w:rPr>
          <w:noProof/>
          <w:szCs w:val="24"/>
        </w:rPr>
      </w:pPr>
      <w:r w:rsidRPr="00034C63">
        <w:rPr>
          <w:noProof/>
          <w:szCs w:val="24"/>
          <w:u w:val="single"/>
        </w:rPr>
        <w:t>Habit Mgmt. v. City of Lynn</w:t>
      </w:r>
      <w:r w:rsidRPr="00034C63">
        <w:rPr>
          <w:noProof/>
          <w:szCs w:val="24"/>
        </w:rPr>
        <w:t>,</w:t>
      </w:r>
      <w:r w:rsidRPr="00034C63">
        <w:rPr>
          <w:noProof/>
          <w:szCs w:val="24"/>
        </w:rPr>
        <w:br/>
        <w:t>235 F.</w:t>
      </w:r>
      <w:r w:rsidR="003F0D09" w:rsidRPr="00034C63">
        <w:rPr>
          <w:noProof/>
          <w:szCs w:val="24"/>
        </w:rPr>
        <w:t xml:space="preserve"> </w:t>
      </w:r>
      <w:r w:rsidRPr="00034C63">
        <w:rPr>
          <w:noProof/>
          <w:szCs w:val="24"/>
        </w:rPr>
        <w:t>Supp.</w:t>
      </w:r>
      <w:r w:rsidR="003F0D09" w:rsidRPr="00034C63">
        <w:rPr>
          <w:noProof/>
          <w:szCs w:val="24"/>
        </w:rPr>
        <w:t xml:space="preserve"> </w:t>
      </w:r>
      <w:r w:rsidR="00F0446C">
        <w:rPr>
          <w:noProof/>
          <w:szCs w:val="24"/>
        </w:rPr>
        <w:t>2d 28 (D. Mass. 2002)</w:t>
      </w:r>
      <w:r w:rsidR="00F0446C">
        <w:rPr>
          <w:noProof/>
          <w:szCs w:val="24"/>
        </w:rPr>
        <w:tab/>
        <w:t>27, 36</w:t>
      </w:r>
    </w:p>
    <w:p w:rsidR="00B76C8F" w:rsidRPr="00034C63" w:rsidRDefault="00B76C8F" w:rsidP="00B76C8F">
      <w:pPr>
        <w:pStyle w:val="TableofAuthorities"/>
        <w:tabs>
          <w:tab w:val="right" w:leader="dot" w:pos="10070"/>
        </w:tabs>
        <w:rPr>
          <w:noProof/>
          <w:szCs w:val="24"/>
        </w:rPr>
      </w:pPr>
      <w:r w:rsidRPr="00034C63">
        <w:rPr>
          <w:noProof/>
          <w:szCs w:val="24"/>
          <w:u w:val="single"/>
        </w:rPr>
        <w:t>Hispanic Counseling Ctr., Inc. v. Inc. Village of Hempstead</w:t>
      </w:r>
      <w:r w:rsidRPr="00034C63">
        <w:rPr>
          <w:noProof/>
          <w:szCs w:val="24"/>
        </w:rPr>
        <w:t>,</w:t>
      </w:r>
      <w:r w:rsidRPr="00034C63">
        <w:rPr>
          <w:noProof/>
          <w:szCs w:val="24"/>
        </w:rPr>
        <w:br/>
        <w:t>237 F.</w:t>
      </w:r>
      <w:r w:rsidR="003F0D09" w:rsidRPr="00034C63">
        <w:rPr>
          <w:noProof/>
          <w:szCs w:val="24"/>
        </w:rPr>
        <w:t xml:space="preserve"> </w:t>
      </w:r>
      <w:r w:rsidRPr="00034C63">
        <w:rPr>
          <w:noProof/>
          <w:szCs w:val="24"/>
        </w:rPr>
        <w:t>Supp.</w:t>
      </w:r>
      <w:r w:rsidR="003F0D09" w:rsidRPr="00034C63">
        <w:rPr>
          <w:noProof/>
          <w:szCs w:val="24"/>
        </w:rPr>
        <w:t xml:space="preserve"> </w:t>
      </w:r>
      <w:r w:rsidR="00F0446C">
        <w:rPr>
          <w:noProof/>
          <w:szCs w:val="24"/>
        </w:rPr>
        <w:t>2d 284 (E.D.N.Y. 2002)</w:t>
      </w:r>
      <w:r w:rsidR="00F0446C">
        <w:rPr>
          <w:noProof/>
          <w:szCs w:val="24"/>
        </w:rPr>
        <w:tab/>
        <w:t>25</w:t>
      </w:r>
      <w:r w:rsidRPr="00034C63">
        <w:rPr>
          <w:noProof/>
          <w:szCs w:val="24"/>
        </w:rPr>
        <w:t>, 2</w:t>
      </w:r>
      <w:r w:rsidR="00F0446C">
        <w:rPr>
          <w:noProof/>
          <w:szCs w:val="24"/>
        </w:rPr>
        <w:t>7</w:t>
      </w:r>
    </w:p>
    <w:p w:rsidR="00B76C8F" w:rsidRPr="00034C63" w:rsidRDefault="00B76C8F" w:rsidP="00B76C8F">
      <w:pPr>
        <w:pStyle w:val="TableofAuthorities"/>
        <w:tabs>
          <w:tab w:val="right" w:leader="dot" w:pos="10070"/>
        </w:tabs>
        <w:rPr>
          <w:noProof/>
          <w:szCs w:val="24"/>
        </w:rPr>
      </w:pPr>
      <w:r w:rsidRPr="00034C63">
        <w:rPr>
          <w:noProof/>
          <w:szCs w:val="24"/>
          <w:u w:val="single"/>
        </w:rPr>
        <w:t>Horizon House Dev. Servs. Inc. v. Township of Upper Southampton</w:t>
      </w:r>
      <w:r w:rsidRPr="00034C63">
        <w:rPr>
          <w:noProof/>
          <w:szCs w:val="24"/>
        </w:rPr>
        <w:t>,</w:t>
      </w:r>
      <w:r w:rsidRPr="00034C63">
        <w:rPr>
          <w:noProof/>
          <w:szCs w:val="24"/>
        </w:rPr>
        <w:br/>
        <w:t>804 F. Supp. 683</w:t>
      </w:r>
      <w:r w:rsidR="00F0446C">
        <w:rPr>
          <w:noProof/>
          <w:szCs w:val="24"/>
        </w:rPr>
        <w:t xml:space="preserve"> (E.D. Pa. 1992)</w:t>
      </w:r>
      <w:r w:rsidR="00F0446C">
        <w:rPr>
          <w:noProof/>
          <w:szCs w:val="24"/>
        </w:rPr>
        <w:tab/>
        <w:t>37</w:t>
      </w:r>
      <w:r w:rsidRPr="00034C63">
        <w:rPr>
          <w:noProof/>
          <w:szCs w:val="24"/>
        </w:rPr>
        <w:t xml:space="preserve">, </w:t>
      </w:r>
      <w:r w:rsidR="00F0446C">
        <w:rPr>
          <w:noProof/>
          <w:szCs w:val="24"/>
        </w:rPr>
        <w:t>39, 41</w:t>
      </w:r>
    </w:p>
    <w:p w:rsidR="00B76C8F" w:rsidRPr="00034C63" w:rsidRDefault="00B76C8F" w:rsidP="00B76C8F">
      <w:pPr>
        <w:pStyle w:val="TableofAuthorities"/>
        <w:tabs>
          <w:tab w:val="right" w:leader="dot" w:pos="10070"/>
        </w:tabs>
        <w:rPr>
          <w:noProof/>
          <w:szCs w:val="24"/>
        </w:rPr>
      </w:pPr>
      <w:r w:rsidRPr="00034C63">
        <w:rPr>
          <w:noProof/>
          <w:szCs w:val="24"/>
          <w:u w:val="single"/>
        </w:rPr>
        <w:t>Hous. Trust v. Dep't of Consumer and Regulatory Affairs</w:t>
      </w:r>
      <w:r w:rsidRPr="00034C63">
        <w:rPr>
          <w:noProof/>
          <w:szCs w:val="24"/>
        </w:rPr>
        <w:t>,</w:t>
      </w:r>
      <w:r w:rsidRPr="00034C63">
        <w:rPr>
          <w:noProof/>
          <w:szCs w:val="24"/>
        </w:rPr>
        <w:br/>
        <w:t>257 F.</w:t>
      </w:r>
      <w:r w:rsidR="003F0D09" w:rsidRPr="00034C63">
        <w:rPr>
          <w:noProof/>
          <w:szCs w:val="24"/>
        </w:rPr>
        <w:t xml:space="preserve"> </w:t>
      </w:r>
      <w:r w:rsidRPr="00034C63">
        <w:rPr>
          <w:noProof/>
          <w:szCs w:val="24"/>
        </w:rPr>
        <w:t>Supp.</w:t>
      </w:r>
      <w:r w:rsidR="003F0D09" w:rsidRPr="00034C63">
        <w:rPr>
          <w:noProof/>
          <w:szCs w:val="24"/>
        </w:rPr>
        <w:t xml:space="preserve"> </w:t>
      </w:r>
      <w:r w:rsidR="00F0446C">
        <w:rPr>
          <w:noProof/>
          <w:szCs w:val="24"/>
        </w:rPr>
        <w:t>2d 208 (D.D.C. 2003)</w:t>
      </w:r>
      <w:r w:rsidR="00F0446C">
        <w:rPr>
          <w:noProof/>
          <w:szCs w:val="24"/>
        </w:rPr>
        <w:tab/>
        <w:t>30</w:t>
      </w:r>
    </w:p>
    <w:p w:rsidR="005F1B8E" w:rsidRDefault="005F1B8E" w:rsidP="00B76C8F">
      <w:pPr>
        <w:pStyle w:val="TableofAuthorities"/>
        <w:tabs>
          <w:tab w:val="right" w:leader="dot" w:pos="10070"/>
        </w:tabs>
        <w:rPr>
          <w:noProof/>
        </w:rPr>
      </w:pPr>
      <w:r>
        <w:rPr>
          <w:noProof/>
          <w:u w:val="single"/>
        </w:rPr>
        <w:t xml:space="preserve">Human Resource </w:t>
      </w:r>
      <w:r w:rsidRPr="00CD44A3">
        <w:rPr>
          <w:noProof/>
          <w:u w:val="single"/>
        </w:rPr>
        <w:t>Research and Mgmt. Group, Inc. v. Cnty. of Suffolk</w:t>
      </w:r>
      <w:r w:rsidRPr="00CD44A3">
        <w:rPr>
          <w:noProof/>
        </w:rPr>
        <w:t>,</w:t>
      </w:r>
      <w:r w:rsidRPr="00CD44A3">
        <w:rPr>
          <w:noProof/>
        </w:rPr>
        <w:br/>
        <w:t>687 F.</w:t>
      </w:r>
      <w:r>
        <w:rPr>
          <w:noProof/>
        </w:rPr>
        <w:t xml:space="preserve"> </w:t>
      </w:r>
      <w:r w:rsidRPr="00CD44A3">
        <w:rPr>
          <w:noProof/>
        </w:rPr>
        <w:t>Supp.</w:t>
      </w:r>
      <w:r>
        <w:rPr>
          <w:noProof/>
        </w:rPr>
        <w:t xml:space="preserve"> 2d 237 (E.D.N.Y. 2010)</w:t>
      </w:r>
      <w:r>
        <w:rPr>
          <w:noProof/>
        </w:rPr>
        <w:tab/>
        <w:t>25, 33, 34</w:t>
      </w:r>
    </w:p>
    <w:p w:rsidR="00B76C8F" w:rsidRPr="00034C63" w:rsidRDefault="00B76C8F" w:rsidP="00B76C8F">
      <w:pPr>
        <w:pStyle w:val="TableofAuthorities"/>
        <w:tabs>
          <w:tab w:val="right" w:leader="dot" w:pos="10070"/>
        </w:tabs>
        <w:rPr>
          <w:noProof/>
          <w:szCs w:val="24"/>
        </w:rPr>
      </w:pPr>
      <w:r w:rsidRPr="00034C63">
        <w:rPr>
          <w:noProof/>
          <w:szCs w:val="24"/>
          <w:u w:val="single"/>
        </w:rPr>
        <w:t>Innovative Health Sys., Inc. v. City of White Plains</w:t>
      </w:r>
      <w:r w:rsidRPr="00034C63">
        <w:rPr>
          <w:noProof/>
          <w:szCs w:val="24"/>
        </w:rPr>
        <w:t>,</w:t>
      </w:r>
      <w:r w:rsidRPr="00034C63">
        <w:rPr>
          <w:noProof/>
          <w:szCs w:val="24"/>
        </w:rPr>
        <w:br/>
        <w:t>1</w:t>
      </w:r>
      <w:r w:rsidR="00F0446C">
        <w:rPr>
          <w:noProof/>
          <w:szCs w:val="24"/>
        </w:rPr>
        <w:t>17 F.3d 37 (2d Cir. 1997)</w:t>
      </w:r>
      <w:r w:rsidR="00F0446C">
        <w:rPr>
          <w:noProof/>
          <w:szCs w:val="24"/>
        </w:rPr>
        <w:tab/>
        <w:t>21, 37</w:t>
      </w:r>
    </w:p>
    <w:p w:rsidR="00B76C8F" w:rsidRPr="00034C63" w:rsidRDefault="00B76C8F" w:rsidP="00B76C8F">
      <w:pPr>
        <w:pStyle w:val="TableofAuthorities"/>
        <w:tabs>
          <w:tab w:val="right" w:leader="dot" w:pos="10070"/>
        </w:tabs>
        <w:rPr>
          <w:noProof/>
          <w:szCs w:val="24"/>
        </w:rPr>
      </w:pPr>
      <w:r w:rsidRPr="00034C63">
        <w:rPr>
          <w:noProof/>
          <w:szCs w:val="24"/>
          <w:u w:val="single"/>
        </w:rPr>
        <w:t>Larkin v. Mich. Dep't of Social Servs.</w:t>
      </w:r>
      <w:r w:rsidRPr="00034C63">
        <w:rPr>
          <w:noProof/>
          <w:szCs w:val="24"/>
        </w:rPr>
        <w:t>,</w:t>
      </w:r>
      <w:r w:rsidRPr="00034C63">
        <w:rPr>
          <w:noProof/>
          <w:szCs w:val="24"/>
        </w:rPr>
        <w:br/>
        <w:t>89 F.3</w:t>
      </w:r>
      <w:r w:rsidR="00F0446C">
        <w:rPr>
          <w:noProof/>
          <w:szCs w:val="24"/>
        </w:rPr>
        <w:t>d 285 (6th Cir. 1996)</w:t>
      </w:r>
      <w:r w:rsidR="00F0446C">
        <w:rPr>
          <w:noProof/>
          <w:szCs w:val="24"/>
        </w:rPr>
        <w:tab/>
        <w:t>27, 45</w:t>
      </w:r>
    </w:p>
    <w:p w:rsidR="00B76C8F" w:rsidRPr="00034C63" w:rsidRDefault="003F0D09" w:rsidP="00B76C8F">
      <w:pPr>
        <w:pStyle w:val="TableofAuthorities"/>
        <w:tabs>
          <w:tab w:val="right" w:leader="dot" w:pos="10070"/>
        </w:tabs>
        <w:rPr>
          <w:noProof/>
          <w:szCs w:val="24"/>
        </w:rPr>
      </w:pPr>
      <w:r w:rsidRPr="00034C63">
        <w:rPr>
          <w:szCs w:val="24"/>
          <w:u w:val="single"/>
        </w:rPr>
        <w:t>MX Group, Inc. v. City of Covington</w:t>
      </w:r>
      <w:r w:rsidRPr="00034C63">
        <w:rPr>
          <w:szCs w:val="24"/>
        </w:rPr>
        <w:t xml:space="preserve">, </w:t>
      </w:r>
      <w:r w:rsidR="00B76C8F" w:rsidRPr="00034C63">
        <w:rPr>
          <w:noProof/>
          <w:szCs w:val="24"/>
        </w:rPr>
        <w:br/>
      </w:r>
      <w:r w:rsidRPr="00034C63">
        <w:rPr>
          <w:szCs w:val="24"/>
        </w:rPr>
        <w:t>293 F.3d 326 (6th Cir. 2002)</w:t>
      </w:r>
      <w:r w:rsidR="00B76C8F" w:rsidRPr="00034C63">
        <w:rPr>
          <w:noProof/>
          <w:szCs w:val="24"/>
        </w:rPr>
        <w:tab/>
        <w:t>passim</w:t>
      </w:r>
    </w:p>
    <w:p w:rsidR="00C33C55" w:rsidRPr="00034C63" w:rsidRDefault="00C33C55" w:rsidP="00B76C8F">
      <w:pPr>
        <w:pStyle w:val="TableofAuthorities"/>
        <w:tabs>
          <w:tab w:val="right" w:leader="dot" w:pos="10070"/>
        </w:tabs>
        <w:rPr>
          <w:szCs w:val="24"/>
          <w:u w:val="single"/>
        </w:rPr>
      </w:pPr>
      <w:r w:rsidRPr="00034C63">
        <w:rPr>
          <w:szCs w:val="24"/>
          <w:u w:val="single"/>
        </w:rPr>
        <w:t>New Directions Treatment Servs. v. City of Reading</w:t>
      </w:r>
      <w:r w:rsidRPr="00034C63">
        <w:rPr>
          <w:szCs w:val="24"/>
        </w:rPr>
        <w:t>,</w:t>
      </w:r>
      <w:r w:rsidRPr="00034C63">
        <w:rPr>
          <w:noProof/>
          <w:szCs w:val="24"/>
        </w:rPr>
        <w:br/>
      </w:r>
      <w:r w:rsidRPr="00034C63">
        <w:rPr>
          <w:szCs w:val="24"/>
        </w:rPr>
        <w:t>490 F.3d 293 (3rd Cir. 2007)</w:t>
      </w:r>
      <w:r w:rsidRPr="00034C63">
        <w:rPr>
          <w:noProof/>
          <w:szCs w:val="24"/>
        </w:rPr>
        <w:tab/>
        <w:t>passim</w:t>
      </w:r>
      <w:r w:rsidRPr="00034C63">
        <w:rPr>
          <w:szCs w:val="24"/>
          <w:u w:val="single"/>
        </w:rPr>
        <w:t xml:space="preserve"> </w:t>
      </w:r>
    </w:p>
    <w:p w:rsidR="00B76C8F" w:rsidRPr="00CD44A3" w:rsidRDefault="00B76C8F" w:rsidP="00B76C8F">
      <w:pPr>
        <w:pStyle w:val="TableofAuthorities"/>
        <w:tabs>
          <w:tab w:val="right" w:leader="dot" w:pos="10070"/>
        </w:tabs>
        <w:rPr>
          <w:noProof/>
        </w:rPr>
      </w:pPr>
      <w:r w:rsidRPr="00CD44A3">
        <w:rPr>
          <w:noProof/>
          <w:u w:val="single"/>
        </w:rPr>
        <w:t>Pathways Psychosocial v. Town of Leonardtown, MD</w:t>
      </w:r>
      <w:r w:rsidRPr="00CD44A3">
        <w:rPr>
          <w:noProof/>
        </w:rPr>
        <w:t>,</w:t>
      </w:r>
      <w:r w:rsidRPr="00CD44A3">
        <w:rPr>
          <w:noProof/>
        </w:rPr>
        <w:br/>
        <w:t>133 F. Supp. 2d 772 (D. Md. 2001)</w:t>
      </w:r>
      <w:r w:rsidRPr="00CD44A3">
        <w:rPr>
          <w:noProof/>
        </w:rPr>
        <w:tab/>
      </w:r>
      <w:r w:rsidR="00F0446C">
        <w:rPr>
          <w:noProof/>
        </w:rPr>
        <w:t>37-38, 41-42</w:t>
      </w:r>
    </w:p>
    <w:p w:rsidR="00B76C8F" w:rsidRPr="00CD44A3" w:rsidRDefault="00B76C8F" w:rsidP="00B76C8F">
      <w:pPr>
        <w:pStyle w:val="TableofAuthorities"/>
        <w:tabs>
          <w:tab w:val="right" w:leader="dot" w:pos="10070"/>
        </w:tabs>
        <w:rPr>
          <w:noProof/>
        </w:rPr>
      </w:pPr>
      <w:r w:rsidRPr="00CD44A3">
        <w:rPr>
          <w:noProof/>
          <w:u w:val="single"/>
        </w:rPr>
        <w:t>Perini Corp. v. Perini Constr., Inc.</w:t>
      </w:r>
      <w:r w:rsidRPr="00CD44A3">
        <w:rPr>
          <w:noProof/>
        </w:rPr>
        <w:t>,</w:t>
      </w:r>
      <w:r w:rsidRPr="00CD44A3">
        <w:rPr>
          <w:noProof/>
        </w:rPr>
        <w:br/>
        <w:t>915 F.2d 121 (4th Cir. 1990)</w:t>
      </w:r>
      <w:r w:rsidRPr="00CD44A3">
        <w:rPr>
          <w:noProof/>
        </w:rPr>
        <w:tab/>
        <w:t>20</w:t>
      </w:r>
    </w:p>
    <w:p w:rsidR="00B76C8F" w:rsidRPr="00CD44A3" w:rsidRDefault="00B76C8F" w:rsidP="00B76C8F">
      <w:pPr>
        <w:pStyle w:val="TableofAuthorities"/>
        <w:tabs>
          <w:tab w:val="right" w:leader="dot" w:pos="10070"/>
        </w:tabs>
        <w:rPr>
          <w:noProof/>
        </w:rPr>
      </w:pPr>
      <w:r w:rsidRPr="00CD44A3">
        <w:rPr>
          <w:noProof/>
          <w:u w:val="single"/>
        </w:rPr>
        <w:t>Potomac Group Home Corp. v. Montgomery County, Md.</w:t>
      </w:r>
      <w:r w:rsidRPr="00CD44A3">
        <w:rPr>
          <w:noProof/>
        </w:rPr>
        <w:t>,</w:t>
      </w:r>
      <w:r w:rsidRPr="00CD44A3">
        <w:rPr>
          <w:noProof/>
        </w:rPr>
        <w:br/>
        <w:t>823 F. S</w:t>
      </w:r>
      <w:r w:rsidR="00F0446C">
        <w:rPr>
          <w:noProof/>
        </w:rPr>
        <w:t>upp. 1285 (D. Md. 1993)</w:t>
      </w:r>
      <w:r w:rsidR="00F0446C">
        <w:rPr>
          <w:noProof/>
        </w:rPr>
        <w:tab/>
        <w:t>30, 41, 44-45</w:t>
      </w:r>
    </w:p>
    <w:p w:rsidR="00B76C8F" w:rsidRPr="00CD44A3" w:rsidRDefault="00B76C8F" w:rsidP="00B76C8F">
      <w:pPr>
        <w:pStyle w:val="TableofAuthorities"/>
        <w:tabs>
          <w:tab w:val="right" w:leader="dot" w:pos="10070"/>
        </w:tabs>
        <w:rPr>
          <w:noProof/>
        </w:rPr>
      </w:pPr>
      <w:r w:rsidRPr="00CD44A3">
        <w:rPr>
          <w:noProof/>
          <w:u w:val="single"/>
        </w:rPr>
        <w:t>Project Life, Inc. v. Glendening</w:t>
      </w:r>
      <w:r w:rsidRPr="00CD44A3">
        <w:rPr>
          <w:noProof/>
        </w:rPr>
        <w:t>,</w:t>
      </w:r>
      <w:r w:rsidRPr="00CD44A3">
        <w:rPr>
          <w:noProof/>
        </w:rPr>
        <w:br/>
        <w:t>139 F.</w:t>
      </w:r>
      <w:r w:rsidR="003F0D09">
        <w:rPr>
          <w:noProof/>
        </w:rPr>
        <w:t xml:space="preserve"> </w:t>
      </w:r>
      <w:r w:rsidRPr="00CD44A3">
        <w:rPr>
          <w:noProof/>
        </w:rPr>
        <w:t>Supp.</w:t>
      </w:r>
      <w:r w:rsidR="003F0D09">
        <w:rPr>
          <w:noProof/>
        </w:rPr>
        <w:t xml:space="preserve"> </w:t>
      </w:r>
      <w:r w:rsidRPr="00CD44A3">
        <w:rPr>
          <w:noProof/>
        </w:rPr>
        <w:t xml:space="preserve">2d 703 (D. </w:t>
      </w:r>
      <w:r w:rsidR="00F0446C">
        <w:rPr>
          <w:noProof/>
        </w:rPr>
        <w:t>Md. 2001)</w:t>
      </w:r>
      <w:r w:rsidR="00F0446C">
        <w:rPr>
          <w:noProof/>
        </w:rPr>
        <w:tab/>
        <w:t>30, 42</w:t>
      </w:r>
    </w:p>
    <w:p w:rsidR="00ED05E2" w:rsidRDefault="00ED05E2" w:rsidP="00B76C8F">
      <w:pPr>
        <w:pStyle w:val="TableofAuthorities"/>
        <w:tabs>
          <w:tab w:val="right" w:leader="dot" w:pos="10070"/>
        </w:tabs>
        <w:rPr>
          <w:noProof/>
        </w:rPr>
      </w:pPr>
      <w:r w:rsidRPr="00AB369D">
        <w:rPr>
          <w:szCs w:val="24"/>
          <w:u w:val="single"/>
        </w:rPr>
        <w:t xml:space="preserve">Reg’l Econ. Cmty. </w:t>
      </w:r>
      <w:r w:rsidR="00377A22" w:rsidRPr="00AB369D">
        <w:rPr>
          <w:szCs w:val="24"/>
          <w:u w:val="single"/>
        </w:rPr>
        <w:fldChar w:fldCharType="begin"/>
      </w:r>
      <w:r w:rsidRPr="00AB369D">
        <w:rPr>
          <w:szCs w:val="24"/>
        </w:rPr>
        <w:instrText xml:space="preserve"> TA \l "</w:instrText>
      </w:r>
      <w:r w:rsidRPr="00AB369D">
        <w:rPr>
          <w:szCs w:val="24"/>
          <w:u w:val="single"/>
        </w:rPr>
        <w:instrText>Action Program, Inc. v. City of Middletown</w:instrText>
      </w:r>
      <w:r w:rsidRPr="00AB369D">
        <w:rPr>
          <w:szCs w:val="24"/>
        </w:rPr>
        <w:instrText>,</w:instrText>
      </w:r>
      <w:r w:rsidRPr="00AB369D">
        <w:rPr>
          <w:szCs w:val="24"/>
        </w:rPr>
        <w:br/>
        <w:instrText xml:space="preserve">294 F.3d 35 (2d Cir. 2002)" \s "WSFTA_d7686192b63b4361bb95207999d1c520" \c 3 </w:instrText>
      </w:r>
      <w:r w:rsidR="00377A22" w:rsidRPr="00AB369D">
        <w:rPr>
          <w:szCs w:val="24"/>
          <w:u w:val="single"/>
        </w:rPr>
        <w:fldChar w:fldCharType="end"/>
      </w:r>
      <w:r w:rsidRPr="00AB369D">
        <w:rPr>
          <w:szCs w:val="24"/>
          <w:u w:val="single"/>
        </w:rPr>
        <w:t>Action Program, Inc. v. City of Middletown</w:t>
      </w:r>
      <w:r>
        <w:rPr>
          <w:sz w:val="22"/>
          <w:szCs w:val="22"/>
        </w:rPr>
        <w:t xml:space="preserve">, </w:t>
      </w:r>
      <w:r w:rsidRPr="00CD44A3">
        <w:rPr>
          <w:noProof/>
        </w:rPr>
        <w:br/>
        <w:t>294 F.3d 35 (2d Cir. 2002)</w:t>
      </w:r>
      <w:r w:rsidRPr="00CD44A3">
        <w:rPr>
          <w:noProof/>
        </w:rPr>
        <w:tab/>
        <w:t>passim</w:t>
      </w:r>
    </w:p>
    <w:p w:rsidR="00B76C8F" w:rsidRPr="003F0D09" w:rsidRDefault="003F0D09" w:rsidP="00B76C8F">
      <w:pPr>
        <w:pStyle w:val="TableofAuthorities"/>
        <w:tabs>
          <w:tab w:val="right" w:leader="dot" w:pos="10070"/>
        </w:tabs>
        <w:rPr>
          <w:noProof/>
          <w:szCs w:val="24"/>
        </w:rPr>
      </w:pPr>
      <w:r w:rsidRPr="003F0D09">
        <w:rPr>
          <w:szCs w:val="24"/>
          <w:u w:val="single"/>
        </w:rPr>
        <w:t>Smith Berch, Inc. v. Baltimore Cnty.</w:t>
      </w:r>
      <w:r w:rsidRPr="003F0D09">
        <w:rPr>
          <w:szCs w:val="24"/>
        </w:rPr>
        <w:t xml:space="preserve">, </w:t>
      </w:r>
      <w:r w:rsidRPr="003F0D09">
        <w:rPr>
          <w:noProof/>
          <w:szCs w:val="24"/>
        </w:rPr>
        <w:br/>
      </w:r>
      <w:r w:rsidRPr="003F0D09">
        <w:rPr>
          <w:szCs w:val="24"/>
        </w:rPr>
        <w:t>115 F. Supp. 2d 520 (D. Md. 2000)</w:t>
      </w:r>
      <w:r w:rsidRPr="003F0D09">
        <w:rPr>
          <w:noProof/>
          <w:szCs w:val="24"/>
        </w:rPr>
        <w:tab/>
        <w:t>44</w:t>
      </w:r>
    </w:p>
    <w:p w:rsidR="00B76C8F" w:rsidRPr="003F0D09" w:rsidRDefault="003F0D09" w:rsidP="00B76C8F">
      <w:pPr>
        <w:pStyle w:val="TableofAuthorities"/>
        <w:tabs>
          <w:tab w:val="right" w:leader="dot" w:pos="10070"/>
        </w:tabs>
        <w:rPr>
          <w:noProof/>
          <w:szCs w:val="24"/>
        </w:rPr>
      </w:pPr>
      <w:r w:rsidRPr="003F0D09">
        <w:rPr>
          <w:szCs w:val="24"/>
          <w:u w:val="single"/>
        </w:rPr>
        <w:t>Start, Inc. v. Baltimore Cnty.</w:t>
      </w:r>
      <w:r w:rsidRPr="003F0D09">
        <w:rPr>
          <w:szCs w:val="24"/>
        </w:rPr>
        <w:t xml:space="preserve">, </w:t>
      </w:r>
      <w:r w:rsidR="00B76C8F" w:rsidRPr="003F0D09">
        <w:rPr>
          <w:noProof/>
          <w:szCs w:val="24"/>
        </w:rPr>
        <w:br/>
      </w:r>
      <w:r w:rsidRPr="003F0D09">
        <w:rPr>
          <w:szCs w:val="24"/>
        </w:rPr>
        <w:t>295 F. Supp. 2d 569 (D. Md. 2003)</w:t>
      </w:r>
      <w:r>
        <w:rPr>
          <w:noProof/>
          <w:szCs w:val="24"/>
        </w:rPr>
        <w:tab/>
        <w:t>21</w:t>
      </w:r>
      <w:r w:rsidR="00B76C8F" w:rsidRPr="003F0D09">
        <w:rPr>
          <w:noProof/>
          <w:szCs w:val="24"/>
        </w:rPr>
        <w:t>, 25</w:t>
      </w:r>
    </w:p>
    <w:p w:rsidR="00B76C8F" w:rsidRPr="00CD44A3" w:rsidRDefault="00B76C8F" w:rsidP="00B76C8F">
      <w:pPr>
        <w:pStyle w:val="TableofAuthorities"/>
        <w:tabs>
          <w:tab w:val="right" w:leader="dot" w:pos="10070"/>
        </w:tabs>
        <w:rPr>
          <w:noProof/>
        </w:rPr>
      </w:pPr>
      <w:r w:rsidRPr="003F0D09">
        <w:rPr>
          <w:noProof/>
          <w:szCs w:val="24"/>
          <w:u w:val="single"/>
        </w:rPr>
        <w:t>Sunrise Dev., Inc. v. Town of Huntington</w:t>
      </w:r>
      <w:r w:rsidRPr="003F0D09">
        <w:rPr>
          <w:noProof/>
          <w:szCs w:val="24"/>
        </w:rPr>
        <w:t>,</w:t>
      </w:r>
      <w:r w:rsidRPr="003F0D09">
        <w:rPr>
          <w:noProof/>
          <w:szCs w:val="24"/>
        </w:rPr>
        <w:br/>
      </w:r>
      <w:r w:rsidRPr="00CD44A3">
        <w:rPr>
          <w:noProof/>
        </w:rPr>
        <w:t>62 F.</w:t>
      </w:r>
      <w:r w:rsidR="00F0446C">
        <w:rPr>
          <w:noProof/>
        </w:rPr>
        <w:t xml:space="preserve"> Supp. 2d 762 (E.D.N.Y. 1999)</w:t>
      </w:r>
      <w:r w:rsidR="00F0446C">
        <w:rPr>
          <w:noProof/>
        </w:rPr>
        <w:tab/>
        <w:t>27, 39</w:t>
      </w:r>
    </w:p>
    <w:p w:rsidR="00B76C8F" w:rsidRPr="00CD44A3" w:rsidRDefault="00B76C8F" w:rsidP="00B76C8F">
      <w:pPr>
        <w:pStyle w:val="TableofAuthorities"/>
        <w:tabs>
          <w:tab w:val="right" w:leader="dot" w:pos="10070"/>
        </w:tabs>
        <w:rPr>
          <w:noProof/>
        </w:rPr>
      </w:pPr>
      <w:r w:rsidRPr="00CD44A3">
        <w:rPr>
          <w:noProof/>
          <w:u w:val="single"/>
        </w:rPr>
        <w:t>Teamsters Joint Council No. 83 v. Centra, Inc.</w:t>
      </w:r>
      <w:r w:rsidRPr="00CD44A3">
        <w:rPr>
          <w:noProof/>
        </w:rPr>
        <w:t>,</w:t>
      </w:r>
      <w:r w:rsidRPr="00CD44A3">
        <w:rPr>
          <w:noProof/>
        </w:rPr>
        <w:br/>
        <w:t>947 F.2d 115 (4th Cir. 1991)</w:t>
      </w:r>
      <w:r w:rsidRPr="00CD44A3">
        <w:rPr>
          <w:noProof/>
        </w:rPr>
        <w:tab/>
        <w:t>20</w:t>
      </w:r>
    </w:p>
    <w:p w:rsidR="00B76C8F" w:rsidRPr="00CD44A3" w:rsidRDefault="00B76C8F" w:rsidP="00B76C8F">
      <w:pPr>
        <w:pStyle w:val="TableofAuthorities"/>
        <w:tabs>
          <w:tab w:val="right" w:leader="dot" w:pos="10070"/>
        </w:tabs>
        <w:rPr>
          <w:noProof/>
        </w:rPr>
      </w:pPr>
      <w:r w:rsidRPr="00CD44A3">
        <w:rPr>
          <w:noProof/>
          <w:u w:val="single"/>
        </w:rPr>
        <w:t>Tsombanidis v. West Haven Fire Dept.</w:t>
      </w:r>
      <w:r w:rsidR="00F0446C">
        <w:rPr>
          <w:noProof/>
        </w:rPr>
        <w:t>,</w:t>
      </w:r>
      <w:r w:rsidR="00F0446C">
        <w:rPr>
          <w:noProof/>
        </w:rPr>
        <w:br/>
        <w:t>352 F.3d 565 (2d Cir. 2003)</w:t>
      </w:r>
      <w:r w:rsidR="00F0446C">
        <w:rPr>
          <w:noProof/>
        </w:rPr>
        <w:tab/>
        <w:t>30, 37</w:t>
      </w:r>
    </w:p>
    <w:p w:rsidR="00B76C8F" w:rsidRPr="00CD44A3" w:rsidRDefault="00B76C8F" w:rsidP="00B76C8F">
      <w:pPr>
        <w:pStyle w:val="TableofAuthorities"/>
        <w:tabs>
          <w:tab w:val="right" w:leader="dot" w:pos="10070"/>
        </w:tabs>
        <w:rPr>
          <w:noProof/>
        </w:rPr>
      </w:pPr>
      <w:r w:rsidRPr="00CD44A3">
        <w:rPr>
          <w:noProof/>
          <w:u w:val="single"/>
        </w:rPr>
        <w:t>Unite</w:t>
      </w:r>
      <w:r w:rsidR="00537654">
        <w:rPr>
          <w:noProof/>
          <w:u w:val="single"/>
        </w:rPr>
        <w:t>d States v. Borough of Audubon</w:t>
      </w:r>
      <w:r w:rsidRPr="00CD44A3">
        <w:rPr>
          <w:noProof/>
        </w:rPr>
        <w:t>,</w:t>
      </w:r>
      <w:r w:rsidRPr="00CD44A3">
        <w:rPr>
          <w:noProof/>
        </w:rPr>
        <w:br/>
        <w:t>797 F.</w:t>
      </w:r>
      <w:r w:rsidR="003F0D09">
        <w:rPr>
          <w:noProof/>
        </w:rPr>
        <w:t xml:space="preserve"> </w:t>
      </w:r>
      <w:r w:rsidR="00F0446C">
        <w:rPr>
          <w:noProof/>
        </w:rPr>
        <w:t>Supp. 353 (D.N.J. 1991)</w:t>
      </w:r>
      <w:r w:rsidR="00F0446C">
        <w:rPr>
          <w:noProof/>
        </w:rPr>
        <w:tab/>
        <w:t>25</w:t>
      </w:r>
    </w:p>
    <w:p w:rsidR="00B76C8F" w:rsidRPr="00CD44A3" w:rsidRDefault="00B76C8F" w:rsidP="00B76C8F">
      <w:pPr>
        <w:pStyle w:val="TableofAuthorities"/>
        <w:tabs>
          <w:tab w:val="right" w:leader="dot" w:pos="10070"/>
        </w:tabs>
        <w:rPr>
          <w:noProof/>
        </w:rPr>
      </w:pPr>
      <w:r w:rsidRPr="00CD44A3">
        <w:rPr>
          <w:noProof/>
          <w:u w:val="single"/>
        </w:rPr>
        <w:t>United States v. S. Mgmt. Corp.</w:t>
      </w:r>
      <w:r w:rsidRPr="00CD44A3">
        <w:rPr>
          <w:noProof/>
        </w:rPr>
        <w:t>,</w:t>
      </w:r>
      <w:r w:rsidR="00F0446C">
        <w:rPr>
          <w:noProof/>
        </w:rPr>
        <w:br/>
        <w:t>955 F.2d 914 (4th Cir. 1992)</w:t>
      </w:r>
      <w:r w:rsidR="00F0446C">
        <w:rPr>
          <w:noProof/>
        </w:rPr>
        <w:tab/>
        <w:t>25</w:t>
      </w:r>
    </w:p>
    <w:p w:rsidR="00ED05E2" w:rsidRDefault="00377A22" w:rsidP="00B76C8F">
      <w:pPr>
        <w:pStyle w:val="TOAHeading"/>
        <w:tabs>
          <w:tab w:val="right" w:leader="dot" w:pos="10070"/>
        </w:tabs>
        <w:rPr>
          <w:rFonts w:ascii="Times New Roman" w:hAnsi="Times New Roman"/>
        </w:rPr>
      </w:pPr>
      <w:r w:rsidRPr="00CD44A3">
        <w:rPr>
          <w:rFonts w:ascii="Times New Roman" w:hAnsi="Times New Roman"/>
        </w:rPr>
        <w:fldChar w:fldCharType="end"/>
      </w:r>
    </w:p>
    <w:p w:rsidR="00ED05E2" w:rsidRDefault="00ED05E2" w:rsidP="00B76C8F">
      <w:pPr>
        <w:pStyle w:val="TOAHeading"/>
        <w:tabs>
          <w:tab w:val="right" w:leader="dot" w:pos="10070"/>
        </w:tabs>
        <w:rPr>
          <w:rFonts w:ascii="Times New Roman" w:hAnsi="Times New Roman"/>
        </w:rPr>
      </w:pPr>
    </w:p>
    <w:p w:rsidR="00ED05E2" w:rsidRDefault="00ED05E2" w:rsidP="00B76C8F">
      <w:pPr>
        <w:pStyle w:val="TOAHeading"/>
        <w:tabs>
          <w:tab w:val="right" w:leader="dot" w:pos="10070"/>
        </w:tabs>
        <w:rPr>
          <w:rFonts w:ascii="Times New Roman" w:hAnsi="Times New Roman"/>
        </w:rPr>
      </w:pPr>
    </w:p>
    <w:p w:rsidR="00ED05E2" w:rsidRDefault="00ED05E2" w:rsidP="00B76C8F">
      <w:pPr>
        <w:pStyle w:val="TOAHeading"/>
        <w:tabs>
          <w:tab w:val="right" w:leader="dot" w:pos="10070"/>
        </w:tabs>
        <w:rPr>
          <w:rFonts w:ascii="Times New Roman" w:hAnsi="Times New Roman"/>
        </w:rPr>
      </w:pPr>
    </w:p>
    <w:p w:rsidR="00ED05E2" w:rsidRDefault="00ED05E2" w:rsidP="00B76C8F">
      <w:pPr>
        <w:pStyle w:val="TOAHeading"/>
        <w:tabs>
          <w:tab w:val="right" w:leader="dot" w:pos="10070"/>
        </w:tabs>
        <w:rPr>
          <w:rFonts w:ascii="Times New Roman" w:hAnsi="Times New Roman"/>
        </w:rPr>
      </w:pPr>
    </w:p>
    <w:p w:rsidR="00ED05E2" w:rsidRDefault="00ED05E2" w:rsidP="00B76C8F">
      <w:pPr>
        <w:pStyle w:val="TOAHeading"/>
        <w:tabs>
          <w:tab w:val="right" w:leader="dot" w:pos="10070"/>
        </w:tabs>
        <w:rPr>
          <w:rFonts w:ascii="Times New Roman" w:hAnsi="Times New Roman"/>
        </w:rPr>
      </w:pPr>
    </w:p>
    <w:p w:rsidR="00ED05E2" w:rsidRDefault="00ED05E2" w:rsidP="00B76C8F">
      <w:pPr>
        <w:pStyle w:val="TOAHeading"/>
        <w:tabs>
          <w:tab w:val="right" w:leader="dot" w:pos="10070"/>
        </w:tabs>
        <w:rPr>
          <w:rFonts w:ascii="Times New Roman" w:hAnsi="Times New Roman"/>
        </w:rPr>
      </w:pPr>
    </w:p>
    <w:p w:rsidR="00ED05E2" w:rsidRDefault="00ED05E2" w:rsidP="00B76C8F">
      <w:pPr>
        <w:pStyle w:val="TOAHeading"/>
        <w:tabs>
          <w:tab w:val="right" w:leader="dot" w:pos="10070"/>
        </w:tabs>
        <w:rPr>
          <w:rFonts w:ascii="Times New Roman" w:hAnsi="Times New Roman"/>
        </w:rPr>
      </w:pPr>
    </w:p>
    <w:p w:rsidR="00ED05E2" w:rsidRDefault="00ED05E2" w:rsidP="00B76C8F">
      <w:pPr>
        <w:pStyle w:val="TOAHeading"/>
        <w:tabs>
          <w:tab w:val="right" w:leader="dot" w:pos="10070"/>
        </w:tabs>
        <w:rPr>
          <w:rFonts w:ascii="Times New Roman" w:hAnsi="Times New Roman"/>
        </w:rPr>
      </w:pPr>
    </w:p>
    <w:p w:rsidR="00DC481D" w:rsidRDefault="00DC481D" w:rsidP="00B76C8F">
      <w:pPr>
        <w:pStyle w:val="TOAHeading"/>
        <w:tabs>
          <w:tab w:val="right" w:leader="dot" w:pos="10070"/>
        </w:tabs>
        <w:rPr>
          <w:rFonts w:ascii="Times New Roman" w:hAnsi="Times New Roman"/>
        </w:rPr>
      </w:pPr>
    </w:p>
    <w:p w:rsidR="00DC481D" w:rsidRDefault="00DC481D" w:rsidP="00B76C8F">
      <w:pPr>
        <w:pStyle w:val="TOAHeading"/>
        <w:tabs>
          <w:tab w:val="right" w:leader="dot" w:pos="10070"/>
        </w:tabs>
        <w:rPr>
          <w:rFonts w:ascii="Times New Roman" w:hAnsi="Times New Roman"/>
        </w:rPr>
      </w:pPr>
    </w:p>
    <w:p w:rsidR="00B76C8F" w:rsidRPr="00DC481D" w:rsidRDefault="00377A22" w:rsidP="00B76C8F">
      <w:pPr>
        <w:pStyle w:val="TOAHeading"/>
        <w:tabs>
          <w:tab w:val="right" w:leader="dot" w:pos="10070"/>
        </w:tabs>
        <w:rPr>
          <w:rFonts w:ascii="Times New Roman" w:hAnsi="Times New Roman"/>
          <w:b/>
          <w:bCs w:val="0"/>
          <w:noProof/>
        </w:rPr>
      </w:pPr>
      <w:r w:rsidRPr="00DC481D">
        <w:rPr>
          <w:rFonts w:ascii="Times New Roman" w:hAnsi="Times New Roman"/>
        </w:rPr>
        <w:fldChar w:fldCharType="begin"/>
      </w:r>
      <w:r w:rsidR="00B76C8F" w:rsidRPr="00DC481D">
        <w:rPr>
          <w:rFonts w:ascii="Times New Roman" w:hAnsi="Times New Roman"/>
        </w:rPr>
        <w:instrText xml:space="preserve"> TOA \h \c "6" \p </w:instrText>
      </w:r>
      <w:r w:rsidRPr="00DC481D">
        <w:rPr>
          <w:rFonts w:ascii="Times New Roman" w:hAnsi="Times New Roman"/>
        </w:rPr>
        <w:fldChar w:fldCharType="separate"/>
      </w:r>
      <w:r w:rsidR="00B76C8F" w:rsidRPr="00DC481D">
        <w:rPr>
          <w:rFonts w:ascii="Times New Roman" w:hAnsi="Times New Roman"/>
          <w:b/>
          <w:noProof/>
        </w:rPr>
        <w:t>Statutes</w:t>
      </w:r>
      <w:r w:rsidR="00DC481D" w:rsidRPr="00DC481D">
        <w:rPr>
          <w:rFonts w:ascii="Times New Roman" w:hAnsi="Times New Roman"/>
          <w:b/>
          <w:noProof/>
        </w:rPr>
        <w:t xml:space="preserve"> and Ordinances</w:t>
      </w:r>
    </w:p>
    <w:p w:rsidR="00B76C8F" w:rsidRPr="00DC481D" w:rsidRDefault="00B76C8F" w:rsidP="00B76C8F">
      <w:pPr>
        <w:pStyle w:val="TableofAuthorities"/>
        <w:tabs>
          <w:tab w:val="right" w:leader="dot" w:pos="10070"/>
        </w:tabs>
        <w:rPr>
          <w:noProof/>
          <w:szCs w:val="24"/>
        </w:rPr>
      </w:pPr>
      <w:r w:rsidRPr="00DC481D">
        <w:rPr>
          <w:noProof/>
          <w:szCs w:val="24"/>
        </w:rPr>
        <w:t>42 U.S.C. §</w:t>
      </w:r>
      <w:r w:rsidR="00537654" w:rsidRPr="00DC481D">
        <w:rPr>
          <w:noProof/>
          <w:szCs w:val="24"/>
        </w:rPr>
        <w:t>§</w:t>
      </w:r>
      <w:r w:rsidRPr="00DC481D">
        <w:rPr>
          <w:noProof/>
          <w:szCs w:val="24"/>
        </w:rPr>
        <w:t xml:space="preserve"> 3601 </w:t>
      </w:r>
      <w:r w:rsidR="00ED05E2" w:rsidRPr="00DC481D">
        <w:rPr>
          <w:i/>
          <w:noProof/>
          <w:szCs w:val="24"/>
        </w:rPr>
        <w:t>et seq</w:t>
      </w:r>
      <w:r w:rsidR="00ED05E2" w:rsidRPr="00DC481D">
        <w:rPr>
          <w:noProof/>
          <w:szCs w:val="24"/>
        </w:rPr>
        <w:t>.</w:t>
      </w:r>
      <w:r w:rsidRPr="00DC481D">
        <w:rPr>
          <w:noProof/>
          <w:szCs w:val="24"/>
        </w:rPr>
        <w:t>.</w:t>
      </w:r>
      <w:r w:rsidRPr="00DC481D">
        <w:rPr>
          <w:noProof/>
          <w:szCs w:val="24"/>
        </w:rPr>
        <w:tab/>
        <w:t>16</w:t>
      </w:r>
    </w:p>
    <w:p w:rsidR="0056309D" w:rsidRPr="00DC481D" w:rsidRDefault="0056309D" w:rsidP="00B76C8F">
      <w:pPr>
        <w:pStyle w:val="TableofAuthorities"/>
        <w:tabs>
          <w:tab w:val="right" w:leader="dot" w:pos="10070"/>
        </w:tabs>
        <w:rPr>
          <w:noProof/>
          <w:szCs w:val="24"/>
        </w:rPr>
      </w:pPr>
      <w:r w:rsidRPr="00DC481D">
        <w:rPr>
          <w:noProof/>
          <w:szCs w:val="24"/>
        </w:rPr>
        <w:t>42 U.S.C. § 12102</w:t>
      </w:r>
      <w:r w:rsidRPr="00DC481D">
        <w:rPr>
          <w:noProof/>
          <w:szCs w:val="24"/>
        </w:rPr>
        <w:tab/>
        <w:t>22, 24</w:t>
      </w:r>
    </w:p>
    <w:p w:rsidR="00B76C8F" w:rsidRPr="00DC481D" w:rsidRDefault="00ED05E2" w:rsidP="00B76C8F">
      <w:pPr>
        <w:pStyle w:val="TableofAuthorities"/>
        <w:tabs>
          <w:tab w:val="right" w:leader="dot" w:pos="10070"/>
        </w:tabs>
        <w:rPr>
          <w:noProof/>
          <w:szCs w:val="24"/>
        </w:rPr>
      </w:pPr>
      <w:r w:rsidRPr="00DC481D">
        <w:rPr>
          <w:noProof/>
          <w:szCs w:val="24"/>
        </w:rPr>
        <w:t xml:space="preserve">42 U.S.C. §§ 12131 </w:t>
      </w:r>
      <w:r w:rsidRPr="00DC481D">
        <w:rPr>
          <w:i/>
          <w:noProof/>
          <w:szCs w:val="24"/>
        </w:rPr>
        <w:t>et seq</w:t>
      </w:r>
      <w:r w:rsidRPr="00DC481D">
        <w:rPr>
          <w:noProof/>
          <w:szCs w:val="24"/>
        </w:rPr>
        <w:t>.</w:t>
      </w:r>
      <w:r w:rsidR="0056309D" w:rsidRPr="00DC481D">
        <w:rPr>
          <w:noProof/>
          <w:szCs w:val="24"/>
        </w:rPr>
        <w:t>.</w:t>
      </w:r>
      <w:r w:rsidR="00B76C8F" w:rsidRPr="00DC481D">
        <w:rPr>
          <w:noProof/>
          <w:szCs w:val="24"/>
        </w:rPr>
        <w:tab/>
        <w:t>1, 16</w:t>
      </w:r>
      <w:r w:rsidR="00DC481D" w:rsidRPr="00DC481D">
        <w:rPr>
          <w:noProof/>
          <w:szCs w:val="24"/>
        </w:rPr>
        <w:t xml:space="preserve">, </w:t>
      </w:r>
      <w:r w:rsidR="00AF0D2C">
        <w:rPr>
          <w:noProof/>
          <w:szCs w:val="24"/>
        </w:rPr>
        <w:t xml:space="preserve">21, </w:t>
      </w:r>
      <w:r w:rsidR="00DC481D" w:rsidRPr="00DC481D">
        <w:rPr>
          <w:noProof/>
          <w:szCs w:val="24"/>
        </w:rPr>
        <w:t>2</w:t>
      </w:r>
      <w:r w:rsidR="00AF0D2C">
        <w:rPr>
          <w:noProof/>
          <w:szCs w:val="24"/>
        </w:rPr>
        <w:t>8</w:t>
      </w:r>
      <w:r w:rsidR="00DC481D" w:rsidRPr="00DC481D">
        <w:rPr>
          <w:noProof/>
          <w:szCs w:val="24"/>
        </w:rPr>
        <w:t>, 4</w:t>
      </w:r>
      <w:r w:rsidR="00AF0D2C">
        <w:rPr>
          <w:noProof/>
          <w:szCs w:val="24"/>
        </w:rPr>
        <w:t>4</w:t>
      </w:r>
    </w:p>
    <w:p w:rsidR="00F0446C" w:rsidRPr="00DC481D" w:rsidRDefault="005F1B8E" w:rsidP="00B76C8F">
      <w:pPr>
        <w:pStyle w:val="TableofAuthorities"/>
        <w:tabs>
          <w:tab w:val="right" w:leader="dot" w:pos="10070"/>
        </w:tabs>
        <w:rPr>
          <w:noProof/>
          <w:szCs w:val="24"/>
        </w:rPr>
      </w:pPr>
      <w:r w:rsidRPr="00DC481D">
        <w:rPr>
          <w:noProof/>
          <w:szCs w:val="24"/>
        </w:rPr>
        <w:t xml:space="preserve">ADA Amendments Act of 2008, </w:t>
      </w:r>
      <w:r w:rsidRPr="00DC481D">
        <w:rPr>
          <w:szCs w:val="24"/>
        </w:rPr>
        <w:t>Pub. L. No. 110-325 (Sept. 25, 2008)</w:t>
      </w:r>
      <w:r w:rsidR="00F0446C" w:rsidRPr="00DC481D">
        <w:rPr>
          <w:noProof/>
          <w:szCs w:val="24"/>
        </w:rPr>
        <w:tab/>
      </w:r>
      <w:r w:rsidRPr="00DC481D">
        <w:rPr>
          <w:noProof/>
          <w:szCs w:val="24"/>
        </w:rPr>
        <w:t>24</w:t>
      </w:r>
    </w:p>
    <w:p w:rsidR="00537654" w:rsidRPr="00DC481D" w:rsidRDefault="00537654" w:rsidP="00B76C8F">
      <w:pPr>
        <w:pStyle w:val="TableofAuthorities"/>
        <w:tabs>
          <w:tab w:val="right" w:leader="dot" w:pos="10070"/>
        </w:tabs>
        <w:rPr>
          <w:noProof/>
          <w:szCs w:val="24"/>
        </w:rPr>
      </w:pPr>
      <w:r w:rsidRPr="00DC481D">
        <w:rPr>
          <w:noProof/>
          <w:szCs w:val="24"/>
        </w:rPr>
        <w:t>Md. Code Ann., Health – Gen. § 7-101</w:t>
      </w:r>
      <w:r w:rsidR="00AF0D2C">
        <w:rPr>
          <w:noProof/>
          <w:szCs w:val="24"/>
        </w:rPr>
        <w:tab/>
        <w:t>31</w:t>
      </w:r>
    </w:p>
    <w:p w:rsidR="00537654" w:rsidRPr="00DC481D" w:rsidRDefault="00537654" w:rsidP="00537654">
      <w:pPr>
        <w:pStyle w:val="TableofAuthorities"/>
        <w:tabs>
          <w:tab w:val="right" w:leader="dot" w:pos="10070"/>
        </w:tabs>
        <w:rPr>
          <w:noProof/>
          <w:szCs w:val="24"/>
        </w:rPr>
      </w:pPr>
      <w:r w:rsidRPr="00DC481D">
        <w:rPr>
          <w:noProof/>
          <w:szCs w:val="24"/>
        </w:rPr>
        <w:t>Md. Code Ann., Health – Gen. § 7-603</w:t>
      </w:r>
      <w:r w:rsidRPr="00DC481D">
        <w:rPr>
          <w:noProof/>
          <w:szCs w:val="24"/>
        </w:rPr>
        <w:tab/>
        <w:t>3</w:t>
      </w:r>
      <w:r w:rsidR="00AF0D2C">
        <w:rPr>
          <w:noProof/>
          <w:szCs w:val="24"/>
        </w:rPr>
        <w:t>0, 32</w:t>
      </w:r>
    </w:p>
    <w:p w:rsidR="00537654" w:rsidRPr="00DC481D" w:rsidRDefault="00537654" w:rsidP="00537654">
      <w:pPr>
        <w:pStyle w:val="TableofAuthorities"/>
        <w:tabs>
          <w:tab w:val="right" w:leader="dot" w:pos="10070"/>
        </w:tabs>
        <w:rPr>
          <w:noProof/>
          <w:szCs w:val="24"/>
        </w:rPr>
      </w:pPr>
      <w:r w:rsidRPr="00DC481D">
        <w:rPr>
          <w:noProof/>
          <w:szCs w:val="24"/>
        </w:rPr>
        <w:t>Md. Code Ann., Health – Gen. § 8-402</w:t>
      </w:r>
      <w:r w:rsidRPr="00DC481D">
        <w:rPr>
          <w:noProof/>
          <w:szCs w:val="24"/>
        </w:rPr>
        <w:tab/>
        <w:t>3</w:t>
      </w:r>
      <w:r w:rsidR="00AF0D2C">
        <w:rPr>
          <w:noProof/>
          <w:szCs w:val="24"/>
        </w:rPr>
        <w:t>3</w:t>
      </w:r>
    </w:p>
    <w:p w:rsidR="00537654" w:rsidRPr="00DC481D" w:rsidRDefault="00537654" w:rsidP="00537654">
      <w:pPr>
        <w:pStyle w:val="TableofAuthorities"/>
        <w:tabs>
          <w:tab w:val="right" w:leader="dot" w:pos="10070"/>
        </w:tabs>
        <w:rPr>
          <w:noProof/>
          <w:szCs w:val="24"/>
        </w:rPr>
      </w:pPr>
      <w:r w:rsidRPr="00DC481D">
        <w:rPr>
          <w:noProof/>
          <w:szCs w:val="24"/>
        </w:rPr>
        <w:t>Md. Code Ann., Health – Gen. § 8-403</w:t>
      </w:r>
      <w:r w:rsidR="00AF0D2C">
        <w:rPr>
          <w:noProof/>
          <w:szCs w:val="24"/>
        </w:rPr>
        <w:tab/>
        <w:t>23</w:t>
      </w:r>
    </w:p>
    <w:p w:rsidR="00537654" w:rsidRPr="00DC481D" w:rsidRDefault="00537654" w:rsidP="00537654">
      <w:pPr>
        <w:pStyle w:val="TableofAuthorities"/>
        <w:tabs>
          <w:tab w:val="right" w:leader="dot" w:pos="10070"/>
        </w:tabs>
        <w:rPr>
          <w:noProof/>
          <w:szCs w:val="24"/>
        </w:rPr>
      </w:pPr>
      <w:r w:rsidRPr="00DC481D">
        <w:rPr>
          <w:noProof/>
          <w:szCs w:val="24"/>
        </w:rPr>
        <w:t>Md. Code Ann., Health – Gen. § 8-404</w:t>
      </w:r>
      <w:r w:rsidR="00AF0D2C">
        <w:rPr>
          <w:noProof/>
          <w:szCs w:val="24"/>
        </w:rPr>
        <w:tab/>
        <w:t>23</w:t>
      </w:r>
    </w:p>
    <w:p w:rsidR="00B76C8F" w:rsidRPr="00DC481D" w:rsidRDefault="00B76C8F" w:rsidP="00B76C8F">
      <w:pPr>
        <w:pStyle w:val="TableofAuthorities"/>
        <w:tabs>
          <w:tab w:val="right" w:leader="dot" w:pos="10070"/>
        </w:tabs>
        <w:rPr>
          <w:noProof/>
          <w:szCs w:val="24"/>
        </w:rPr>
      </w:pPr>
      <w:r w:rsidRPr="00DC481D">
        <w:rPr>
          <w:noProof/>
          <w:szCs w:val="24"/>
        </w:rPr>
        <w:t>Md. Code Ann., Health – Gen. §</w:t>
      </w:r>
      <w:r w:rsidR="00537654" w:rsidRPr="00DC481D">
        <w:rPr>
          <w:noProof/>
          <w:szCs w:val="24"/>
        </w:rPr>
        <w:t xml:space="preserve"> </w:t>
      </w:r>
      <w:r w:rsidR="00AF0D2C">
        <w:rPr>
          <w:noProof/>
          <w:szCs w:val="24"/>
        </w:rPr>
        <w:t>10-514</w:t>
      </w:r>
      <w:r w:rsidR="00AF0D2C">
        <w:rPr>
          <w:noProof/>
          <w:szCs w:val="24"/>
        </w:rPr>
        <w:tab/>
        <w:t>30, 31</w:t>
      </w:r>
    </w:p>
    <w:p w:rsidR="00DC481D" w:rsidRPr="00DC481D" w:rsidRDefault="00DC481D" w:rsidP="00B76C8F">
      <w:pPr>
        <w:pStyle w:val="TableofAuthorities"/>
        <w:tabs>
          <w:tab w:val="right" w:leader="dot" w:pos="10070"/>
        </w:tabs>
        <w:rPr>
          <w:noProof/>
          <w:szCs w:val="24"/>
        </w:rPr>
      </w:pPr>
      <w:r w:rsidRPr="00DC481D">
        <w:rPr>
          <w:noProof/>
          <w:szCs w:val="24"/>
        </w:rPr>
        <w:t>Md. Code Ann., Health – Gen. § 10-518</w:t>
      </w:r>
      <w:r w:rsidRPr="00DC481D">
        <w:rPr>
          <w:noProof/>
          <w:szCs w:val="24"/>
        </w:rPr>
        <w:tab/>
        <w:t>3</w:t>
      </w:r>
      <w:r w:rsidR="00AF0D2C">
        <w:rPr>
          <w:noProof/>
          <w:szCs w:val="24"/>
        </w:rPr>
        <w:t>3, 31</w:t>
      </w:r>
    </w:p>
    <w:p w:rsidR="00DC481D" w:rsidRPr="00DC481D" w:rsidRDefault="00DC481D" w:rsidP="00B76C8F">
      <w:pPr>
        <w:pStyle w:val="TableofAuthorities"/>
        <w:tabs>
          <w:tab w:val="right" w:leader="dot" w:pos="10070"/>
        </w:tabs>
        <w:rPr>
          <w:szCs w:val="24"/>
        </w:rPr>
      </w:pPr>
      <w:r w:rsidRPr="00DC481D">
        <w:rPr>
          <w:szCs w:val="24"/>
        </w:rPr>
        <w:t>Zoning Code of Baltimore City (Dec. 31, 2010)</w:t>
      </w:r>
      <w:r w:rsidRPr="00DC481D">
        <w:rPr>
          <w:noProof/>
          <w:szCs w:val="24"/>
        </w:rPr>
        <w:tab/>
        <w:t>passim</w:t>
      </w:r>
    </w:p>
    <w:p w:rsidR="00B76C8F" w:rsidRPr="00DC481D" w:rsidRDefault="00DC481D" w:rsidP="00B76C8F">
      <w:pPr>
        <w:pStyle w:val="TableofAuthorities"/>
        <w:tabs>
          <w:tab w:val="right" w:leader="dot" w:pos="10070"/>
        </w:tabs>
        <w:rPr>
          <w:noProof/>
          <w:szCs w:val="24"/>
        </w:rPr>
      </w:pPr>
      <w:r w:rsidRPr="00DC481D">
        <w:rPr>
          <w:szCs w:val="24"/>
        </w:rPr>
        <w:t>Zoning Code of Baltimore City Compact Edition (2000)</w:t>
      </w:r>
      <w:r w:rsidR="00B76C8F" w:rsidRPr="00DC481D">
        <w:rPr>
          <w:noProof/>
          <w:szCs w:val="24"/>
        </w:rPr>
        <w:tab/>
      </w:r>
      <w:r>
        <w:rPr>
          <w:noProof/>
          <w:szCs w:val="24"/>
        </w:rPr>
        <w:t>4</w:t>
      </w:r>
    </w:p>
    <w:p w:rsidR="00B76C8F" w:rsidRPr="00CD44A3" w:rsidRDefault="00377A22" w:rsidP="00B76C8F">
      <w:pPr>
        <w:pStyle w:val="TOAHeading"/>
        <w:tabs>
          <w:tab w:val="right" w:leader="dot" w:pos="10070"/>
        </w:tabs>
        <w:rPr>
          <w:rFonts w:ascii="Times New Roman" w:hAnsi="Times New Roman"/>
          <w:b/>
          <w:bCs w:val="0"/>
          <w:noProof/>
          <w:sz w:val="22"/>
          <w:szCs w:val="22"/>
        </w:rPr>
      </w:pPr>
      <w:r w:rsidRPr="00DC481D">
        <w:rPr>
          <w:rFonts w:ascii="Times New Roman" w:hAnsi="Times New Roman"/>
        </w:rPr>
        <w:fldChar w:fldCharType="end"/>
      </w:r>
      <w:r w:rsidRPr="00CD44A3">
        <w:rPr>
          <w:rFonts w:ascii="Times New Roman" w:hAnsi="Times New Roman"/>
        </w:rPr>
        <w:fldChar w:fldCharType="begin"/>
      </w:r>
      <w:r w:rsidR="00B76C8F" w:rsidRPr="00CD44A3">
        <w:rPr>
          <w:rFonts w:ascii="Times New Roman" w:hAnsi="Times New Roman"/>
        </w:rPr>
        <w:instrText xml:space="preserve"> TOA \h \c "9" \p </w:instrText>
      </w:r>
      <w:r w:rsidRPr="00CD44A3">
        <w:rPr>
          <w:rFonts w:ascii="Times New Roman" w:hAnsi="Times New Roman"/>
        </w:rPr>
        <w:fldChar w:fldCharType="separate"/>
      </w:r>
      <w:r w:rsidR="00B76C8F" w:rsidRPr="00CD44A3">
        <w:rPr>
          <w:rFonts w:ascii="Times New Roman" w:hAnsi="Times New Roman"/>
          <w:b/>
          <w:noProof/>
        </w:rPr>
        <w:t>Rules</w:t>
      </w:r>
    </w:p>
    <w:p w:rsidR="00B76C8F" w:rsidRPr="00CD44A3" w:rsidRDefault="00B76C8F" w:rsidP="00B76C8F">
      <w:pPr>
        <w:pStyle w:val="TableofAuthorities"/>
        <w:tabs>
          <w:tab w:val="right" w:leader="dot" w:pos="10070"/>
        </w:tabs>
        <w:rPr>
          <w:noProof/>
        </w:rPr>
      </w:pPr>
      <w:r w:rsidRPr="00CD44A3">
        <w:rPr>
          <w:noProof/>
        </w:rPr>
        <w:t>Federal Rule of Civil Procedure 56</w:t>
      </w:r>
      <w:r w:rsidRPr="00CD44A3">
        <w:rPr>
          <w:noProof/>
        </w:rPr>
        <w:tab/>
        <w:t>2</w:t>
      </w:r>
      <w:r w:rsidR="00537654">
        <w:rPr>
          <w:noProof/>
        </w:rPr>
        <w:t>, 20</w:t>
      </w:r>
    </w:p>
    <w:p w:rsidR="00B76C8F" w:rsidRPr="00CD44A3" w:rsidRDefault="00377A22" w:rsidP="00B76C8F">
      <w:pPr>
        <w:pStyle w:val="TOAHeading"/>
        <w:tabs>
          <w:tab w:val="right" w:leader="dot" w:pos="10070"/>
        </w:tabs>
        <w:rPr>
          <w:rFonts w:ascii="Times New Roman" w:hAnsi="Times New Roman"/>
          <w:b/>
          <w:bCs w:val="0"/>
          <w:noProof/>
          <w:sz w:val="22"/>
          <w:szCs w:val="22"/>
        </w:rPr>
      </w:pPr>
      <w:r w:rsidRPr="00CD44A3">
        <w:rPr>
          <w:rFonts w:ascii="Times New Roman" w:hAnsi="Times New Roman"/>
        </w:rPr>
        <w:fldChar w:fldCharType="end"/>
      </w:r>
      <w:r w:rsidRPr="00377A22">
        <w:rPr>
          <w:rFonts w:ascii="Times New Roman" w:hAnsi="Times New Roman"/>
        </w:rPr>
        <w:fldChar w:fldCharType="begin"/>
      </w:r>
      <w:r w:rsidR="00B76C8F" w:rsidRPr="00CD44A3">
        <w:rPr>
          <w:rFonts w:ascii="Times New Roman" w:hAnsi="Times New Roman"/>
        </w:rPr>
        <w:instrText xml:space="preserve"> TOA \h \c "12" \p </w:instrText>
      </w:r>
      <w:r w:rsidRPr="00377A22">
        <w:rPr>
          <w:rFonts w:ascii="Times New Roman" w:hAnsi="Times New Roman"/>
        </w:rPr>
        <w:fldChar w:fldCharType="separate"/>
      </w:r>
      <w:r w:rsidR="00B76C8F" w:rsidRPr="00CD44A3">
        <w:rPr>
          <w:rFonts w:ascii="Times New Roman" w:hAnsi="Times New Roman"/>
          <w:b/>
          <w:noProof/>
        </w:rPr>
        <w:t>Regulations</w:t>
      </w:r>
    </w:p>
    <w:p w:rsidR="00DC481D" w:rsidRDefault="00DC481D" w:rsidP="00B76C8F">
      <w:pPr>
        <w:pStyle w:val="TableofAuthorities"/>
        <w:tabs>
          <w:tab w:val="right" w:leader="dot" w:pos="10070"/>
        </w:tabs>
        <w:rPr>
          <w:noProof/>
        </w:rPr>
      </w:pPr>
      <w:r w:rsidRPr="00CD44A3">
        <w:rPr>
          <w:noProof/>
        </w:rPr>
        <w:t>28 C.F.R. §</w:t>
      </w:r>
      <w:r>
        <w:rPr>
          <w:noProof/>
        </w:rPr>
        <w:t xml:space="preserve"> </w:t>
      </w:r>
      <w:r w:rsidRPr="00CD44A3">
        <w:rPr>
          <w:noProof/>
        </w:rPr>
        <w:t>35.104</w:t>
      </w:r>
      <w:r w:rsidRPr="00CD44A3">
        <w:rPr>
          <w:noProof/>
        </w:rPr>
        <w:tab/>
      </w:r>
      <w:r>
        <w:rPr>
          <w:noProof/>
        </w:rPr>
        <w:t xml:space="preserve">22, </w:t>
      </w:r>
      <w:r w:rsidR="00AF0D2C">
        <w:rPr>
          <w:noProof/>
        </w:rPr>
        <w:t>24-26</w:t>
      </w:r>
    </w:p>
    <w:p w:rsidR="00B76C8F" w:rsidRPr="00CD44A3" w:rsidRDefault="00B76C8F" w:rsidP="00B76C8F">
      <w:pPr>
        <w:pStyle w:val="TableofAuthorities"/>
        <w:tabs>
          <w:tab w:val="right" w:leader="dot" w:pos="10070"/>
        </w:tabs>
        <w:rPr>
          <w:noProof/>
        </w:rPr>
      </w:pPr>
      <w:r w:rsidRPr="00CD44A3">
        <w:rPr>
          <w:noProof/>
        </w:rPr>
        <w:t>28 C.F.R. § 35.130</w:t>
      </w:r>
      <w:r w:rsidRPr="00CD44A3">
        <w:rPr>
          <w:noProof/>
        </w:rPr>
        <w:tab/>
        <w:t>21</w:t>
      </w:r>
      <w:r w:rsidR="00AF0D2C">
        <w:rPr>
          <w:noProof/>
        </w:rPr>
        <w:t>, 45</w:t>
      </w:r>
    </w:p>
    <w:p w:rsidR="00B76C8F" w:rsidRPr="00CD44A3" w:rsidRDefault="00B76C8F" w:rsidP="00B76C8F">
      <w:pPr>
        <w:pStyle w:val="TableofAuthorities"/>
        <w:tabs>
          <w:tab w:val="right" w:leader="dot" w:pos="10070"/>
        </w:tabs>
        <w:rPr>
          <w:noProof/>
        </w:rPr>
      </w:pPr>
      <w:r w:rsidRPr="00CD44A3">
        <w:rPr>
          <w:noProof/>
        </w:rPr>
        <w:t xml:space="preserve">28 C.F.R. </w:t>
      </w:r>
      <w:r w:rsidR="00537654" w:rsidRPr="00CD44A3">
        <w:rPr>
          <w:noProof/>
        </w:rPr>
        <w:t>§</w:t>
      </w:r>
      <w:r w:rsidR="00537654">
        <w:rPr>
          <w:noProof/>
        </w:rPr>
        <w:t xml:space="preserve"> </w:t>
      </w:r>
      <w:r w:rsidRPr="00CD44A3">
        <w:rPr>
          <w:noProof/>
        </w:rPr>
        <w:t>35.131</w:t>
      </w:r>
      <w:r w:rsidRPr="00CD44A3">
        <w:rPr>
          <w:noProof/>
        </w:rPr>
        <w:tab/>
        <w:t>22</w:t>
      </w:r>
    </w:p>
    <w:p w:rsidR="00B76C8F" w:rsidRPr="00CD44A3" w:rsidRDefault="00E32CB8" w:rsidP="00B76C8F">
      <w:pPr>
        <w:pStyle w:val="TableofAuthorities"/>
        <w:tabs>
          <w:tab w:val="right" w:leader="dot" w:pos="10070"/>
        </w:tabs>
        <w:rPr>
          <w:noProof/>
        </w:rPr>
      </w:pPr>
      <w:r>
        <w:rPr>
          <w:noProof/>
        </w:rPr>
        <w:t>28</w:t>
      </w:r>
      <w:r w:rsidR="00B76C8F" w:rsidRPr="00CD44A3">
        <w:rPr>
          <w:noProof/>
        </w:rPr>
        <w:t xml:space="preserve"> C.F.R. §</w:t>
      </w:r>
      <w:r w:rsidR="00537654">
        <w:rPr>
          <w:noProof/>
        </w:rPr>
        <w:t xml:space="preserve"> </w:t>
      </w:r>
      <w:r w:rsidR="00AF0D2C">
        <w:rPr>
          <w:noProof/>
        </w:rPr>
        <w:t>35.139</w:t>
      </w:r>
      <w:r w:rsidR="00AF0D2C">
        <w:rPr>
          <w:noProof/>
        </w:rPr>
        <w:tab/>
        <w:t>21, 27</w:t>
      </w:r>
    </w:p>
    <w:p w:rsidR="00B76C8F" w:rsidRPr="00CD44A3" w:rsidRDefault="00AF0D2C" w:rsidP="00B76C8F">
      <w:pPr>
        <w:pStyle w:val="TableofAuthorities"/>
        <w:tabs>
          <w:tab w:val="right" w:leader="dot" w:pos="10070"/>
        </w:tabs>
        <w:rPr>
          <w:noProof/>
        </w:rPr>
      </w:pPr>
      <w:r>
        <w:rPr>
          <w:noProof/>
        </w:rPr>
        <w:t>28 C.F.R. p</w:t>
      </w:r>
      <w:r w:rsidR="00E32CB8">
        <w:rPr>
          <w:noProof/>
        </w:rPr>
        <w:t xml:space="preserve">t. 35 </w:t>
      </w:r>
      <w:r w:rsidR="000A7CA5">
        <w:rPr>
          <w:noProof/>
        </w:rPr>
        <w:t>app. A, S</w:t>
      </w:r>
      <w:r>
        <w:rPr>
          <w:noProof/>
        </w:rPr>
        <w:t>ection 35.104 (2009)</w:t>
      </w:r>
      <w:r>
        <w:rPr>
          <w:noProof/>
        </w:rPr>
        <w:tab/>
        <w:t>21, 27</w:t>
      </w:r>
    </w:p>
    <w:p w:rsidR="00B76C8F" w:rsidRPr="00CD44A3" w:rsidRDefault="00553784" w:rsidP="00B76C8F">
      <w:pPr>
        <w:pStyle w:val="TableofAuthorities"/>
        <w:tabs>
          <w:tab w:val="right" w:leader="dot" w:pos="10070"/>
        </w:tabs>
        <w:rPr>
          <w:noProof/>
        </w:rPr>
      </w:pPr>
      <w:r>
        <w:rPr>
          <w:noProof/>
        </w:rPr>
        <w:t>Md. Code Regs. (</w:t>
      </w:r>
      <w:r w:rsidR="00AF0D2C">
        <w:rPr>
          <w:noProof/>
        </w:rPr>
        <w:t>"COMAR"</w:t>
      </w:r>
      <w:r w:rsidR="00ED05E2" w:rsidRPr="00553784">
        <w:rPr>
          <w:noProof/>
        </w:rPr>
        <w:t>)</w:t>
      </w:r>
      <w:r w:rsidR="0056309D" w:rsidRPr="00553784">
        <w:rPr>
          <w:noProof/>
        </w:rPr>
        <w:t xml:space="preserve"> 10.47.0</w:t>
      </w:r>
      <w:r w:rsidRPr="00553784">
        <w:rPr>
          <w:noProof/>
        </w:rPr>
        <w:t>1</w:t>
      </w:r>
      <w:r w:rsidR="0056309D">
        <w:rPr>
          <w:noProof/>
        </w:rPr>
        <w:t xml:space="preserve"> </w:t>
      </w:r>
      <w:r w:rsidR="0056309D" w:rsidRPr="0056309D">
        <w:rPr>
          <w:i/>
          <w:noProof/>
        </w:rPr>
        <w:t>e</w:t>
      </w:r>
      <w:r w:rsidR="00ED05E2">
        <w:rPr>
          <w:i/>
          <w:noProof/>
        </w:rPr>
        <w:t>t</w:t>
      </w:r>
      <w:r w:rsidR="0056309D" w:rsidRPr="0056309D">
        <w:rPr>
          <w:i/>
          <w:noProof/>
        </w:rPr>
        <w:t xml:space="preserve"> seq</w:t>
      </w:r>
      <w:r w:rsidR="0056309D">
        <w:rPr>
          <w:noProof/>
        </w:rPr>
        <w:t>.</w:t>
      </w:r>
      <w:r w:rsidR="00B76C8F" w:rsidRPr="00CD44A3">
        <w:rPr>
          <w:noProof/>
        </w:rPr>
        <w:tab/>
      </w:r>
      <w:r w:rsidR="0056309D">
        <w:rPr>
          <w:noProof/>
        </w:rPr>
        <w:t xml:space="preserve">4, </w:t>
      </w:r>
      <w:r w:rsidR="00AF0D2C">
        <w:rPr>
          <w:noProof/>
        </w:rPr>
        <w:t>23-24, 26</w:t>
      </w:r>
    </w:p>
    <w:p w:rsidR="00B76C8F" w:rsidRPr="00CD44A3" w:rsidRDefault="00B76C8F" w:rsidP="0056309D">
      <w:pPr>
        <w:pStyle w:val="TableofAuthorities"/>
        <w:tabs>
          <w:tab w:val="right" w:leader="dot" w:pos="10070"/>
        </w:tabs>
        <w:ind w:left="0" w:firstLine="0"/>
        <w:rPr>
          <w:noProof/>
        </w:rPr>
      </w:pPr>
    </w:p>
    <w:p w:rsidR="00AF0D2C" w:rsidRPr="00CD44A3" w:rsidRDefault="00377A22" w:rsidP="00AF0D2C">
      <w:pPr>
        <w:pStyle w:val="TOAHeading"/>
        <w:tabs>
          <w:tab w:val="right" w:leader="dot" w:pos="10070"/>
        </w:tabs>
        <w:rPr>
          <w:noProof/>
        </w:rPr>
      </w:pPr>
      <w:r w:rsidRPr="00CD44A3">
        <w:fldChar w:fldCharType="end"/>
      </w:r>
    </w:p>
    <w:p w:rsidR="00DC481D" w:rsidRPr="00CD44A3" w:rsidRDefault="00DC481D" w:rsidP="00DC481D">
      <w:pPr>
        <w:pStyle w:val="TableofAuthorities"/>
        <w:tabs>
          <w:tab w:val="right" w:leader="dot" w:pos="10070"/>
        </w:tabs>
        <w:rPr>
          <w:noProof/>
        </w:rPr>
      </w:pPr>
    </w:p>
    <w:p w:rsidR="00B76C8F" w:rsidRPr="00CD44A3" w:rsidRDefault="00B76C8F" w:rsidP="00B76C8F">
      <w:pPr>
        <w:rPr>
          <w:szCs w:val="24"/>
        </w:rPr>
      </w:pPr>
    </w:p>
    <w:p w:rsidR="00B76C8F" w:rsidRPr="00CD44A3" w:rsidRDefault="00B76C8F" w:rsidP="00B76C8F">
      <w:pPr>
        <w:sectPr w:rsidR="00B76C8F" w:rsidRPr="00CD44A3" w:rsidSect="00052E33">
          <w:footerReference w:type="default" r:id="rId13"/>
          <w:footerReference w:type="first" r:id="rId14"/>
          <w:pgSz w:w="12240" w:h="15840"/>
          <w:pgMar w:top="2160" w:right="720" w:bottom="1440" w:left="1440" w:header="720" w:footer="1440" w:gutter="0"/>
          <w:pgNumType w:fmt="lowerRoman" w:start="1"/>
          <w:cols w:space="720"/>
          <w:docGrid w:linePitch="326"/>
        </w:sectPr>
      </w:pPr>
    </w:p>
    <w:p w:rsidR="00B76C8F" w:rsidRPr="00CD44A3" w:rsidRDefault="00B76C8F" w:rsidP="000B6C37">
      <w:pPr>
        <w:pStyle w:val="ListParagraph"/>
        <w:numPr>
          <w:ilvl w:val="0"/>
          <w:numId w:val="7"/>
        </w:numPr>
        <w:spacing w:line="480" w:lineRule="auto"/>
        <w:jc w:val="center"/>
        <w:outlineLvl w:val="0"/>
      </w:pPr>
      <w:bookmarkStart w:id="0" w:name="_Toc290573096"/>
      <w:r w:rsidRPr="00CD44A3">
        <w:rPr>
          <w:b/>
          <w:caps/>
        </w:rPr>
        <w:t>Introduction</w:t>
      </w:r>
      <w:bookmarkEnd w:id="0"/>
    </w:p>
    <w:p w:rsidR="00B76C8F" w:rsidRPr="00CD44A3" w:rsidRDefault="00B76C8F" w:rsidP="00B76C8F">
      <w:pPr>
        <w:spacing w:line="480" w:lineRule="auto"/>
        <w:ind w:firstLine="720"/>
      </w:pPr>
      <w:r w:rsidRPr="00CD44A3">
        <w:t xml:space="preserve">The United States alleges that the City of Baltimore (“City”) discriminates against individuals who receive treatment in residential substance abuse treatment programs, in violation of title II of the Americans with Disabilities Act (“ADA”), </w:t>
      </w:r>
      <w:r w:rsidR="00377A22" w:rsidRPr="00CD44A3">
        <w:fldChar w:fldCharType="begin"/>
      </w:r>
      <w:r w:rsidRPr="00CD44A3">
        <w:instrText xml:space="preserve"> TA \l "42 U.S.C. §§ 12131 et seq.," \s "WSFTA_1a62865e1b5e43d6811792c5186a849f" \c 6 </w:instrText>
      </w:r>
      <w:r w:rsidR="00377A22" w:rsidRPr="00CD44A3">
        <w:fldChar w:fldCharType="end"/>
      </w:r>
      <w:r w:rsidRPr="00CD44A3">
        <w:t xml:space="preserve">42 U.S.C. §§ 12131 </w:t>
      </w:r>
      <w:r w:rsidRPr="00CD44A3">
        <w:rPr>
          <w:u w:val="single"/>
        </w:rPr>
        <w:t>et</w:t>
      </w:r>
      <w:r w:rsidRPr="00CD44A3">
        <w:t xml:space="preserve"> </w:t>
      </w:r>
      <w:r w:rsidRPr="00CD44A3">
        <w:rPr>
          <w:u w:val="single"/>
        </w:rPr>
        <w:t>seq.</w:t>
      </w:r>
      <w:r w:rsidRPr="00CD44A3">
        <w:t xml:space="preserve">, and its implementing regulation.  Under the City’s Zoning Code, “homes for the rehabilitation of non-bedridden alcoholics and for the care and custody of homeless persons” – </w:t>
      </w:r>
      <w:r w:rsidRPr="00CD44A3">
        <w:rPr>
          <w:bCs/>
          <w:iCs/>
        </w:rPr>
        <w:t>the only applicable Zoning Code classification for these programs</w:t>
      </w:r>
      <w:r w:rsidRPr="00CD44A3">
        <w:t xml:space="preserve"> – cannot locate </w:t>
      </w:r>
      <w:r w:rsidRPr="00CD44A3">
        <w:rPr>
          <w:i/>
          <w:iCs/>
        </w:rPr>
        <w:t>anywhere</w:t>
      </w:r>
      <w:r w:rsidRPr="00CD44A3">
        <w:t xml:space="preserve"> in the City until and unless the program obtains a Conditional Use Ordinance (“CO”), a process that is lengthy and burdensome.  This requirement applies regardless of the size of the proposed program (whether intended to serve 8, 28, or 68 persons) or the location sought (whether zoned for single- or multiple-family residential or business).  Virtually every other comparable use can locate </w:t>
      </w:r>
      <w:r w:rsidRPr="00CD44A3">
        <w:rPr>
          <w:i/>
          <w:iCs/>
        </w:rPr>
        <w:t>somewhere</w:t>
      </w:r>
      <w:r w:rsidRPr="00CD44A3">
        <w:t xml:space="preserve"> in the City as of right.  </w:t>
      </w:r>
    </w:p>
    <w:p w:rsidR="00B76C8F" w:rsidRPr="00CD44A3" w:rsidRDefault="00B76C8F" w:rsidP="00B76C8F">
      <w:pPr>
        <w:spacing w:line="480" w:lineRule="auto"/>
        <w:ind w:firstLine="720"/>
      </w:pPr>
      <w:r w:rsidRPr="00CD44A3">
        <w:t xml:space="preserve">The absence of any justifiable basis for classifying and treating residential substance abuse treatment programs in a manner so qualitatively different and worse than the City treats other similar uses – </w:t>
      </w:r>
      <w:r w:rsidR="00E41997">
        <w:t>notably,</w:t>
      </w:r>
      <w:r w:rsidRPr="00CD44A3">
        <w:t xml:space="preserve"> group homes for individuals with mental illness and developmental disabilities, which can locate as of right in residential zones of appropriate density – supports only one conclusion: that the City’s Zoning Code discriminates against individuals recovering from substance abuse.  Because such individuals are persons with disabilities under the ADA, the City’s Zoning Code is facially discr</w:t>
      </w:r>
      <w:r w:rsidR="00C80199">
        <w:t>iminatory.  Indeed, two former m</w:t>
      </w:r>
      <w:r w:rsidRPr="00CD44A3">
        <w:t>ayors have tried and failed on three separate occasions to repeal the CO requirement for residential substance abuse treatment programs because of its facial invalidity.  Moreover, the record clearly establishes that the defendant’s disparate treatment of residential substance abuse treatment programs is premised on pervasive and ongoing animus against recovering addicts, concerns that go to the heart of the ADA’s protections.</w:t>
      </w:r>
      <w:r w:rsidRPr="00CD44A3">
        <w:rPr>
          <w:rStyle w:val="FootnoteReference"/>
        </w:rPr>
        <w:footnoteReference w:id="1"/>
      </w:r>
      <w:r w:rsidRPr="00CD44A3">
        <w:t xml:space="preserve"> </w:t>
      </w:r>
    </w:p>
    <w:p w:rsidR="00B76C8F" w:rsidRPr="00CD44A3" w:rsidRDefault="00B76C8F" w:rsidP="00B76C8F">
      <w:pPr>
        <w:spacing w:line="480" w:lineRule="auto"/>
      </w:pPr>
      <w:r w:rsidRPr="00CD44A3">
        <w:tab/>
      </w:r>
      <w:r w:rsidRPr="00CD44A3">
        <w:rPr>
          <w:szCs w:val="24"/>
        </w:rPr>
        <w:t xml:space="preserve">There exists no genuine dispute as to the material facts underlying the United States’ claims.  The United States therefore moves </w:t>
      </w:r>
      <w:r w:rsidRPr="00CD44A3">
        <w:t xml:space="preserve">this Court to grant its Motion for Partial Summary Judgment, on liability, under </w:t>
      </w:r>
      <w:r w:rsidR="00377A22" w:rsidRPr="00CD44A3">
        <w:fldChar w:fldCharType="begin"/>
      </w:r>
      <w:r w:rsidRPr="00CD44A3">
        <w:instrText xml:space="preserve"> TA \l "Federal Rule of Civil Procedure 56" \s "WSFTA_402f3c5a05aa4e2084f7b7ee7e827dbe" \c 9 </w:instrText>
      </w:r>
      <w:r w:rsidR="00377A22" w:rsidRPr="00CD44A3">
        <w:fldChar w:fldCharType="end"/>
      </w:r>
      <w:r w:rsidRPr="00CD44A3">
        <w:t>Federal Rule of Civil Procedure 56</w:t>
      </w:r>
      <w:r w:rsidRPr="00CD44A3">
        <w:rPr>
          <w:szCs w:val="24"/>
        </w:rPr>
        <w:t xml:space="preserve">.  </w:t>
      </w:r>
      <w:r w:rsidRPr="00CD44A3">
        <w:t xml:space="preserve">In the alternative, the United States moves this Court to grant partial summary judgment for the United States on </w:t>
      </w:r>
      <w:r w:rsidR="0091196C">
        <w:t>two</w:t>
      </w:r>
      <w:r w:rsidRPr="00CD44A3">
        <w:t xml:space="preserve"> discrete issue</w:t>
      </w:r>
      <w:r w:rsidR="0091196C">
        <w:t>s</w:t>
      </w:r>
      <w:r w:rsidR="00FC0788">
        <w:t xml:space="preserve"> (or either one)</w:t>
      </w:r>
      <w:r w:rsidR="0091196C">
        <w:t>: (1)</w:t>
      </w:r>
      <w:r w:rsidRPr="00CD44A3">
        <w:t xml:space="preserve"> that individuals who receive treatment in </w:t>
      </w:r>
      <w:r w:rsidR="00FC0788">
        <w:t xml:space="preserve">certified </w:t>
      </w:r>
      <w:r w:rsidRPr="00CD44A3">
        <w:t xml:space="preserve">residential substance abuse treatment programs </w:t>
      </w:r>
      <w:r w:rsidR="00124BA5">
        <w:t xml:space="preserve">in Baltimore </w:t>
      </w:r>
      <w:r w:rsidRPr="00CD44A3">
        <w:t xml:space="preserve">are disabled under the ADA, </w:t>
      </w:r>
      <w:r w:rsidR="0091196C">
        <w:t xml:space="preserve">and (2) that </w:t>
      </w:r>
      <w:r w:rsidR="0091196C" w:rsidRPr="00CD44A3">
        <w:t xml:space="preserve">individuals who receive treatment in </w:t>
      </w:r>
      <w:r w:rsidR="00FC0788">
        <w:t xml:space="preserve">certified </w:t>
      </w:r>
      <w:r w:rsidR="0091196C" w:rsidRPr="00CD44A3">
        <w:t xml:space="preserve">residential substance abuse treatment programs </w:t>
      </w:r>
      <w:r w:rsidR="0091196C">
        <w:t xml:space="preserve">in Baltimore do not pose a </w:t>
      </w:r>
      <w:r w:rsidR="00E23274">
        <w:t>direct threat to the health or safety of others</w:t>
      </w:r>
      <w:r w:rsidR="0091196C">
        <w:t xml:space="preserve">, </w:t>
      </w:r>
      <w:r w:rsidRPr="00CD44A3">
        <w:t>in order to narrow the issues for trial.  The United States requests permission to subsequently brief the issue of damages if the Court rules in its favor on liability.</w:t>
      </w:r>
    </w:p>
    <w:p w:rsidR="00B76C8F" w:rsidRPr="00CD44A3" w:rsidRDefault="00B76C8F" w:rsidP="000B6C37">
      <w:pPr>
        <w:pStyle w:val="ListParagraph"/>
        <w:numPr>
          <w:ilvl w:val="0"/>
          <w:numId w:val="7"/>
        </w:numPr>
        <w:spacing w:line="480" w:lineRule="auto"/>
        <w:jc w:val="center"/>
        <w:outlineLvl w:val="0"/>
        <w:rPr>
          <w:b/>
        </w:rPr>
      </w:pPr>
      <w:bookmarkStart w:id="1" w:name="_Toc290573097"/>
      <w:r w:rsidRPr="00CD44A3">
        <w:rPr>
          <w:b/>
          <w:caps/>
        </w:rPr>
        <w:t>Procedural Background</w:t>
      </w:r>
      <w:bookmarkEnd w:id="1"/>
    </w:p>
    <w:p w:rsidR="00B76C8F" w:rsidRPr="00CD44A3" w:rsidRDefault="00B76C8F" w:rsidP="00B76C8F">
      <w:pPr>
        <w:spacing w:line="480" w:lineRule="auto"/>
      </w:pPr>
      <w:r w:rsidRPr="00CD44A3">
        <w:tab/>
        <w:t xml:space="preserve">Before this case was filed, the United States investigated an administrative complaint filed with the U.S. Department of Justice by the Baltimore City Substance Abuse Directorate (BCSAD) </w:t>
      </w:r>
      <w:r w:rsidR="00C80199">
        <w:t xml:space="preserve">alleging </w:t>
      </w:r>
      <w:r w:rsidRPr="00CD44A3">
        <w:t xml:space="preserve">that the City of Baltimore’s Zoning Code discriminated against individuals with disabilities in recovery from substance abuse.  The United States determined that the City of Baltimore was in violation </w:t>
      </w:r>
      <w:r w:rsidR="00C80199">
        <w:t xml:space="preserve">of title II </w:t>
      </w:r>
      <w:r w:rsidRPr="00CD44A3">
        <w:t>of the Americans with Disabilities Act and tried to resolve the investigation through a proposed settlement, which did not succeed.  The United States filed its Complaint on April 23, 2009.</w:t>
      </w:r>
      <w:r w:rsidRPr="00CD44A3">
        <w:rPr>
          <w:rStyle w:val="FootnoteReference"/>
        </w:rPr>
        <w:footnoteReference w:id="2"/>
      </w:r>
      <w:r w:rsidRPr="00CD44A3">
        <w:t xml:space="preserve">  The City filed its Answer on July 17, 2009.</w:t>
      </w:r>
      <w:r w:rsidRPr="00CD44A3">
        <w:rPr>
          <w:rStyle w:val="FootnoteReference"/>
        </w:rPr>
        <w:footnoteReference w:id="3"/>
      </w:r>
      <w:r w:rsidRPr="00CD44A3">
        <w:t xml:space="preserve">  A related case, </w:t>
      </w:r>
      <w:r w:rsidRPr="00CD44A3">
        <w:rPr>
          <w:u w:val="single"/>
        </w:rPr>
        <w:t>Baltimore City Substance Abuse Directorate v. Mayor and City Council of Baltimore</w:t>
      </w:r>
      <w:r w:rsidRPr="00CD44A3">
        <w:t>, Civ. No. JFM-09-1766, was filed on July 7, 2009.  Both cases allege substantially the same facts and similar legal claims.  The United States, BCSAD, and the City agreed to consolidate discovery of the two cases and proceed on the same scheduling order.  Before the close of fact discovery on March 1, 2011, t</w:t>
      </w:r>
      <w:r w:rsidRPr="00CD44A3">
        <w:rPr>
          <w:spacing w:val="-6"/>
          <w:w w:val="105"/>
        </w:rPr>
        <w:t xml:space="preserve">he parties conducted extensive fact discovery, including </w:t>
      </w:r>
      <w:r w:rsidR="00C80199">
        <w:rPr>
          <w:spacing w:val="-6"/>
          <w:w w:val="105"/>
        </w:rPr>
        <w:t>depositions of 21 witnesses</w:t>
      </w:r>
      <w:r w:rsidRPr="00CD44A3">
        <w:rPr>
          <w:spacing w:val="-6"/>
          <w:w w:val="105"/>
        </w:rPr>
        <w:t xml:space="preserve"> and production of over 36,000 pages</w:t>
      </w:r>
      <w:r w:rsidR="00C80199">
        <w:rPr>
          <w:spacing w:val="-6"/>
          <w:w w:val="105"/>
        </w:rPr>
        <w:t xml:space="preserve"> of documents</w:t>
      </w:r>
      <w:r w:rsidRPr="00CD44A3">
        <w:rPr>
          <w:spacing w:val="-6"/>
          <w:w w:val="105"/>
        </w:rPr>
        <w:t xml:space="preserve">. </w:t>
      </w:r>
      <w:r w:rsidRPr="00CD44A3">
        <w:t>The Court then approved the parties’ joint request to stay expert discovery and file partial summary judgment motions.</w:t>
      </w:r>
      <w:r w:rsidRPr="00CD44A3">
        <w:rPr>
          <w:rStyle w:val="FootnoteReference"/>
        </w:rPr>
        <w:footnoteReference w:id="4"/>
      </w:r>
      <w:r w:rsidRPr="00CD44A3">
        <w:t xml:space="preserve">  </w:t>
      </w:r>
    </w:p>
    <w:p w:rsidR="00B76C8F" w:rsidRPr="00CD44A3" w:rsidRDefault="00B76C8F" w:rsidP="000B6C37">
      <w:pPr>
        <w:pStyle w:val="ListParagraph"/>
        <w:numPr>
          <w:ilvl w:val="0"/>
          <w:numId w:val="7"/>
        </w:numPr>
        <w:spacing w:line="480" w:lineRule="auto"/>
        <w:jc w:val="center"/>
        <w:outlineLvl w:val="0"/>
        <w:rPr>
          <w:b/>
        </w:rPr>
      </w:pPr>
      <w:bookmarkStart w:id="2" w:name="_Toc290573098"/>
      <w:r w:rsidRPr="00CD44A3">
        <w:rPr>
          <w:b/>
          <w:caps/>
        </w:rPr>
        <w:t>Factual Background</w:t>
      </w:r>
      <w:bookmarkEnd w:id="2"/>
    </w:p>
    <w:p w:rsidR="00B76C8F" w:rsidRPr="00CD44A3" w:rsidRDefault="00B76C8F" w:rsidP="000B6C37">
      <w:pPr>
        <w:pStyle w:val="ListParagraph"/>
        <w:numPr>
          <w:ilvl w:val="0"/>
          <w:numId w:val="8"/>
        </w:numPr>
        <w:spacing w:line="480" w:lineRule="auto"/>
        <w:ind w:hanging="720"/>
        <w:outlineLvl w:val="1"/>
      </w:pPr>
      <w:bookmarkStart w:id="3" w:name="_Toc290573099"/>
      <w:r w:rsidRPr="00CD44A3">
        <w:rPr>
          <w:u w:val="single"/>
        </w:rPr>
        <w:t>Zoning Process for Residential Substance Abuse Treatment Programs</w:t>
      </w:r>
      <w:bookmarkEnd w:id="3"/>
    </w:p>
    <w:p w:rsidR="00B76C8F" w:rsidRPr="00CD44A3" w:rsidRDefault="00B76C8F" w:rsidP="00B76C8F">
      <w:pPr>
        <w:spacing w:line="480" w:lineRule="auto"/>
        <w:ind w:firstLine="720"/>
      </w:pPr>
      <w:r w:rsidRPr="00CD44A3">
        <w:t>The City of Baltimore’s Zoning Code provides for three basic types of zoning approval.  A land use may be: (1) permitted as of right; (2) a conditional use requiring the approval of the Board of Municipal and Zoning Appeals; or (3) a conditional use requiring the approval of the Mayor and the City Council of Baltimore.</w:t>
      </w:r>
      <w:r w:rsidRPr="00CD44A3">
        <w:rPr>
          <w:rStyle w:val="FootnoteReference"/>
        </w:rPr>
        <w:footnoteReference w:id="5"/>
      </w:r>
      <w:r w:rsidRPr="00CD44A3">
        <w:t xml:space="preserve">  A zoning permit </w:t>
      </w:r>
      <w:r w:rsidRPr="00CD44A3">
        <w:rPr>
          <w:i/>
        </w:rPr>
        <w:t>as of right</w:t>
      </w:r>
      <w:r w:rsidRPr="00CD44A3">
        <w:t xml:space="preserve"> is typically received “over-the-counter” on the same day as the application.</w:t>
      </w:r>
      <w:r w:rsidRPr="00CD44A3">
        <w:rPr>
          <w:rStyle w:val="FootnoteReference"/>
        </w:rPr>
        <w:footnoteReference w:id="6"/>
      </w:r>
      <w:r w:rsidRPr="00CD44A3">
        <w:t xml:space="preserve">  A </w:t>
      </w:r>
      <w:r w:rsidRPr="00CD44A3">
        <w:rPr>
          <w:i/>
        </w:rPr>
        <w:t>conditional use requiring the approval of the Board of Municipal and Zoning Appeals</w:t>
      </w:r>
      <w:r w:rsidRPr="00CD44A3">
        <w:t xml:space="preserve"> takes approximately six weeks, and requires a hearing before the Board of Municipal and Zoning Appeals.</w:t>
      </w:r>
      <w:r w:rsidRPr="00CD44A3">
        <w:rPr>
          <w:rStyle w:val="FootnoteReference"/>
        </w:rPr>
        <w:footnoteReference w:id="7"/>
      </w:r>
      <w:r w:rsidRPr="00CD44A3">
        <w:t xml:space="preserve">  A </w:t>
      </w:r>
      <w:r w:rsidRPr="00CD44A3">
        <w:rPr>
          <w:i/>
        </w:rPr>
        <w:t>conditional use requiring the approval of the Mayor and the City Council of Baltimore</w:t>
      </w:r>
      <w:r w:rsidRPr="00CD44A3">
        <w:t xml:space="preserve">, however, requires the City Council to pass a bill, </w:t>
      </w:r>
      <w:r w:rsidR="00C80199">
        <w:t>which</w:t>
      </w:r>
      <w:r w:rsidRPr="00CD44A3">
        <w:t xml:space="preserve"> may take six months or more.</w:t>
      </w:r>
      <w:r w:rsidRPr="00CD44A3">
        <w:rPr>
          <w:rStyle w:val="FootnoteReference"/>
        </w:rPr>
        <w:footnoteReference w:id="8"/>
      </w:r>
      <w:r w:rsidRPr="00CD44A3">
        <w:t xml:space="preserve">  The CO process also requires two public hearings, written reports and recommendations from City agencies, and that the applicant post signs on the property and place advertisements of the public hearings in the newspaper.</w:t>
      </w:r>
      <w:r w:rsidRPr="00CD44A3">
        <w:rPr>
          <w:rStyle w:val="FootnoteReference"/>
        </w:rPr>
        <w:footnoteReference w:id="9"/>
      </w:r>
      <w:r w:rsidRPr="00CD44A3">
        <w:t xml:space="preserve"> </w:t>
      </w:r>
    </w:p>
    <w:p w:rsidR="00B76C8F" w:rsidRPr="00CD44A3" w:rsidRDefault="00B76C8F" w:rsidP="00B76C8F">
      <w:pPr>
        <w:spacing w:line="480" w:lineRule="auto"/>
        <w:ind w:firstLine="720"/>
      </w:pPr>
      <w:r w:rsidRPr="00CD44A3">
        <w:t>A conditional use is defined as:</w:t>
      </w:r>
    </w:p>
    <w:p w:rsidR="00B76C8F" w:rsidRPr="00CD44A3" w:rsidRDefault="00B76C8F" w:rsidP="00E32CB8">
      <w:pPr>
        <w:ind w:left="720" w:right="720"/>
        <w:jc w:val="both"/>
      </w:pPr>
      <w:r w:rsidRPr="00CD44A3">
        <w:t>[A] use compatible with the permitted uses in a particular zoning classification.  However, because of a characteristic such as noise, odor, or traffic, it requires special permission by the Board of Municipal and Zoning Appeals or an Ordinance of the Mayor and City Council.  Examples of activities that require conditional use approval by Ordinance include parking lots in residential areas, high-density elderly housing, and drive-through restaurants.</w:t>
      </w:r>
      <w:r w:rsidRPr="00CD44A3">
        <w:rPr>
          <w:rStyle w:val="FootnoteReference"/>
        </w:rPr>
        <w:footnoteReference w:id="10"/>
      </w:r>
    </w:p>
    <w:p w:rsidR="00B76C8F" w:rsidRPr="00CD44A3" w:rsidRDefault="00B76C8F" w:rsidP="00B76C8F"/>
    <w:p w:rsidR="00B76C8F" w:rsidRPr="00CD44A3" w:rsidRDefault="00B76C8F" w:rsidP="00B76C8F">
      <w:pPr>
        <w:autoSpaceDE w:val="0"/>
        <w:autoSpaceDN w:val="0"/>
        <w:adjustRightInd w:val="0"/>
        <w:spacing w:line="480" w:lineRule="auto"/>
      </w:pPr>
      <w:r w:rsidRPr="00CD44A3">
        <w:t>The Zoning Code, as enacted by the City Council, designates the type of zoning approval to which a particular land use classification is subject.</w:t>
      </w:r>
      <w:r w:rsidRPr="00CD44A3">
        <w:rPr>
          <w:rStyle w:val="FootnoteReference"/>
        </w:rPr>
        <w:footnoteReference w:id="11"/>
      </w:r>
      <w:r w:rsidRPr="00CD44A3">
        <w:t xml:space="preserve">  </w:t>
      </w:r>
    </w:p>
    <w:p w:rsidR="00B76C8F" w:rsidRPr="00CD44A3" w:rsidRDefault="00B76C8F" w:rsidP="000B6C37">
      <w:pPr>
        <w:pStyle w:val="ListParagraph"/>
        <w:numPr>
          <w:ilvl w:val="0"/>
          <w:numId w:val="9"/>
        </w:numPr>
        <w:autoSpaceDE w:val="0"/>
        <w:autoSpaceDN w:val="0"/>
        <w:adjustRightInd w:val="0"/>
        <w:ind w:left="2160" w:hanging="720"/>
        <w:outlineLvl w:val="2"/>
        <w:rPr>
          <w:u w:val="single"/>
        </w:rPr>
      </w:pPr>
      <w:bookmarkStart w:id="4" w:name="_Toc290573100"/>
      <w:r w:rsidRPr="00CD44A3">
        <w:rPr>
          <w:u w:val="single"/>
        </w:rPr>
        <w:t>Homes for the Rehabilitation of Non-Bedridden Alcoholics is a Conditional Use Requiring the Approval of the Mayor and City Council</w:t>
      </w:r>
      <w:bookmarkEnd w:id="4"/>
    </w:p>
    <w:p w:rsidR="00B76C8F" w:rsidRPr="00CD44A3" w:rsidRDefault="00B76C8F" w:rsidP="00B76C8F">
      <w:pPr>
        <w:autoSpaceDE w:val="0"/>
        <w:autoSpaceDN w:val="0"/>
        <w:adjustRightInd w:val="0"/>
        <w:ind w:left="2160"/>
        <w:rPr>
          <w:u w:val="single"/>
        </w:rPr>
      </w:pPr>
    </w:p>
    <w:p w:rsidR="00B76C8F" w:rsidRPr="00CD44A3" w:rsidRDefault="00B76C8F" w:rsidP="00B76C8F">
      <w:pPr>
        <w:autoSpaceDE w:val="0"/>
        <w:autoSpaceDN w:val="0"/>
        <w:adjustRightInd w:val="0"/>
        <w:spacing w:line="480" w:lineRule="auto"/>
      </w:pPr>
      <w:r w:rsidRPr="00CD44A3">
        <w:tab/>
        <w:t>This case concerns the zoning of residential substance abuse treatment programs (</w:t>
      </w:r>
      <w:r w:rsidR="00C80199">
        <w:t>“</w:t>
      </w:r>
      <w:r w:rsidRPr="00CD44A3">
        <w:t>RSATPs</w:t>
      </w:r>
      <w:r w:rsidR="00C80199">
        <w:t>”</w:t>
      </w:r>
      <w:r w:rsidRPr="00CD44A3">
        <w:t>) that are certified, or licensed, by the state of Maryland.</w:t>
      </w:r>
      <w:r w:rsidRPr="00CD44A3">
        <w:rPr>
          <w:rStyle w:val="FootnoteReference"/>
        </w:rPr>
        <w:footnoteReference w:id="12"/>
      </w:r>
      <w:r w:rsidRPr="00CD44A3">
        <w:t xml:space="preserve">  Under the City’s Zoning Code, the only classification that relates to substance abuse treatment is “[h]omes for the rehabilitation of non-bedridden alcoholics and for the care and custody of homeless persons.”</w:t>
      </w:r>
      <w:r w:rsidRPr="00CD44A3">
        <w:rPr>
          <w:rStyle w:val="FootnoteReference"/>
        </w:rPr>
        <w:footnoteReference w:id="13"/>
      </w:r>
      <w:r w:rsidRPr="00CD44A3">
        <w:t xml:space="preserve">  This classification is not defined in the Zoning Code, but has been applied to RSATPs.</w:t>
      </w:r>
      <w:r w:rsidRPr="00CD44A3">
        <w:rPr>
          <w:rStyle w:val="FootnoteReference"/>
        </w:rPr>
        <w:footnoteReference w:id="14"/>
      </w:r>
      <w:r w:rsidRPr="00CD44A3">
        <w:t xml:space="preserve">  As “homes for the rehabilitation of non-bedridden alcoholics,” residential substance abuse treatment programs are required to get a CO to locate in any zoning district in which they are permitted to locate.</w:t>
      </w:r>
      <w:r w:rsidRPr="00CD44A3">
        <w:rPr>
          <w:rStyle w:val="FootnoteReference"/>
        </w:rPr>
        <w:footnoteReference w:id="15"/>
      </w:r>
      <w:r w:rsidRPr="00CD44A3">
        <w:t xml:space="preserve">  </w:t>
      </w:r>
      <w:r w:rsidRPr="00CD44A3">
        <w:rPr>
          <w:szCs w:val="24"/>
        </w:rPr>
        <w:t>T</w:t>
      </w:r>
      <w:r w:rsidRPr="00CD44A3">
        <w:t>he Zoning Code allows “homes for the rehabilitation of non-bedridden alcoholics and for the care and custody of homeless persons” to locate only in certain residential, mixed use and business zones (R-7, R-8, R-9, R-10, O-R, B-2, B-3, B-4, and B-5) with a CO.</w:t>
      </w:r>
      <w:r w:rsidRPr="00CD44A3">
        <w:rPr>
          <w:rStyle w:val="FootnoteReference"/>
        </w:rPr>
        <w:footnoteReference w:id="16"/>
      </w:r>
      <w:r w:rsidRPr="00CD44A3">
        <w:t xml:space="preserve">  This classification is not permitted at all in the other residential, business, and industrial zones (R-1 through R-6, B-1, and M-1 through M-3).</w:t>
      </w:r>
      <w:r w:rsidRPr="00CD44A3">
        <w:rPr>
          <w:rStyle w:val="FootnoteReference"/>
        </w:rPr>
        <w:footnoteReference w:id="17"/>
      </w:r>
      <w:r w:rsidRPr="00CD44A3">
        <w:t xml:space="preserve">  </w:t>
      </w:r>
    </w:p>
    <w:p w:rsidR="00B76C8F" w:rsidRPr="00CD44A3" w:rsidRDefault="00B76C8F" w:rsidP="000B6C37">
      <w:pPr>
        <w:pStyle w:val="ListParagraph"/>
        <w:numPr>
          <w:ilvl w:val="0"/>
          <w:numId w:val="9"/>
        </w:numPr>
        <w:spacing w:line="480" w:lineRule="auto"/>
        <w:ind w:left="2160" w:hanging="720"/>
        <w:outlineLvl w:val="2"/>
        <w:rPr>
          <w:u w:val="single"/>
        </w:rPr>
      </w:pPr>
      <w:bookmarkStart w:id="5" w:name="_Toc290573101"/>
      <w:r w:rsidRPr="00CD44A3">
        <w:rPr>
          <w:u w:val="single"/>
        </w:rPr>
        <w:t>The  CO Process Requires Community Approval</w:t>
      </w:r>
      <w:bookmarkEnd w:id="5"/>
    </w:p>
    <w:p w:rsidR="00B76C8F" w:rsidRPr="00CD44A3" w:rsidRDefault="00B76C8F" w:rsidP="00B76C8F">
      <w:pPr>
        <w:spacing w:line="480" w:lineRule="auto"/>
      </w:pPr>
      <w:r w:rsidRPr="00CD44A3">
        <w:tab/>
        <w:t>To start the CO process, the City Council representative for the neighborhood in which the applicant seeks to locate must agree to sponsor and introduce a conditional ordinance bill.</w:t>
      </w:r>
      <w:r w:rsidRPr="00CD44A3">
        <w:rPr>
          <w:rStyle w:val="FootnoteReference"/>
        </w:rPr>
        <w:footnoteReference w:id="18"/>
      </w:r>
      <w:r w:rsidRPr="00CD44A3">
        <w:t xml:space="preserve">  In practice, although not written in the Zoning Code or elsewhere, City zoning officials and City Council representatives typically require an applicant to gain the support of its local community association(s) before the Council member will sponsor a CO.  The Baltimore City Solicitor, George Nilson, admitted as much in a memorandum to former Mayor Sheila Dixon.  He explained that City Council Bill 07-0002</w:t>
      </w:r>
      <w:r w:rsidRPr="00CD44A3">
        <w:rPr>
          <w:rStyle w:val="FootnoteReference"/>
        </w:rPr>
        <w:footnoteReference w:id="19"/>
      </w:r>
      <w:r w:rsidRPr="00CD44A3">
        <w:t xml:space="preserve"> would allow residential substance abuse treatment programs to locate as of right and therefore make “it possible for much needed facilities to locate in Baltimore City </w:t>
      </w:r>
      <w:r w:rsidRPr="00CD44A3">
        <w:rPr>
          <w:i/>
        </w:rPr>
        <w:t xml:space="preserve">without having to get the express up front approval of every nervous community association </w:t>
      </w:r>
      <w:r w:rsidRPr="00CD44A3">
        <w:t>and council member.”</w:t>
      </w:r>
      <w:r w:rsidRPr="00CD44A3">
        <w:rPr>
          <w:rStyle w:val="FootnoteReference"/>
        </w:rPr>
        <w:footnoteReference w:id="20"/>
      </w:r>
      <w:r w:rsidRPr="00CD44A3">
        <w:t xml:space="preserve">  Further, the community association approval step of the CO process is reflected in the Baltimore City Planning Department</w:t>
      </w:r>
      <w:r w:rsidR="000F2197">
        <w:t>’s</w:t>
      </w:r>
      <w:r w:rsidRPr="00CD44A3">
        <w:t xml:space="preserve"> </w:t>
      </w:r>
      <w:r w:rsidRPr="0023534C">
        <w:t>Development Guidebook</w:t>
      </w:r>
      <w:r w:rsidRPr="00CD44A3">
        <w:t>, which states that “[c]ommunity review is an important component of the City Council bill process” and that “the applicant will be asked to meet with neighborhood groups to explain their proposal.”</w:t>
      </w:r>
      <w:r w:rsidRPr="00CD44A3">
        <w:rPr>
          <w:rStyle w:val="FootnoteReference"/>
        </w:rPr>
        <w:footnoteReference w:id="21"/>
      </w:r>
      <w:r w:rsidRPr="00CD44A3">
        <w:t xml:space="preserve">  </w:t>
      </w:r>
    </w:p>
    <w:p w:rsidR="00B76C8F" w:rsidRPr="00CD44A3" w:rsidRDefault="00B76C8F" w:rsidP="00B76C8F">
      <w:pPr>
        <w:spacing w:line="480" w:lineRule="auto"/>
        <w:ind w:firstLine="720"/>
      </w:pPr>
      <w:r w:rsidRPr="00CD44A3">
        <w:t>In addition, at least five RSATPs who sought COs in recent years testified that they were told by City representatives to get the approval of their community association as part of the CO process.  In 2002, Nilsson House, a halfway house run by Tuerk House for 11 women at 5665 Purdue Avenue, sought to expand its facility on its one-acre lot so that it could serve 40 women.</w:t>
      </w:r>
      <w:r w:rsidRPr="00CD44A3">
        <w:rPr>
          <w:rStyle w:val="FootnoteReference"/>
        </w:rPr>
        <w:footnoteReference w:id="22"/>
      </w:r>
      <w:r w:rsidRPr="00CD44A3">
        <w:t xml:space="preserve">  Tuerk House was told by Planning Department officials and three City Council members for the district to get approval from the community association.</w:t>
      </w:r>
      <w:r w:rsidRPr="00CD44A3">
        <w:rPr>
          <w:rStyle w:val="FootnoteReference"/>
        </w:rPr>
        <w:footnoteReference w:id="23"/>
      </w:r>
      <w:r w:rsidRPr="00CD44A3">
        <w:t xml:space="preserve">  Ultimately, Nilsson House could not get the support of the Woodbourne Heights Community Association (even after hiring a community advocacy firm to develop community support for its expansion), no CO bill was introduced, and Nilsson House could not expand.</w:t>
      </w:r>
      <w:r w:rsidRPr="00CD44A3">
        <w:rPr>
          <w:rStyle w:val="FootnoteReference"/>
        </w:rPr>
        <w:footnoteReference w:id="24"/>
      </w:r>
      <w:r w:rsidRPr="00CD44A3">
        <w:t xml:space="preserve">  </w:t>
      </w:r>
    </w:p>
    <w:p w:rsidR="00B76C8F" w:rsidRPr="00CD44A3" w:rsidRDefault="00B76C8F" w:rsidP="00B76C8F">
      <w:pPr>
        <w:spacing w:line="480" w:lineRule="auto"/>
        <w:ind w:firstLine="720"/>
      </w:pPr>
      <w:r w:rsidRPr="00CD44A3">
        <w:t>In 2003, Powell Recovery Center initiated plans to add a three-story rear addition to its building at 14 South Broadway.</w:t>
      </w:r>
      <w:r w:rsidRPr="00CD44A3">
        <w:rPr>
          <w:rStyle w:val="FootnoteReference"/>
        </w:rPr>
        <w:footnoteReference w:id="25"/>
      </w:r>
      <w:r w:rsidRPr="00CD44A3">
        <w:t xml:space="preserve">  Powell Recovery was told by both a City zoning official and Councilman James Kraft to get approval from the community association.</w:t>
      </w:r>
      <w:r w:rsidRPr="00CD44A3">
        <w:rPr>
          <w:rStyle w:val="FootnoteReference"/>
        </w:rPr>
        <w:footnoteReference w:id="26"/>
      </w:r>
      <w:r w:rsidRPr="00CD44A3">
        <w:t xml:space="preserve">  After more than two years and considerable effort, Powell Recovery obtained the support of the community associations and a CO was passed to enable it to expand.</w:t>
      </w:r>
      <w:r w:rsidRPr="00CD44A3">
        <w:rPr>
          <w:rStyle w:val="FootnoteReference"/>
        </w:rPr>
        <w:footnoteReference w:id="27"/>
      </w:r>
      <w:r w:rsidRPr="00CD44A3">
        <w:t xml:space="preserve">  The turning point came only after the program director, Bill Scott, happened to appear at one association meeting where the association member most opposed to Powell Recovery Center recognized Mr. Scott as the good Samaritan who had rescued her when she was assaulted on the street.</w:t>
      </w:r>
      <w:r w:rsidRPr="00CD44A3">
        <w:rPr>
          <w:rStyle w:val="FootnoteReference"/>
        </w:rPr>
        <w:footnoteReference w:id="28"/>
      </w:r>
      <w:r w:rsidRPr="00CD44A3">
        <w:t xml:space="preserve">  After seeing that Mr. Scott was affiliated with Powell Recovery, that association member decided to vote for the program</w:t>
      </w:r>
      <w:r w:rsidR="000F2197">
        <w:t>’s expansion</w:t>
      </w:r>
      <w:r w:rsidRPr="00CD44A3">
        <w:t xml:space="preserve"> and the association as a whole then approved the project.</w:t>
      </w:r>
      <w:r w:rsidRPr="00CD44A3">
        <w:rPr>
          <w:rStyle w:val="FootnoteReference"/>
        </w:rPr>
        <w:footnoteReference w:id="29"/>
      </w:r>
      <w:r w:rsidRPr="00CD44A3">
        <w:t xml:space="preserve">  </w:t>
      </w:r>
    </w:p>
    <w:p w:rsidR="00B76C8F" w:rsidRPr="00CD44A3" w:rsidRDefault="00B76C8F" w:rsidP="009F301F">
      <w:pPr>
        <w:widowControl w:val="0"/>
        <w:spacing w:line="480" w:lineRule="auto"/>
        <w:ind w:firstLine="720"/>
        <w:rPr>
          <w:szCs w:val="24"/>
        </w:rPr>
      </w:pPr>
      <w:r w:rsidRPr="00CD44A3">
        <w:rPr>
          <w:szCs w:val="24"/>
        </w:rPr>
        <w:t>In late 2008, Tuerk House initiated plans to expand Weisman-Kaplan House, its halfway house for men, located at 2521-2523 Maryland Avenue.</w:t>
      </w:r>
      <w:r w:rsidRPr="00CD44A3">
        <w:rPr>
          <w:rStyle w:val="FootnoteReference"/>
          <w:szCs w:val="24"/>
        </w:rPr>
        <w:footnoteReference w:id="30"/>
      </w:r>
      <w:r w:rsidRPr="00CD44A3">
        <w:rPr>
          <w:szCs w:val="24"/>
        </w:rPr>
        <w:t xml:space="preserve">  </w:t>
      </w:r>
      <w:r w:rsidRPr="00CD44A3">
        <w:t>Councilman Young told Elliot Driscoll that he needed to get community approval in order to get the councilman’s support for the expansion and renovation of Weisman Kaplan House.</w:t>
      </w:r>
      <w:r w:rsidRPr="00CD44A3">
        <w:rPr>
          <w:rStyle w:val="FootnoteReference"/>
        </w:rPr>
        <w:footnoteReference w:id="31"/>
      </w:r>
      <w:r w:rsidRPr="00CD44A3">
        <w:t xml:space="preserve">   </w:t>
      </w:r>
      <w:r w:rsidRPr="00CD44A3">
        <w:rPr>
          <w:szCs w:val="24"/>
        </w:rPr>
        <w:t>The CO bill ultimately passed nearly a year after Tuerk House started the CO process.</w:t>
      </w:r>
      <w:r w:rsidRPr="00CD44A3">
        <w:rPr>
          <w:rStyle w:val="FootnoteReference"/>
          <w:szCs w:val="24"/>
        </w:rPr>
        <w:footnoteReference w:id="32"/>
      </w:r>
      <w:r w:rsidRPr="00CD44A3">
        <w:rPr>
          <w:szCs w:val="24"/>
        </w:rPr>
        <w:t xml:space="preserve">  </w:t>
      </w:r>
    </w:p>
    <w:p w:rsidR="00B76C8F" w:rsidRPr="00CD44A3" w:rsidRDefault="00B76C8F" w:rsidP="00B76C8F">
      <w:pPr>
        <w:spacing w:line="480" w:lineRule="auto"/>
        <w:ind w:firstLine="720"/>
      </w:pPr>
      <w:r w:rsidRPr="00CD44A3">
        <w:t>In 2008, Planning Department officials t</w:t>
      </w:r>
      <w:r w:rsidR="002202BD">
        <w:t>old Johns Hopkins Health System</w:t>
      </w:r>
      <w:r w:rsidRPr="00CD44A3">
        <w:t xml:space="preserve"> Corporation, which had contracted to purchase a property at 2926 Harford Road from Second Genesis</w:t>
      </w:r>
      <w:r w:rsidR="00693B14">
        <w:t xml:space="preserve"> (a RSATP)</w:t>
      </w:r>
      <w:r w:rsidRPr="00CD44A3">
        <w:t xml:space="preserve"> to use as housing for women recovering from substance abuse, to see</w:t>
      </w:r>
      <w:r w:rsidR="00693B14">
        <w:t>k the support of the community.</w:t>
      </w:r>
      <w:r w:rsidR="00693B14">
        <w:rPr>
          <w:rStyle w:val="FootnoteReference"/>
        </w:rPr>
        <w:footnoteReference w:id="33"/>
      </w:r>
      <w:r w:rsidR="00693B14">
        <w:t xml:space="preserve">  </w:t>
      </w:r>
      <w:r w:rsidRPr="00CD44A3">
        <w:t>Councilwoman Mary Pat Clarke said she would take whatever position the community took with respect to the project.</w:t>
      </w:r>
      <w:r w:rsidRPr="00CD44A3">
        <w:rPr>
          <w:rStyle w:val="FootnoteReference"/>
        </w:rPr>
        <w:footnoteReference w:id="34"/>
      </w:r>
      <w:r w:rsidRPr="00CD44A3">
        <w:t xml:space="preserve">  The community association refused to support the project and so Johns Hopkins terminated the contract to purchase the property.</w:t>
      </w:r>
      <w:r w:rsidRPr="00CD44A3">
        <w:rPr>
          <w:rStyle w:val="FootnoteReference"/>
        </w:rPr>
        <w:footnoteReference w:id="35"/>
      </w:r>
      <w:r w:rsidRPr="00CD44A3">
        <w:t xml:space="preserve">  In 2009, another organization, The Baltimore Station, sought to purchase the same Second Genesis property for a RSATP but the community association again opposed the use of the property for that purpose, and Councilwoman Clarke again said she would support the community association’s position.</w:t>
      </w:r>
      <w:r w:rsidRPr="00CD44A3">
        <w:rPr>
          <w:rStyle w:val="FootnoteReference"/>
        </w:rPr>
        <w:footnoteReference w:id="36"/>
      </w:r>
      <w:r w:rsidR="002202BD">
        <w:t xml:space="preserve">  Thus, T</w:t>
      </w:r>
      <w:r w:rsidRPr="00CD44A3">
        <w:t>he Baltimore Station abandoned its attempt to purchase the property.</w:t>
      </w:r>
      <w:r w:rsidRPr="00CD44A3">
        <w:rPr>
          <w:rStyle w:val="FootnoteReference"/>
        </w:rPr>
        <w:footnoteReference w:id="37"/>
      </w:r>
    </w:p>
    <w:p w:rsidR="00B76C8F" w:rsidRPr="00CD44A3" w:rsidRDefault="00B76C8F" w:rsidP="00B76C8F">
      <w:pPr>
        <w:spacing w:line="480" w:lineRule="auto"/>
        <w:ind w:firstLine="720"/>
      </w:pPr>
      <w:r w:rsidRPr="00CD44A3">
        <w:t xml:space="preserve">In addition to Solicitor Nilson’s admission and the experiences of these programs, those with long-term experience </w:t>
      </w:r>
      <w:r w:rsidR="00693B14">
        <w:t>with Baltimore’s zoning procedures,</w:t>
      </w:r>
      <w:r w:rsidRPr="00CD44A3">
        <w:t xml:space="preserve"> testified that there is an unwritten rule that a residential substance abuse treatment program cannot locate without the approval of the local community association.   For example, Stanley Fine, a lawyer who has been handling zoning matters in Baltimore for </w:t>
      </w:r>
      <w:r w:rsidR="00693B14">
        <w:t>approximately 30</w:t>
      </w:r>
      <w:r w:rsidRPr="00CD44A3">
        <w:t xml:space="preserve"> years, testified that “[w]hen you have a city council ordinance . . ., you always go to the community,” and that community associations “have a very significant role [in the city on issues of zoning and land use].”</w:t>
      </w:r>
      <w:r w:rsidRPr="00CD44A3">
        <w:rPr>
          <w:rStyle w:val="FootnoteReference"/>
        </w:rPr>
        <w:footnoteReference w:id="38"/>
      </w:r>
      <w:r w:rsidRPr="00CD44A3">
        <w:t xml:space="preserve">  In Fine’s </w:t>
      </w:r>
      <w:r w:rsidR="00693B14">
        <w:t xml:space="preserve">many </w:t>
      </w:r>
      <w:r w:rsidRPr="00CD44A3">
        <w:t>years of experience, he testified that “I don’t think there’s been a predevelopment meeting I’ve ever had with [the P]lanning [Department] that they haven’t said go out to the community.”</w:t>
      </w:r>
      <w:r w:rsidRPr="00CD44A3">
        <w:rPr>
          <w:rStyle w:val="FootnoteReference"/>
        </w:rPr>
        <w:footnoteReference w:id="39"/>
      </w:r>
      <w:r w:rsidRPr="00CD44A3">
        <w:t xml:space="preserve">  Mr. Fine testified that he has never attempted to secure a conditional use ordinance from the City Council without the support of the neighborhood association, and that “[t]ypically a councilperson would say go out to the neighborhood, I support the neighborhood.  If the neighborhood doesn’t support it, the councilperson’s not going to introduce it, so it’s over.”</w:t>
      </w:r>
      <w:r w:rsidRPr="00CD44A3">
        <w:rPr>
          <w:rStyle w:val="FootnoteReference"/>
        </w:rPr>
        <w:footnoteReference w:id="40"/>
      </w:r>
      <w:r w:rsidRPr="00CD44A3">
        <w:t xml:space="preserve">  Likewise, Gale Saler, currently the Chesapeake Regional Director of Gaudenzia, Inc</w:t>
      </w:r>
      <w:r w:rsidR="00B37B0C">
        <w:rPr>
          <w:szCs w:val="24"/>
        </w:rPr>
        <w:t>.,</w:t>
      </w:r>
      <w:r w:rsidR="00B37B0C" w:rsidRPr="00B37B0C">
        <w:rPr>
          <w:szCs w:val="24"/>
        </w:rPr>
        <w:t xml:space="preserve"> an organization providing substance abuse treatment services, </w:t>
      </w:r>
      <w:r w:rsidRPr="00CD44A3">
        <w:t>recounted identifying a row of small apartment buildings to purchase for a residential treatment program in Baltimore in the 1980s and 1990s and being told by the Addictions Director for Baltimore City at that time, “You will never get community approval for this.  Forget it.”</w:t>
      </w:r>
      <w:r w:rsidRPr="00CD44A3">
        <w:rPr>
          <w:rStyle w:val="FootnoteReference"/>
        </w:rPr>
        <w:footnoteReference w:id="41"/>
      </w:r>
      <w:r w:rsidRPr="00CD44A3">
        <w:t xml:space="preserve">  </w:t>
      </w:r>
    </w:p>
    <w:p w:rsidR="00B76C8F" w:rsidRPr="00CD44A3" w:rsidRDefault="00B76C8F" w:rsidP="000B6C37">
      <w:pPr>
        <w:pStyle w:val="ListParagraph"/>
        <w:numPr>
          <w:ilvl w:val="0"/>
          <w:numId w:val="9"/>
        </w:numPr>
        <w:ind w:left="2160" w:hanging="720"/>
        <w:outlineLvl w:val="2"/>
        <w:rPr>
          <w:u w:val="single"/>
        </w:rPr>
      </w:pPr>
      <w:bookmarkStart w:id="6" w:name="_Toc290573102"/>
      <w:r w:rsidRPr="00CD44A3">
        <w:rPr>
          <w:u w:val="single"/>
        </w:rPr>
        <w:t>Residential Substance Abuse Treatment Programs May Locate by Attempting to Utilize a Different Land Use Classification that Does Not Refer to Substance Abuse Treatment.</w:t>
      </w:r>
      <w:bookmarkEnd w:id="6"/>
    </w:p>
    <w:p w:rsidR="00B76C8F" w:rsidRPr="00CD44A3" w:rsidRDefault="00B76C8F" w:rsidP="00B76C8F">
      <w:pPr>
        <w:ind w:left="2160"/>
        <w:rPr>
          <w:u w:val="single"/>
        </w:rPr>
      </w:pPr>
    </w:p>
    <w:p w:rsidR="00B76C8F" w:rsidRPr="00CD44A3" w:rsidRDefault="00B76C8F" w:rsidP="00B76C8F">
      <w:pPr>
        <w:spacing w:line="480" w:lineRule="auto"/>
        <w:ind w:firstLine="720"/>
        <w:rPr>
          <w:szCs w:val="24"/>
        </w:rPr>
      </w:pPr>
      <w:r w:rsidRPr="00CD44A3">
        <w:t>Although the only land use classification in the Zoning Code that relates to substance abuse treatment is “homes for the rehabilitation of non-bedridden alcoholics,” the City has allowed some RSATPs with more than four residents</w:t>
      </w:r>
      <w:r w:rsidRPr="00CD44A3">
        <w:rPr>
          <w:rStyle w:val="FootnoteReference"/>
        </w:rPr>
        <w:footnoteReference w:id="42"/>
      </w:r>
      <w:r w:rsidRPr="00CD44A3">
        <w:t xml:space="preserve"> to be classified as single-family dwellings, multiple-family dwellings, rooming houses, or other land uses that are not subject to the CO requirement.</w:t>
      </w:r>
      <w:r w:rsidRPr="00CD44A3">
        <w:rPr>
          <w:rStyle w:val="FootnoteReference"/>
        </w:rPr>
        <w:footnoteReference w:id="43"/>
      </w:r>
      <w:r w:rsidRPr="00CD44A3">
        <w:t xml:space="preserve">  </w:t>
      </w:r>
      <w:r w:rsidRPr="00CD44A3">
        <w:rPr>
          <w:szCs w:val="24"/>
        </w:rPr>
        <w:t xml:space="preserve">Some of these programs were permitted to locate as of right while others had to receive conditional approval from the Board of Municipal </w:t>
      </w:r>
      <w:r w:rsidR="00407112">
        <w:rPr>
          <w:szCs w:val="24"/>
        </w:rPr>
        <w:t xml:space="preserve">and </w:t>
      </w:r>
      <w:r w:rsidRPr="00CD44A3">
        <w:rPr>
          <w:szCs w:val="24"/>
        </w:rPr>
        <w:t xml:space="preserve">Zoning Appeals (BMZA), rather than undergoing the more burdensome process of obtaining a CO from the City Council.  </w:t>
      </w:r>
    </w:p>
    <w:p w:rsidR="00B76C8F" w:rsidRPr="00CD44A3" w:rsidRDefault="00B76C8F" w:rsidP="00B76C8F">
      <w:pPr>
        <w:spacing w:line="480" w:lineRule="auto"/>
        <w:ind w:firstLine="720"/>
        <w:rPr>
          <w:szCs w:val="24"/>
        </w:rPr>
      </w:pPr>
      <w:r w:rsidRPr="00CD44A3">
        <w:t>There are no criteria in the Zoning Code or elsewhere governing whether a particular RSATP is (1) required to go through the CO process as a “home for non-bedridden alcoholics,” which may result in delay or preclusion from locating because of the many steps involved in the process and the neighborhood approval requirement; (2) classified as a multiple-family dwelling and permitted to locate as of right or with BMZA approval; (3) classified as a single-family dwelling and permitted to locate with BMZA approval or a reasonable accommodation;</w:t>
      </w:r>
      <w:r w:rsidRPr="00CD44A3">
        <w:rPr>
          <w:rStyle w:val="FootnoteReference"/>
        </w:rPr>
        <w:footnoteReference w:id="44"/>
      </w:r>
      <w:r w:rsidRPr="00CD44A3">
        <w:t xml:space="preserve"> or (4) classified as a rooming house and permitted to locate as of right or with BMZA approval.  If a </w:t>
      </w:r>
      <w:r w:rsidR="009F5E8B">
        <w:t xml:space="preserve">savvy </w:t>
      </w:r>
      <w:r w:rsidRPr="00CD44A3">
        <w:t>program chooses to seek zoning approval utilizing another land use classification, without mentioning its plan to use the property for residential substance abuse treatment, it may not be required to obtain a CO.</w:t>
      </w:r>
      <w:r w:rsidRPr="00CD44A3">
        <w:rPr>
          <w:rStyle w:val="FootnoteReference"/>
        </w:rPr>
        <w:footnoteReference w:id="45"/>
      </w:r>
      <w:r w:rsidRPr="00CD44A3">
        <w:t xml:space="preserve">  </w:t>
      </w:r>
      <w:r w:rsidR="009F5E8B">
        <w:t>A</w:t>
      </w:r>
      <w:r w:rsidRPr="00CD44A3">
        <w:rPr>
          <w:szCs w:val="24"/>
        </w:rPr>
        <w:t xml:space="preserve"> program</w:t>
      </w:r>
      <w:r w:rsidR="009F5E8B">
        <w:rPr>
          <w:szCs w:val="24"/>
        </w:rPr>
        <w:t>,</w:t>
      </w:r>
      <w:r w:rsidR="009F5E8B" w:rsidRPr="009F5E8B">
        <w:rPr>
          <w:szCs w:val="24"/>
        </w:rPr>
        <w:t xml:space="preserve"> </w:t>
      </w:r>
      <w:r w:rsidR="009F5E8B">
        <w:rPr>
          <w:szCs w:val="24"/>
        </w:rPr>
        <w:t>however,</w:t>
      </w:r>
      <w:r w:rsidRPr="00CD44A3">
        <w:rPr>
          <w:szCs w:val="24"/>
        </w:rPr>
        <w:t xml:space="preserve"> that obeys the literal language of the Zoning Code and identifies its residential substance abuse treatment program as a “home for the rehabilitation of non-bedridden alcoholics” is subject to the CO process.  </w:t>
      </w:r>
    </w:p>
    <w:p w:rsidR="00B76C8F" w:rsidRPr="00CD44A3" w:rsidRDefault="00B76C8F" w:rsidP="004F2FAF">
      <w:pPr>
        <w:widowControl w:val="0"/>
        <w:spacing w:line="480" w:lineRule="auto"/>
        <w:ind w:firstLine="720"/>
      </w:pPr>
      <w:r w:rsidRPr="00CD44A3">
        <w:t>It is up to the program to read the over 400-page long Zoning Code and determine which land use classification applies and which zoning process it should pursue.</w:t>
      </w:r>
      <w:r w:rsidRPr="00CD44A3">
        <w:rPr>
          <w:rStyle w:val="FootnoteReference"/>
        </w:rPr>
        <w:footnoteReference w:id="46"/>
      </w:r>
      <w:r w:rsidRPr="00CD44A3">
        <w:t xml:space="preserve">  </w:t>
      </w:r>
      <w:r w:rsidRPr="00CD44A3">
        <w:rPr>
          <w:szCs w:val="24"/>
        </w:rPr>
        <w:t xml:space="preserve">City officials, including David </w:t>
      </w:r>
      <w:r w:rsidRPr="00CD44A3">
        <w:t xml:space="preserve">Tanner, the Executive Director of the BMZA and former Zoning Administrator from 1983 through 2001, and Geoffrey Veale, the current Zoning Administrator, confirmed </w:t>
      </w:r>
      <w:r w:rsidR="00394287">
        <w:t xml:space="preserve">as corporate designees </w:t>
      </w:r>
      <w:r w:rsidR="005F27A2">
        <w:t xml:space="preserve">for the City </w:t>
      </w:r>
      <w:r w:rsidRPr="00CD44A3">
        <w:t>that the Zoning Administrator’s land use classification of an RSATP depends on how a program describes itself.</w:t>
      </w:r>
      <w:r w:rsidRPr="00CD44A3">
        <w:rPr>
          <w:rStyle w:val="FootnoteReference"/>
        </w:rPr>
        <w:footnoteReference w:id="47"/>
      </w:r>
      <w:r w:rsidRPr="00CD44A3">
        <w:t xml:space="preserve">  Based on the program’s explanation of its intended use, the Zoning Administrator’s interpretation of the Zoning Code, and his willingness to work with programs to find a less restrictive classification, a program may not be required to get a CO.</w:t>
      </w:r>
      <w:r w:rsidRPr="00CD44A3">
        <w:rPr>
          <w:rStyle w:val="FootnoteReference"/>
        </w:rPr>
        <w:footnoteReference w:id="48"/>
      </w:r>
      <w:r w:rsidRPr="00CD44A3">
        <w:t xml:space="preserve">  </w:t>
      </w:r>
    </w:p>
    <w:p w:rsidR="00B76C8F" w:rsidRPr="00CD44A3" w:rsidRDefault="00B76C8F" w:rsidP="00525A8E">
      <w:pPr>
        <w:widowControl w:val="0"/>
        <w:spacing w:line="480" w:lineRule="auto"/>
        <w:ind w:firstLine="720"/>
        <w:rPr>
          <w:szCs w:val="24"/>
        </w:rPr>
      </w:pPr>
      <w:r w:rsidRPr="00CD44A3">
        <w:t>The Zoning Administrator does not always ask whether the program actually meets the criteria that are defined for the proposed land use in the Zoning Code, and, as a result, may approve a land use classification to which the program is not legally entitled.</w:t>
      </w:r>
      <w:r w:rsidRPr="00CD44A3">
        <w:rPr>
          <w:rStyle w:val="FootnoteReference"/>
        </w:rPr>
        <w:footnoteReference w:id="49"/>
      </w:r>
      <w:r w:rsidRPr="00CD44A3">
        <w:t xml:space="preserve">  For example, the Zoning Code defines a rooming house as an establishment that charges rent to individuals on a daily, weekly, or monthly basis, and permits a rooming house to locate as of right in some zones and requires approval from the BMZA in other zones.</w:t>
      </w:r>
      <w:r w:rsidRPr="00CD44A3">
        <w:rPr>
          <w:rStyle w:val="FootnoteReference"/>
        </w:rPr>
        <w:footnoteReference w:id="50"/>
      </w:r>
      <w:r w:rsidRPr="00CD44A3">
        <w:t xml:space="preserve">  However, one program received BMZA approval to locate as a rooming house – thereby avoiding the lengthy and burdensome CO process it would be subject to as a home for non-bedridden alcoholics </w:t>
      </w:r>
      <w:r w:rsidR="005A34C2">
        <w:t>–</w:t>
      </w:r>
      <w:r w:rsidRPr="00CD44A3">
        <w:t xml:space="preserve"> e</w:t>
      </w:r>
      <w:r w:rsidRPr="00CD44A3">
        <w:rPr>
          <w:szCs w:val="24"/>
        </w:rPr>
        <w:t>ven though there is no indication that it charges rent to residents.</w:t>
      </w:r>
      <w:r w:rsidRPr="00CD44A3">
        <w:rPr>
          <w:rStyle w:val="FootnoteReference"/>
          <w:szCs w:val="24"/>
        </w:rPr>
        <w:footnoteReference w:id="51"/>
      </w:r>
      <w:r w:rsidRPr="00CD44A3">
        <w:rPr>
          <w:szCs w:val="24"/>
        </w:rPr>
        <w:t xml:space="preserve">  Similarly, although a </w:t>
      </w:r>
      <w:r w:rsidRPr="00CD44A3">
        <w:t>multiple-family dwelling is defined as having two or more dwelling units, each of which must contain a kitchen, a program got BMZA approval to locate as a multiple-family dwelling, even though it had only one kitchen.</w:t>
      </w:r>
      <w:r w:rsidRPr="00CD44A3">
        <w:rPr>
          <w:rStyle w:val="FootnoteReference"/>
        </w:rPr>
        <w:footnoteReference w:id="52"/>
      </w:r>
      <w:r w:rsidRPr="00CD44A3">
        <w:t xml:space="preserve">  Either these programs were classified under definitions that they do not satisfy, the City does not make inquiries or maintain records to ensure that programs meet the definitions established in the Zoning Code, or the City has not accurately reported how residential substance abuse programs were classified for zoning purposes.</w:t>
      </w:r>
    </w:p>
    <w:p w:rsidR="00B76C8F" w:rsidRPr="00CD44A3" w:rsidRDefault="00B76C8F" w:rsidP="000B6C37">
      <w:pPr>
        <w:pStyle w:val="ListParagraph"/>
        <w:numPr>
          <w:ilvl w:val="0"/>
          <w:numId w:val="8"/>
        </w:numPr>
        <w:spacing w:line="480" w:lineRule="auto"/>
        <w:ind w:hanging="720"/>
        <w:outlineLvl w:val="1"/>
      </w:pPr>
      <w:bookmarkStart w:id="7" w:name="_Toc290573103"/>
      <w:r w:rsidRPr="00CD44A3">
        <w:rPr>
          <w:u w:val="single"/>
        </w:rPr>
        <w:t>History of the CO Requirement</w:t>
      </w:r>
      <w:bookmarkEnd w:id="7"/>
    </w:p>
    <w:p w:rsidR="00B76C8F" w:rsidRPr="00CD44A3" w:rsidRDefault="00B76C8F" w:rsidP="006411C6">
      <w:pPr>
        <w:widowControl w:val="0"/>
        <w:spacing w:line="480" w:lineRule="auto"/>
        <w:rPr>
          <w:u w:val="single"/>
        </w:rPr>
      </w:pPr>
      <w:r w:rsidRPr="00CD44A3">
        <w:tab/>
        <w:t>The City of Baltimore adopted the CO requirement for homes for non-bedridden alcoholics in 1962.</w:t>
      </w:r>
      <w:r w:rsidRPr="00CD44A3">
        <w:rPr>
          <w:rStyle w:val="FootnoteReference"/>
        </w:rPr>
        <w:footnoteReference w:id="53"/>
      </w:r>
      <w:r w:rsidRPr="00CD44A3">
        <w:t xml:space="preserve">  Before the CO requirement was adopted, homes for alcoholics were not permitted to locate at all in residential neighborhoods in Baltimore.</w:t>
      </w:r>
      <w:r w:rsidRPr="00CD44A3">
        <w:rPr>
          <w:rStyle w:val="FootnoteReference"/>
        </w:rPr>
        <w:footnoteReference w:id="54"/>
      </w:r>
      <w:r w:rsidRPr="00CD44A3">
        <w:t xml:space="preserve">  Between 1959 and 1961, a treatment program, Flynn Christian Fellowship Houses, Inc., tried multiple times to get the City Council to pass an ordinance allowing treatment programs to locate in residential zones either as an accessory use by right, with the permission of the Zoning Board, or with the permission of the City Council by ordinance.</w:t>
      </w:r>
      <w:r w:rsidRPr="00CD44A3">
        <w:rPr>
          <w:rStyle w:val="FootnoteReference"/>
        </w:rPr>
        <w:footnoteReference w:id="55"/>
      </w:r>
      <w:r w:rsidRPr="00CD44A3">
        <w:t xml:space="preserve">  In November 1959, the Planning Commission and BMZA recommended against permitting such homes as an accessory use in a residential district because </w:t>
      </w:r>
    </w:p>
    <w:p w:rsidR="00B76C8F" w:rsidRPr="00CD44A3" w:rsidRDefault="00B76C8F" w:rsidP="006523A2">
      <w:pPr>
        <w:ind w:left="720" w:right="720"/>
        <w:jc w:val="both"/>
      </w:pPr>
      <w:r w:rsidRPr="00CD44A3">
        <w:t>this could result in misuses which would be a serious nuisance to adjoining residential properties.  While the Commission is sympathetic to the aims and purposes of the Flynn Christian Fellowship Houses, Incorporated, it feels that the locations for such homes should be subject to individual considerations and controls, guides and standards which would not be required under the proposed ordinance.</w:t>
      </w:r>
      <w:r w:rsidRPr="00CD44A3">
        <w:rPr>
          <w:rStyle w:val="FootnoteReference"/>
        </w:rPr>
        <w:footnoteReference w:id="56"/>
      </w:r>
    </w:p>
    <w:p w:rsidR="00B76C8F" w:rsidRPr="00CD44A3" w:rsidRDefault="00B76C8F" w:rsidP="00B76C8F"/>
    <w:p w:rsidR="00B76C8F" w:rsidRPr="00CD44A3" w:rsidRDefault="00B76C8F" w:rsidP="00B76C8F">
      <w:pPr>
        <w:spacing w:line="480" w:lineRule="auto"/>
      </w:pPr>
      <w:r w:rsidRPr="00CD44A3">
        <w:t>In seeking the conditional ordinance process in order to locate in residential zones, the Flynn Christian Fellowship Houses noted that “[t]his ordinance permits any neighborhood to vote whether they wish one of our homes in their vicinity and gives them ample chance to protest against us.”</w:t>
      </w:r>
      <w:r w:rsidRPr="00CD44A3">
        <w:rPr>
          <w:rStyle w:val="FootnoteReference"/>
        </w:rPr>
        <w:footnoteReference w:id="57"/>
      </w:r>
      <w:r w:rsidRPr="00CD44A3">
        <w:t xml:space="preserve">  Ultimately, the City Council adopted an ordinance allowing “non-profit homes for the rehabilitation of non-bedridden alcoholic persons and for the care and custody of homeless persons” in some residential zones with the approval of the City Council and Mayor by ordinance.</w:t>
      </w:r>
      <w:r w:rsidRPr="00CD44A3">
        <w:rPr>
          <w:rStyle w:val="FootnoteReference"/>
        </w:rPr>
        <w:footnoteReference w:id="58"/>
      </w:r>
      <w:r w:rsidRPr="00CD44A3">
        <w:t xml:space="preserve"> </w:t>
      </w:r>
    </w:p>
    <w:p w:rsidR="00B76C8F" w:rsidRPr="00CD44A3" w:rsidRDefault="00B76C8F" w:rsidP="00B76C8F">
      <w:pPr>
        <w:spacing w:line="480" w:lineRule="auto"/>
      </w:pPr>
      <w:r w:rsidRPr="00CD44A3">
        <w:tab/>
        <w:t>Additional opposition to drug treatment programs was recorded in 1972, when the Baltimore Commissioner of Health commented on a proposed bill that would authorize the Health Department to license and inspect drug abuse rehabilitation centers.  The Commissioner opposed such authority, noting:</w:t>
      </w:r>
    </w:p>
    <w:p w:rsidR="00B76C8F" w:rsidRPr="00CD44A3" w:rsidRDefault="00B76C8F" w:rsidP="00B76C8F">
      <w:pPr>
        <w:ind w:left="720"/>
      </w:pPr>
      <w:r w:rsidRPr="00CD44A3">
        <w:t>The primary problem involved with drug abuse rehabilitation centers is their location.  Rightly so, many communities do not want such a center in their neighborhood because of the fear that it will attract drug addicts and the crime associated with such addicts to their areas.  The best way that this problem can be handled is through zoning where both the City Council and the Zoning Commission can hold public hearings to determine best where such a center can or cannot be located.</w:t>
      </w:r>
      <w:r w:rsidRPr="00CD44A3">
        <w:rPr>
          <w:rStyle w:val="FootnoteReference"/>
        </w:rPr>
        <w:footnoteReference w:id="59"/>
      </w:r>
    </w:p>
    <w:p w:rsidR="00B76C8F" w:rsidRPr="00CD44A3" w:rsidRDefault="00B76C8F" w:rsidP="00B76C8F"/>
    <w:p w:rsidR="00B76C8F" w:rsidRPr="00CD44A3" w:rsidRDefault="00B76C8F" w:rsidP="000B6C37">
      <w:pPr>
        <w:pStyle w:val="ListParagraph"/>
        <w:numPr>
          <w:ilvl w:val="0"/>
          <w:numId w:val="8"/>
        </w:numPr>
        <w:spacing w:line="480" w:lineRule="auto"/>
        <w:ind w:hanging="720"/>
        <w:outlineLvl w:val="1"/>
      </w:pPr>
      <w:bookmarkStart w:id="8" w:name="_Toc290573104"/>
      <w:r w:rsidRPr="00CD44A3">
        <w:rPr>
          <w:u w:val="single"/>
        </w:rPr>
        <w:t>Community and City Council’s Opposition to Amending CO Requirement</w:t>
      </w:r>
      <w:bookmarkEnd w:id="8"/>
    </w:p>
    <w:p w:rsidR="00B76C8F" w:rsidRPr="00CD44A3" w:rsidRDefault="00B76C8F" w:rsidP="00B76C8F">
      <w:pPr>
        <w:spacing w:line="480" w:lineRule="auto"/>
      </w:pPr>
      <w:r w:rsidRPr="00CD44A3">
        <w:tab/>
        <w:t>In 2004, then-Mayor Martin O’Malley introduced two bills to amend the zoning code so that residential and outpatient substance abuse treatment facilities would not be required to obtain a CO in order to locate.</w:t>
      </w:r>
      <w:r w:rsidRPr="00CD44A3">
        <w:rPr>
          <w:rStyle w:val="FootnoteReference"/>
        </w:rPr>
        <w:footnoteReference w:id="60"/>
      </w:r>
      <w:r w:rsidRPr="00CD44A3">
        <w:t xml:space="preserve">  The Planning Commission recommended that the City Council pass Bill 04-1364, the residential facility bill.</w:t>
      </w:r>
      <w:r w:rsidRPr="00CD44A3">
        <w:rPr>
          <w:rStyle w:val="FootnoteReference"/>
        </w:rPr>
        <w:footnoteReference w:id="61"/>
      </w:r>
      <w:r w:rsidRPr="00CD44A3">
        <w:t xml:space="preserve">  The Planning Commission’s Staff Report summarized the bill as follows:</w:t>
      </w:r>
    </w:p>
    <w:p w:rsidR="00B76C8F" w:rsidRPr="00CD44A3" w:rsidRDefault="00B76C8F" w:rsidP="00B76C8F">
      <w:pPr>
        <w:ind w:left="720"/>
        <w:jc w:val="both"/>
      </w:pPr>
      <w:r w:rsidRPr="00CD44A3">
        <w:t>This bill is proposed in order to modernize the Zoning Code and to comply with Federal laws protecting persons who are disabled.  The Code now requires that even small group homes obtain a City Council ordinance in order to operate in the City.</w:t>
      </w:r>
      <w:r w:rsidRPr="00CD44A3">
        <w:rPr>
          <w:rStyle w:val="FootnoteReference"/>
        </w:rPr>
        <w:footnoteReference w:id="62"/>
      </w:r>
    </w:p>
    <w:p w:rsidR="00B76C8F" w:rsidRPr="00CD44A3" w:rsidRDefault="00B76C8F" w:rsidP="00B76C8F"/>
    <w:p w:rsidR="00B76C8F" w:rsidRPr="00CD44A3" w:rsidRDefault="00B76C8F" w:rsidP="00B76C8F">
      <w:pPr>
        <w:spacing w:line="480" w:lineRule="auto"/>
      </w:pPr>
      <w:r w:rsidRPr="00CD44A3">
        <w:t>Other city agencies supported the bill, including the Department of Housing and Community Development, the Commission on Aging and Retirement Education (CARE), the Department of Transportation, and the Health Department.</w:t>
      </w:r>
      <w:r w:rsidRPr="00CD44A3">
        <w:rPr>
          <w:rStyle w:val="FootnoteReference"/>
        </w:rPr>
        <w:footnoteReference w:id="63"/>
      </w:r>
      <w:r w:rsidRPr="00CD44A3">
        <w:t xml:space="preserve">  Neither Bill 04-1364 nor the outpatient bill was passed out of the Land Use and Transportation Committee due to pressure from residents opposed to the bill.</w:t>
      </w:r>
      <w:r w:rsidRPr="00CD44A3">
        <w:rPr>
          <w:rStyle w:val="FootnoteReference"/>
        </w:rPr>
        <w:footnoteReference w:id="64"/>
      </w:r>
      <w:r w:rsidRPr="00CD44A3">
        <w:t xml:space="preserve">  </w:t>
      </w:r>
    </w:p>
    <w:p w:rsidR="00B76C8F" w:rsidRPr="00CD44A3" w:rsidRDefault="00B76C8F" w:rsidP="00B76C8F">
      <w:pPr>
        <w:spacing w:line="480" w:lineRule="auto"/>
      </w:pPr>
      <w:r w:rsidRPr="00CD44A3">
        <w:tab/>
        <w:t>In 2005, the Mayor re-introduced the residential facility bill as Bill 05-0221.</w:t>
      </w:r>
      <w:r w:rsidRPr="00CD44A3">
        <w:rPr>
          <w:rStyle w:val="FootnoteReference"/>
        </w:rPr>
        <w:footnoteReference w:id="65"/>
      </w:r>
      <w:r w:rsidRPr="00CD44A3">
        <w:t xml:space="preserve">  The Planning Commission Staff Report for Bill 05-0221 summarized the bill identically to Bill 04-1364.</w:t>
      </w:r>
      <w:r w:rsidRPr="00CD44A3">
        <w:rPr>
          <w:rStyle w:val="FootnoteReference"/>
        </w:rPr>
        <w:footnoteReference w:id="66"/>
      </w:r>
      <w:r w:rsidRPr="00CD44A3">
        <w:t xml:space="preserve">  Again, city agencies supported the bill, including the Health Department, Department of Housing and Community Development, and the Police Department.</w:t>
      </w:r>
      <w:r w:rsidRPr="00CD44A3">
        <w:rPr>
          <w:rStyle w:val="FootnoteReference"/>
        </w:rPr>
        <w:footnoteReference w:id="67"/>
      </w:r>
      <w:r w:rsidRPr="00CD44A3">
        <w:t xml:space="preserve">  On December 7, 2005, </w:t>
      </w:r>
      <w:r w:rsidR="00F32DDD">
        <w:t>the residential bill</w:t>
      </w:r>
      <w:r w:rsidRPr="00CD44A3">
        <w:t xml:space="preserve"> was withdrawn by the Director of the Department of Planning on behalf of the Mayor, citing concerns expressed by community organizations, individual citizens, and state and local elected officials.</w:t>
      </w:r>
      <w:r w:rsidRPr="00CD44A3">
        <w:rPr>
          <w:rStyle w:val="FootnoteReference"/>
        </w:rPr>
        <w:footnoteReference w:id="68"/>
      </w:r>
      <w:r w:rsidR="00943FA4">
        <w:t xml:space="preserve"> </w:t>
      </w:r>
      <w:r w:rsidRPr="00CD44A3">
        <w:t xml:space="preserve"> In 2005, the Mayor re-introduced the outpatient bill as Bill 05-0220, which was eventually enacted on November 8, 2006.</w:t>
      </w:r>
      <w:r w:rsidRPr="00CD44A3">
        <w:rPr>
          <w:rStyle w:val="FootnoteReference"/>
        </w:rPr>
        <w:footnoteReference w:id="69"/>
      </w:r>
      <w:r w:rsidRPr="00CD44A3">
        <w:t xml:space="preserve">  It made outpatient substance abuse treatment programs subject to the same zoning requirements as other outpatient medical clinics.</w:t>
      </w:r>
      <w:r w:rsidRPr="00CD44A3">
        <w:rPr>
          <w:rStyle w:val="FootnoteReference"/>
        </w:rPr>
        <w:footnoteReference w:id="70"/>
      </w:r>
      <w:r w:rsidRPr="00CD44A3">
        <w:t xml:space="preserve">  </w:t>
      </w:r>
    </w:p>
    <w:p w:rsidR="00B76C8F" w:rsidRPr="00CD44A3" w:rsidRDefault="00B76C8F" w:rsidP="00B76C8F">
      <w:pPr>
        <w:spacing w:line="480" w:lineRule="auto"/>
      </w:pPr>
      <w:r w:rsidRPr="00CD44A3">
        <w:tab/>
        <w:t>In 2007, the United States opened an investigation of the City of Baltimore regarding zoning of residential substance abuse treatment facilities.  In response, then-Mayor Sheila Dixon re-introduced the residential substance abuse facility bill in December 2007 as Bill 07-0002.</w:t>
      </w:r>
      <w:r w:rsidRPr="00CD44A3">
        <w:rPr>
          <w:rStyle w:val="FootnoteReference"/>
        </w:rPr>
        <w:footnoteReference w:id="71"/>
      </w:r>
      <w:r w:rsidRPr="00CD44A3">
        <w:t xml:space="preserve">  In a memo dated November 29, 2007, Baltimore City Solicitor George Nilson recommended the introduction and passage of the bill to then-City Council President Stephanie Rawlings-Blake.</w:t>
      </w:r>
      <w:r w:rsidRPr="00CD44A3">
        <w:rPr>
          <w:rStyle w:val="FootnoteReference"/>
        </w:rPr>
        <w:footnoteReference w:id="72"/>
      </w:r>
      <w:r w:rsidRPr="00CD44A3">
        <w:t xml:space="preserve">  Mr. Nilson explained that the proposed bill was similar to two previously introduced City Council Bills: Bill 04-1364 and Bill 05-0221, and that “the purpose of the bill is to ensure that the City’s zoning standards and practices comply with the Americans with Disabilities Act.”</w:t>
      </w:r>
      <w:r w:rsidRPr="00CD44A3">
        <w:rPr>
          <w:rStyle w:val="FootnoteReference"/>
        </w:rPr>
        <w:footnoteReference w:id="73"/>
      </w:r>
      <w:r w:rsidRPr="00CD44A3">
        <w:t xml:space="preserve">  Additionally, the Law Department analyzed and endorsed the purpose of the bill, stating that:</w:t>
      </w:r>
    </w:p>
    <w:p w:rsidR="00B76C8F" w:rsidRPr="00CD44A3" w:rsidRDefault="00B76C8F" w:rsidP="006523A2">
      <w:pPr>
        <w:ind w:left="720" w:right="720"/>
        <w:jc w:val="both"/>
      </w:pPr>
      <w:r w:rsidRPr="00CD44A3">
        <w:t xml:space="preserve">Council Bill 07-0002 would accomplish two important purposes.  First, it would help ensure that zoning standards are consistent with Fair Housing Act, </w:t>
      </w:r>
      <w:r w:rsidR="00377A22" w:rsidRPr="00CD44A3">
        <w:fldChar w:fldCharType="begin"/>
      </w:r>
      <w:r w:rsidRPr="00CD44A3">
        <w:instrText xml:space="preserve"> TA \l "42 U.S.C. § 3601 et seq." \s "WSFTA_e4fff9a074e64844a08e4c3a6f585f94" \c 6 </w:instrText>
      </w:r>
      <w:r w:rsidR="00377A22" w:rsidRPr="00CD44A3">
        <w:fldChar w:fldCharType="end"/>
      </w:r>
      <w:r w:rsidRPr="00CD44A3">
        <w:t xml:space="preserve">42 U.S.C. § 3601 </w:t>
      </w:r>
      <w:r w:rsidRPr="00CD44A3">
        <w:rPr>
          <w:i/>
        </w:rPr>
        <w:t>et seq.</w:t>
      </w:r>
      <w:r w:rsidRPr="00CD44A3">
        <w:t xml:space="preserve"> (the “FHA”) and Title II of the Americans with Disabilities Act, </w:t>
      </w:r>
      <w:r w:rsidR="00377A22" w:rsidRPr="00CD44A3">
        <w:fldChar w:fldCharType="begin"/>
      </w:r>
      <w:r w:rsidRPr="00CD44A3">
        <w:instrText xml:space="preserve"> TA \l "" \s "WSFTA_1a62865e1b5e43d6811792c5186a849f" \c 6 </w:instrText>
      </w:r>
      <w:r w:rsidR="00377A22" w:rsidRPr="00CD44A3">
        <w:fldChar w:fldCharType="end"/>
      </w:r>
      <w:r w:rsidRPr="00CD44A3">
        <w:t xml:space="preserve">42 U.S.C. § 12131 </w:t>
      </w:r>
      <w:r w:rsidRPr="00CD44A3">
        <w:rPr>
          <w:i/>
        </w:rPr>
        <w:t>et seq.</w:t>
      </w:r>
      <w:r w:rsidRPr="00CD44A3">
        <w:t xml:space="preserve"> (the “ADA”).  Second, it would conform zoning standards to state licensing provisions that regulate group homes and nursing homes.</w:t>
      </w:r>
      <w:r w:rsidRPr="00CD44A3">
        <w:rPr>
          <w:rStyle w:val="FootnoteReference"/>
        </w:rPr>
        <w:footnoteReference w:id="74"/>
      </w:r>
    </w:p>
    <w:p w:rsidR="00B76C8F" w:rsidRPr="00CD44A3" w:rsidRDefault="00B76C8F" w:rsidP="00B76C8F"/>
    <w:p w:rsidR="00B76C8F" w:rsidRPr="00CD44A3" w:rsidRDefault="00B76C8F" w:rsidP="00B76C8F">
      <w:pPr>
        <w:spacing w:line="480" w:lineRule="auto"/>
      </w:pPr>
      <w:r w:rsidRPr="00CD44A3">
        <w:tab/>
        <w:t xml:space="preserve">The other agencies to which the bill was referred </w:t>
      </w:r>
      <w:r w:rsidR="00F32DDD">
        <w:t>also supported</w:t>
      </w:r>
      <w:r w:rsidRPr="00CD44A3">
        <w:t xml:space="preserve"> the bill, including the Planning Commission, the Board of Municipal and Zoning Appeals, Baltimore Housing, the Health Department, Baltimore Police Department, Department of Transportation, Parking Authority, and Baltimore Substance Abuse Systems, Inc.</w:t>
      </w:r>
      <w:r w:rsidRPr="00CD44A3">
        <w:rPr>
          <w:rStyle w:val="FootnoteReference"/>
        </w:rPr>
        <w:footnoteReference w:id="75"/>
      </w:r>
      <w:r w:rsidRPr="00CD44A3">
        <w:t xml:space="preserve">  The Land Use and Transportation Committee then held a public hearing on the bill on May 7, 2008, at which many Council members and community members expressed opposition to the bill.</w:t>
      </w:r>
      <w:r w:rsidRPr="00CD44A3">
        <w:rPr>
          <w:rStyle w:val="FootnoteReference"/>
        </w:rPr>
        <w:footnoteReference w:id="76"/>
      </w:r>
      <w:r w:rsidRPr="00CD44A3">
        <w:t xml:space="preserve">  For example, then-City Council membe</w:t>
      </w:r>
      <w:r w:rsidR="00F32DDD">
        <w:t>r Jack Young (now City Council P</w:t>
      </w:r>
      <w:r w:rsidRPr="00CD44A3">
        <w:t>resident) said he would vote against the bill, explaining that the community should get to decide whether a residential drug treatment program locates in their neighborhood, and that having a treatment program next door is undesirable.</w:t>
      </w:r>
      <w:r w:rsidRPr="00CD44A3">
        <w:rPr>
          <w:rStyle w:val="FootnoteReference"/>
        </w:rPr>
        <w:footnoteReference w:id="77"/>
      </w:r>
      <w:r w:rsidRPr="00CD44A3">
        <w:t xml:space="preserve">  No further action has been taken by the City Council on Bill 07-0002. </w:t>
      </w:r>
    </w:p>
    <w:p w:rsidR="00B76C8F" w:rsidRPr="00CD44A3" w:rsidRDefault="00B76C8F" w:rsidP="000B6C37">
      <w:pPr>
        <w:pStyle w:val="ListParagraph"/>
        <w:numPr>
          <w:ilvl w:val="0"/>
          <w:numId w:val="8"/>
        </w:numPr>
        <w:ind w:hanging="720"/>
        <w:outlineLvl w:val="1"/>
      </w:pPr>
      <w:bookmarkStart w:id="9" w:name="_Toc290573105"/>
      <w:r w:rsidRPr="00CD44A3">
        <w:rPr>
          <w:u w:val="single"/>
        </w:rPr>
        <w:t>City’s Draft Revised Zoning Code Eliminates CO Requirement in Favor of BMZA Approval</w:t>
      </w:r>
      <w:bookmarkEnd w:id="9"/>
    </w:p>
    <w:p w:rsidR="00B76C8F" w:rsidRPr="00CD44A3" w:rsidRDefault="00B76C8F" w:rsidP="00B76C8F"/>
    <w:p w:rsidR="00B76C8F" w:rsidRPr="00CD44A3" w:rsidRDefault="00B76C8F" w:rsidP="00B76C8F">
      <w:pPr>
        <w:spacing w:line="480" w:lineRule="auto"/>
      </w:pPr>
      <w:r w:rsidRPr="00CD44A3">
        <w:tab/>
        <w:t>The City of Baltimore is currently in the process of rewriting its Zoning Code.</w:t>
      </w:r>
      <w:r w:rsidRPr="00CD44A3">
        <w:rPr>
          <w:rStyle w:val="FootnoteReference"/>
        </w:rPr>
        <w:footnoteReference w:id="78"/>
      </w:r>
      <w:r w:rsidRPr="00CD44A3">
        <w:t xml:space="preserve">  </w:t>
      </w:r>
      <w:r w:rsidRPr="00CD44A3">
        <w:rPr>
          <w:szCs w:val="24"/>
        </w:rPr>
        <w:t>The proposed Zoning Code completely eliminates conditional uses requiring approval of the City Council.</w:t>
      </w:r>
      <w:r w:rsidRPr="00CD44A3">
        <w:rPr>
          <w:rStyle w:val="FootnoteReference"/>
          <w:szCs w:val="24"/>
        </w:rPr>
        <w:footnoteReference w:id="79"/>
      </w:r>
      <w:r w:rsidRPr="00CD44A3">
        <w:rPr>
          <w:sz w:val="22"/>
          <w:szCs w:val="22"/>
        </w:rPr>
        <w:t xml:space="preserve">  </w:t>
      </w:r>
      <w:r w:rsidRPr="00CD44A3">
        <w:t>Instead, all conditional uses are subject to approval by the Board of Municipal Zoning Appeals.</w:t>
      </w:r>
      <w:r w:rsidRPr="00CD44A3">
        <w:rPr>
          <w:rStyle w:val="FootnoteReference"/>
        </w:rPr>
        <w:footnoteReference w:id="80"/>
      </w:r>
      <w:r w:rsidRPr="00CD44A3">
        <w:t xml:space="preserve">  Under the draft Zoning Code, licensed residential substance abuse treatment facilities would be classified as “licensed residential care facilities.”</w:t>
      </w:r>
      <w:r w:rsidRPr="00CD44A3">
        <w:rPr>
          <w:rStyle w:val="FootnoteReference"/>
        </w:rPr>
        <w:footnoteReference w:id="81"/>
      </w:r>
      <w:r w:rsidRPr="00CD44A3">
        <w:t xml:space="preserve">  Such facilities would locate as of right or as a conditional use subject to the approval of the BMZA, depending on the number of residents and the district in which they seek to locate.</w:t>
      </w:r>
      <w:r w:rsidRPr="00CD44A3">
        <w:rPr>
          <w:rStyle w:val="FootnoteReference"/>
        </w:rPr>
        <w:footnoteReference w:id="82"/>
      </w:r>
      <w:r w:rsidRPr="00CD44A3">
        <w:t xml:space="preserve">      </w:t>
      </w:r>
    </w:p>
    <w:p w:rsidR="00B76C8F" w:rsidRPr="00CD44A3" w:rsidRDefault="00B76C8F" w:rsidP="00B76C8F">
      <w:pPr>
        <w:spacing w:line="480" w:lineRule="auto"/>
        <w:ind w:firstLine="720"/>
      </w:pPr>
      <w:r w:rsidRPr="00CD44A3">
        <w:t>The draft Zoning Code eliminates the CO process in order to ensure that the guidelines and standards established for conditional uses in the Zoning Code are applied properly, according to David Tanner, Executive Director of the BMZA and former Zoning Administrator.</w:t>
      </w:r>
      <w:r w:rsidRPr="00CD44A3">
        <w:rPr>
          <w:rStyle w:val="FootnoteReference"/>
        </w:rPr>
        <w:footnoteReference w:id="83"/>
      </w:r>
      <w:r w:rsidRPr="00CD44A3">
        <w:t xml:space="preserve">  Currently, the BMZA is required to apply certain standards when evaluating requests for conditional uses, but the City Council is not required to do so, and has not traditionally applied those standards.</w:t>
      </w:r>
      <w:r w:rsidRPr="00CD44A3">
        <w:rPr>
          <w:rStyle w:val="FootnoteReference"/>
        </w:rPr>
        <w:footnoteReference w:id="84"/>
      </w:r>
      <w:r w:rsidRPr="00CD44A3">
        <w:t xml:space="preserve">  Further, Mr. Tanner testified, the current conditional use ordinance process requires “two sets of hearings to apply the same standards that the board has been applying all along,” which makes the process more time consuming.</w:t>
      </w:r>
      <w:r w:rsidRPr="00CD44A3">
        <w:rPr>
          <w:rStyle w:val="FootnoteReference"/>
        </w:rPr>
        <w:footnoteReference w:id="85"/>
      </w:r>
      <w:r w:rsidRPr="00CD44A3">
        <w:t xml:space="preserve">  Thus, subjecting all conditional uses to BMZA approval will streamline the process.</w:t>
      </w:r>
      <w:r w:rsidRPr="00CD44A3">
        <w:rPr>
          <w:rStyle w:val="FootnoteReference"/>
        </w:rPr>
        <w:footnoteReference w:id="86"/>
      </w:r>
      <w:r w:rsidRPr="00CD44A3">
        <w:t xml:space="preserve">  </w:t>
      </w:r>
    </w:p>
    <w:p w:rsidR="00B76C8F" w:rsidRPr="00CD44A3" w:rsidRDefault="00B76C8F" w:rsidP="000B6C37">
      <w:pPr>
        <w:pStyle w:val="ListParagraph"/>
        <w:numPr>
          <w:ilvl w:val="0"/>
          <w:numId w:val="8"/>
        </w:numPr>
        <w:ind w:hanging="720"/>
        <w:outlineLvl w:val="1"/>
      </w:pPr>
      <w:bookmarkStart w:id="10" w:name="_Toc290573106"/>
      <w:r w:rsidRPr="00CD44A3">
        <w:rPr>
          <w:u w:val="single"/>
        </w:rPr>
        <w:t>State Certified Residential Substance Abuse Treatment Programs Pose No Danger to the Community</w:t>
      </w:r>
      <w:bookmarkEnd w:id="10"/>
    </w:p>
    <w:p w:rsidR="00B76C8F" w:rsidRPr="00CD44A3" w:rsidRDefault="00B76C8F" w:rsidP="00B76C8F">
      <w:pPr>
        <w:ind w:left="1440" w:hanging="720"/>
      </w:pPr>
    </w:p>
    <w:p w:rsidR="00B76C8F" w:rsidRPr="00CD44A3" w:rsidRDefault="00B76C8F" w:rsidP="00B76C8F">
      <w:pPr>
        <w:spacing w:line="480" w:lineRule="auto"/>
        <w:ind w:firstLine="720"/>
      </w:pPr>
      <w:r w:rsidRPr="00CD44A3">
        <w:t>The City’s 30(b)(6) representative on the safety of RSATPs, Colonel John Skinner, the Chief of Patrol for the Baltimore Police Department, admitted that state certified residential substance abuse treatment programs do not cause a significant risk to the health or safety of others.</w:t>
      </w:r>
      <w:r w:rsidRPr="00CD44A3">
        <w:rPr>
          <w:rStyle w:val="FootnoteReference"/>
        </w:rPr>
        <w:footnoteReference w:id="87"/>
      </w:r>
      <w:r w:rsidRPr="00CD44A3">
        <w:t xml:space="preserve">  He testified that there have not been any problems generally with RSATPs and they do not pose any negative impacts on their neighbors or surrounding community.</w:t>
      </w:r>
      <w:r w:rsidRPr="00CD44A3">
        <w:rPr>
          <w:rStyle w:val="FootnoteReference"/>
        </w:rPr>
        <w:footnoteReference w:id="88"/>
      </w:r>
      <w:r w:rsidRPr="00CD44A3">
        <w:t xml:space="preserve">  </w:t>
      </w:r>
    </w:p>
    <w:p w:rsidR="00B76C8F" w:rsidRPr="00CD44A3" w:rsidRDefault="00B76C8F" w:rsidP="00B76C8F">
      <w:pPr>
        <w:spacing w:line="480" w:lineRule="auto"/>
      </w:pPr>
      <w:r w:rsidRPr="00CD44A3">
        <w:tab/>
        <w:t xml:space="preserve">In addition, the Baltimore Health Commissioner, Dr. Joshua Sharfstein, explained how drug treatment </w:t>
      </w:r>
      <w:r w:rsidR="00F32DDD">
        <w:t xml:space="preserve">actually </w:t>
      </w:r>
      <w:r w:rsidRPr="00CD44A3">
        <w:t>improves safety, in his memo</w:t>
      </w:r>
      <w:r w:rsidR="00F32DDD">
        <w:t>randum</w:t>
      </w:r>
      <w:r w:rsidRPr="00CD44A3">
        <w:t xml:space="preserve"> to the City Council in support of Bill 07-0002, which would have eliminated the CO requirement for </w:t>
      </w:r>
      <w:r w:rsidR="00F32DDD">
        <w:t xml:space="preserve">residential </w:t>
      </w:r>
      <w:r w:rsidRPr="00CD44A3">
        <w:t xml:space="preserve">drug treatment facilities.  Dr. Sharfstein stated that </w:t>
      </w:r>
    </w:p>
    <w:p w:rsidR="00B76C8F" w:rsidRPr="00CD44A3" w:rsidRDefault="00B76C8F" w:rsidP="00214618">
      <w:pPr>
        <w:ind w:left="720" w:right="720"/>
        <w:jc w:val="both"/>
      </w:pPr>
      <w:r w:rsidRPr="00CD44A3">
        <w:t>Making effective drug treatment available is the foundation of a public health approach to drug addiction.  Studies have shown that investing in drug treatment not only reduces drug use but also provides for a reduction in crime and many of the other negative consequences of addiction.  “Steps to Success,” a report released by Baltimore Substance Abuse Systems has found that substance abuse treatment results in a decrease of illegal activity by 64% within a year of treatment.  Similarly, the National Treatment Improvement Evaluation Study found that treatment results in a 64% decline in arrests.  Over the last decade, funding for substance abuse treatment for uninsured individuals in the city of Baltimore has increased from $17.7 million in fiscal year 1996 to $52.9 million in 2005. . . .  Over this decade, rates of crime and sexually transmitted diseases have dropped substantially.</w:t>
      </w:r>
      <w:r w:rsidRPr="00CD44A3">
        <w:rPr>
          <w:rStyle w:val="FootnoteReference"/>
        </w:rPr>
        <w:footnoteReference w:id="89"/>
      </w:r>
    </w:p>
    <w:p w:rsidR="00B76C8F" w:rsidRPr="00CD44A3" w:rsidRDefault="00B76C8F" w:rsidP="00B76C8F">
      <w:pPr>
        <w:ind w:left="720"/>
      </w:pPr>
    </w:p>
    <w:p w:rsidR="00B76C8F" w:rsidRPr="00CD44A3" w:rsidRDefault="00B76C8F" w:rsidP="00214618">
      <w:pPr>
        <w:spacing w:line="480" w:lineRule="auto"/>
        <w:jc w:val="both"/>
      </w:pPr>
      <w:r w:rsidRPr="00CD44A3">
        <w:tab/>
        <w:t>The Baltimore Police Department also supported Bill 07-002 and Bill 05-0221, its precursor.</w:t>
      </w:r>
      <w:r w:rsidRPr="00CD44A3">
        <w:rPr>
          <w:rStyle w:val="FootnoteReference"/>
        </w:rPr>
        <w:footnoteReference w:id="90"/>
      </w:r>
      <w:r w:rsidRPr="00CD44A3">
        <w:t xml:space="preserve">  In 2005, the Police Department wrote to the City Council that </w:t>
      </w:r>
    </w:p>
    <w:p w:rsidR="00B76C8F" w:rsidRPr="00CD44A3" w:rsidRDefault="00B76C8F" w:rsidP="00B76C8F">
      <w:pPr>
        <w:ind w:left="720" w:right="720"/>
        <w:jc w:val="both"/>
      </w:pPr>
      <w:r w:rsidRPr="00CD44A3">
        <w:t>The Baltimore Police Department (BPD) supports this bill.  The facilities covered by this bill are important adjuncts to Baltimore City’s overall public safety strategy.  It is important that such facilities be available for all those who need them, including persons who might be at risk of committing crimes or themselves being the victims of crimes.  The Baltimore Police Department supports the continued growth of group homes, nursing homes, and emergency shelters, and it is our understanding that this bill would help to achieve this goal.</w:t>
      </w:r>
      <w:r w:rsidRPr="00CD44A3">
        <w:rPr>
          <w:rStyle w:val="FootnoteReference"/>
        </w:rPr>
        <w:footnoteReference w:id="91"/>
      </w:r>
    </w:p>
    <w:p w:rsidR="00B76C8F" w:rsidRPr="00CD44A3" w:rsidRDefault="00B76C8F" w:rsidP="00B76C8F"/>
    <w:p w:rsidR="00B76201" w:rsidRDefault="00B76C8F" w:rsidP="00B76C8F">
      <w:pPr>
        <w:spacing w:line="480" w:lineRule="auto"/>
      </w:pPr>
      <w:r w:rsidRPr="00CD44A3">
        <w:t>Colonel John Skinner testified that the Police Department would not have supported any bill that posed a risk to public safety or police.</w:t>
      </w:r>
      <w:r w:rsidRPr="00CD44A3">
        <w:rPr>
          <w:rStyle w:val="FootnoteReference"/>
        </w:rPr>
        <w:footnoteReference w:id="92"/>
      </w:r>
      <w:r w:rsidRPr="00CD44A3">
        <w:t xml:space="preserve">  The Police Department also supported the passage of several CO bills for RSATPs, stating that substance abuse treatment was an important component of Baltimore City’s public safety strategy.</w:t>
      </w:r>
      <w:r w:rsidRPr="00CD44A3">
        <w:rPr>
          <w:rStyle w:val="FootnoteReference"/>
        </w:rPr>
        <w:footnoteReference w:id="93"/>
      </w:r>
    </w:p>
    <w:p w:rsidR="00B76201" w:rsidRDefault="00B76201">
      <w:r>
        <w:br w:type="page"/>
      </w:r>
    </w:p>
    <w:p w:rsidR="00B76C8F" w:rsidRPr="00CD44A3" w:rsidRDefault="00B76C8F" w:rsidP="000B6C37">
      <w:pPr>
        <w:pStyle w:val="ListParagraph"/>
        <w:numPr>
          <w:ilvl w:val="0"/>
          <w:numId w:val="7"/>
        </w:numPr>
        <w:jc w:val="center"/>
        <w:outlineLvl w:val="0"/>
        <w:rPr>
          <w:b/>
        </w:rPr>
      </w:pPr>
      <w:bookmarkStart w:id="11" w:name="_Toc290573107"/>
      <w:r w:rsidRPr="00CD44A3">
        <w:rPr>
          <w:b/>
        </w:rPr>
        <w:t>ARGUMENT</w:t>
      </w:r>
      <w:bookmarkEnd w:id="11"/>
    </w:p>
    <w:p w:rsidR="00B76C8F" w:rsidRPr="00CD44A3" w:rsidRDefault="00B76C8F" w:rsidP="00B76C8F">
      <w:pPr>
        <w:ind w:left="720" w:hanging="720"/>
        <w:jc w:val="center"/>
        <w:rPr>
          <w:b/>
        </w:rPr>
      </w:pPr>
    </w:p>
    <w:p w:rsidR="00B76C8F" w:rsidRPr="00CD44A3" w:rsidRDefault="00B76C8F" w:rsidP="000B6C37">
      <w:pPr>
        <w:pStyle w:val="ListParagraph"/>
        <w:numPr>
          <w:ilvl w:val="0"/>
          <w:numId w:val="4"/>
        </w:numPr>
        <w:ind w:left="1440" w:hanging="720"/>
        <w:outlineLvl w:val="1"/>
      </w:pPr>
      <w:r w:rsidRPr="00CD44A3">
        <w:t xml:space="preserve"> </w:t>
      </w:r>
      <w:bookmarkStart w:id="12" w:name="_Toc290573108"/>
      <w:r w:rsidRPr="00CD44A3">
        <w:rPr>
          <w:u w:val="single"/>
        </w:rPr>
        <w:t>Summary Judgment Standard</w:t>
      </w:r>
      <w:bookmarkEnd w:id="12"/>
    </w:p>
    <w:p w:rsidR="00B76C8F" w:rsidRPr="00CD44A3" w:rsidRDefault="00B76C8F" w:rsidP="00B76C8F">
      <w:pPr>
        <w:ind w:left="720" w:hanging="720"/>
        <w:rPr>
          <w:b/>
        </w:rPr>
      </w:pPr>
    </w:p>
    <w:p w:rsidR="00B76C8F" w:rsidRPr="00CD44A3" w:rsidRDefault="00B76C8F" w:rsidP="00B76C8F">
      <w:pPr>
        <w:spacing w:line="480" w:lineRule="auto"/>
        <w:ind w:firstLine="720"/>
        <w:rPr>
          <w:b/>
        </w:rPr>
      </w:pPr>
      <w:r w:rsidRPr="00CD44A3">
        <w:t>Summary judgment is appropriate where the Court is satisfied that “there is no genuine dispute as to any material fact” and the moving party is entitled to judgment as a matter of law.</w:t>
      </w:r>
      <w:r w:rsidRPr="00CD44A3">
        <w:rPr>
          <w:rStyle w:val="FootnoteReference"/>
        </w:rPr>
        <w:footnoteReference w:id="94"/>
      </w:r>
      <w:r w:rsidRPr="00CD44A3">
        <w:t xml:space="preserve">  Evidence should be viewed in the light most favorable to the non-moving party.</w:t>
      </w:r>
      <w:r w:rsidRPr="00CD44A3">
        <w:rPr>
          <w:rStyle w:val="FootnoteReference"/>
        </w:rPr>
        <w:footnoteReference w:id="95"/>
      </w:r>
      <w:r w:rsidRPr="00CD44A3">
        <w:t xml:space="preserve">  </w:t>
      </w:r>
      <w:r w:rsidR="00F32DDD" w:rsidRPr="00CD44A3">
        <w:t>Only disputes over facts that might affect the outcome of the case under the governing substantive law will properly preclude summary judgment.</w:t>
      </w:r>
      <w:r w:rsidR="00F32DDD" w:rsidRPr="00CD44A3">
        <w:rPr>
          <w:rStyle w:val="FootnoteReference"/>
        </w:rPr>
        <w:footnoteReference w:id="96"/>
      </w:r>
      <w:r w:rsidR="00F32DDD" w:rsidRPr="00CD44A3">
        <w:t xml:space="preserve"> </w:t>
      </w:r>
      <w:r w:rsidR="00F32DDD">
        <w:t xml:space="preserve">  </w:t>
      </w:r>
      <w:r w:rsidRPr="00CD44A3">
        <w:t>“[A] mere scintilla of evidence is not enough to create a fact issue.”</w:t>
      </w:r>
      <w:r w:rsidRPr="00CD44A3">
        <w:rPr>
          <w:rStyle w:val="FootnoteReference"/>
        </w:rPr>
        <w:footnoteReference w:id="97"/>
      </w:r>
      <w:r w:rsidRPr="00CD44A3">
        <w:t xml:space="preserve">  To deny summary judgment, there must be “sufficient evidence favoring the nonmoving party for a jury to return a verdict for that party.  If the evidence is merely colorable, or is not significantly probative, summary judgment may be granted.”</w:t>
      </w:r>
      <w:r w:rsidRPr="00CD44A3">
        <w:rPr>
          <w:rStyle w:val="FootnoteReference"/>
        </w:rPr>
        <w:footnoteReference w:id="98"/>
      </w:r>
      <w:r w:rsidRPr="00CD44A3">
        <w:t xml:space="preserve">  “[W]here the record taken as a whole could not lead a rational trier of fact to find for the nonmoving party, disposition by summary judgment is appropriate.”</w:t>
      </w:r>
      <w:r w:rsidRPr="00CD44A3">
        <w:rPr>
          <w:rStyle w:val="FootnoteReference"/>
        </w:rPr>
        <w:footnoteReference w:id="99"/>
      </w:r>
      <w:r w:rsidRPr="00CD44A3">
        <w:t xml:space="preserve">  Summary judgment is not “a disfavored procedural shortcut” but an important mechanism for weeding out “claims and defenses [that] have no factual bases.”</w:t>
      </w:r>
      <w:r w:rsidRPr="00CD44A3">
        <w:rPr>
          <w:rStyle w:val="FootnoteReference"/>
        </w:rPr>
        <w:footnoteReference w:id="100"/>
      </w:r>
      <w:r w:rsidRPr="00CD44A3">
        <w:t xml:space="preserve">  </w:t>
      </w:r>
    </w:p>
    <w:p w:rsidR="00B76C8F" w:rsidRPr="00CD44A3" w:rsidRDefault="00B76C8F" w:rsidP="000B6C37">
      <w:pPr>
        <w:pStyle w:val="ListParagraph"/>
        <w:numPr>
          <w:ilvl w:val="0"/>
          <w:numId w:val="4"/>
        </w:numPr>
        <w:ind w:left="1440" w:hanging="720"/>
        <w:outlineLvl w:val="1"/>
        <w:rPr>
          <w:caps/>
          <w:u w:val="single"/>
        </w:rPr>
      </w:pPr>
      <w:bookmarkStart w:id="13" w:name="_Toc290573109"/>
      <w:r w:rsidRPr="00CD44A3">
        <w:rPr>
          <w:u w:val="single"/>
        </w:rPr>
        <w:t>The City’s CO Requirement for “Homes for Non-Beddridden Alcoholics” Violates the ADA as a Matter of Law.</w:t>
      </w:r>
      <w:bookmarkEnd w:id="13"/>
    </w:p>
    <w:p w:rsidR="00B76C8F" w:rsidRPr="00CD44A3" w:rsidRDefault="00B76C8F" w:rsidP="00B76C8F">
      <w:pPr>
        <w:ind w:left="720" w:hanging="720"/>
        <w:rPr>
          <w:b/>
          <w:caps/>
        </w:rPr>
      </w:pPr>
    </w:p>
    <w:p w:rsidR="00B76C8F" w:rsidRPr="00CD44A3" w:rsidRDefault="00B76C8F" w:rsidP="00B76C8F">
      <w:pPr>
        <w:spacing w:line="480" w:lineRule="auto"/>
        <w:ind w:firstLine="720"/>
        <w:rPr>
          <w:szCs w:val="24"/>
        </w:rPr>
      </w:pPr>
      <w:r w:rsidRPr="00CD44A3">
        <w:rPr>
          <w:szCs w:val="24"/>
        </w:rPr>
        <w:t xml:space="preserve">The City’s CO requirement for “homes for nonbedridden alcoholics” violates the ADA because it discriminates against people with disabilities on the basis of their disability, both on its face and by its intent.  </w:t>
      </w:r>
      <w:r w:rsidRPr="00CD44A3">
        <w:rPr>
          <w:i/>
          <w:szCs w:val="24"/>
        </w:rPr>
        <w:t>First</w:t>
      </w:r>
      <w:r w:rsidRPr="00CD44A3">
        <w:rPr>
          <w:szCs w:val="24"/>
        </w:rPr>
        <w:t xml:space="preserve">, people in substance abuse treatment programs are persons with disabilities.  Not only has the City conceded that RSATP residents have a disability but the licensing requirements for RSATPs in the State of Maryland </w:t>
      </w:r>
      <w:r w:rsidRPr="00CD44A3">
        <w:rPr>
          <w:i/>
          <w:szCs w:val="24"/>
        </w:rPr>
        <w:t>require</w:t>
      </w:r>
      <w:r w:rsidRPr="00CD44A3">
        <w:rPr>
          <w:szCs w:val="24"/>
        </w:rPr>
        <w:t xml:space="preserve"> that only people with disabilities be admitted to their programs.   </w:t>
      </w:r>
      <w:r w:rsidRPr="00CD44A3">
        <w:rPr>
          <w:i/>
          <w:szCs w:val="24"/>
        </w:rPr>
        <w:t>Second</w:t>
      </w:r>
      <w:r w:rsidRPr="00CD44A3">
        <w:rPr>
          <w:szCs w:val="24"/>
        </w:rPr>
        <w:t>, the CO requirement is discriminatory on its face</w:t>
      </w:r>
      <w:r w:rsidR="00943FA4">
        <w:rPr>
          <w:szCs w:val="24"/>
        </w:rPr>
        <w:t xml:space="preserve"> because</w:t>
      </w:r>
      <w:r w:rsidRPr="00CD44A3">
        <w:rPr>
          <w:szCs w:val="24"/>
        </w:rPr>
        <w:t xml:space="preserve"> </w:t>
      </w:r>
      <w:r w:rsidR="00943FA4">
        <w:rPr>
          <w:szCs w:val="24"/>
        </w:rPr>
        <w:t>l</w:t>
      </w:r>
      <w:r w:rsidR="00AA7D78">
        <w:rPr>
          <w:szCs w:val="24"/>
        </w:rPr>
        <w:t>and uses comparable to RS</w:t>
      </w:r>
      <w:r w:rsidRPr="00CD44A3">
        <w:rPr>
          <w:szCs w:val="24"/>
        </w:rPr>
        <w:t>A</w:t>
      </w:r>
      <w:r w:rsidR="00AA7D78">
        <w:rPr>
          <w:szCs w:val="24"/>
        </w:rPr>
        <w:t>T</w:t>
      </w:r>
      <w:r w:rsidRPr="00CD44A3">
        <w:rPr>
          <w:szCs w:val="24"/>
        </w:rPr>
        <w:t xml:space="preserve">Ps are permitted to locate as of right in the City.  For example, </w:t>
      </w:r>
      <w:r w:rsidRPr="00CD44A3">
        <w:t xml:space="preserve">group homes for individuals with mental illness and developmental disabilities can locate as of right in residential zones of appropriate density.  </w:t>
      </w:r>
      <w:r w:rsidRPr="00CD44A3">
        <w:rPr>
          <w:i/>
        </w:rPr>
        <w:t>Third</w:t>
      </w:r>
      <w:r w:rsidRPr="00CD44A3">
        <w:t xml:space="preserve">, the CO requirement is intentionally discriminatory.  There is overwhelming evidence from statements by City officials and the community that the CO requirement for “homes for nonbedridden alcoholics” is motivated by animus against people in recovery from substance abuse.  For these reasons, discussed in more detail below, the United States’ Motion should be granted.   </w:t>
      </w:r>
      <w:r w:rsidRPr="00CD44A3">
        <w:tab/>
      </w:r>
      <w:bookmarkStart w:id="14" w:name="SR;1188"/>
      <w:bookmarkEnd w:id="14"/>
      <w:r w:rsidRPr="00CD44A3">
        <w:t xml:space="preserve"> </w:t>
      </w:r>
    </w:p>
    <w:p w:rsidR="00B76C8F" w:rsidRPr="00CD44A3" w:rsidRDefault="00B76C8F" w:rsidP="000B6C37">
      <w:pPr>
        <w:pStyle w:val="ListParagraph"/>
        <w:numPr>
          <w:ilvl w:val="0"/>
          <w:numId w:val="10"/>
        </w:numPr>
        <w:spacing w:after="240"/>
        <w:ind w:left="2160" w:hanging="720"/>
        <w:outlineLvl w:val="2"/>
      </w:pPr>
      <w:bookmarkStart w:id="15" w:name="_Toc290573110"/>
      <w:r w:rsidRPr="00CD44A3">
        <w:rPr>
          <w:u w:val="single"/>
        </w:rPr>
        <w:t>The Americans with Disabilities Act Protects Persons with Disabilities.</w:t>
      </w:r>
      <w:bookmarkEnd w:id="15"/>
    </w:p>
    <w:p w:rsidR="00B76C8F" w:rsidRPr="00CD44A3" w:rsidRDefault="00B76C8F" w:rsidP="00B76C8F">
      <w:pPr>
        <w:spacing w:line="480" w:lineRule="auto"/>
      </w:pPr>
      <w:r w:rsidRPr="00CD44A3">
        <w:tab/>
      </w:r>
      <w:r w:rsidRPr="00CD44A3">
        <w:rPr>
          <w:szCs w:val="24"/>
          <w:lang w:val="en-CA"/>
        </w:rPr>
        <w:t xml:space="preserve">The ADA protects individuals who meet its definition of disability from discrimination on the basis of disability in a wide variety of situations.  </w:t>
      </w:r>
      <w:r w:rsidRPr="00CD44A3">
        <w:t>Title II of the ADA protects individuals with disabilities from discrimination in programs, services, or activities of state and local government entities, including zoning and land use decisions.</w:t>
      </w:r>
      <w:r w:rsidRPr="00CD44A3">
        <w:rPr>
          <w:rStyle w:val="FootnoteReference"/>
        </w:rPr>
        <w:footnoteReference w:id="101"/>
      </w:r>
      <w:r w:rsidRPr="00CD44A3">
        <w:t xml:space="preserve">  Title II provides that no qualified individual with a disability shall, by reason of such disability, be excluded from participation in or be denied the benefits of the services, programs, or activities of a public entity, or be subjected to discrimination by such entity.</w:t>
      </w:r>
      <w:r w:rsidRPr="00CD44A3">
        <w:rPr>
          <w:rStyle w:val="FootnoteReference"/>
        </w:rPr>
        <w:footnoteReference w:id="102"/>
      </w:r>
      <w:r w:rsidRPr="00CD44A3">
        <w:t xml:space="preserve">  A public entity covered by title II is not required, however, to permit an individual to participate in or benefit from its programs or services when that individual poses a direct threat to the health or safety of others.</w:t>
      </w:r>
      <w:r w:rsidRPr="00CD44A3">
        <w:rPr>
          <w:rStyle w:val="FootnoteReference"/>
        </w:rPr>
        <w:footnoteReference w:id="103"/>
      </w:r>
      <w:r w:rsidRPr="00CD44A3">
        <w:t xml:space="preserve">  </w:t>
      </w:r>
    </w:p>
    <w:p w:rsidR="00B76C8F" w:rsidRPr="00CD44A3" w:rsidRDefault="00B76C8F" w:rsidP="000B6C37">
      <w:pPr>
        <w:pStyle w:val="ListParagraph"/>
        <w:numPr>
          <w:ilvl w:val="0"/>
          <w:numId w:val="10"/>
        </w:numPr>
        <w:spacing w:after="240"/>
        <w:ind w:left="2160" w:hanging="720"/>
        <w:outlineLvl w:val="2"/>
        <w:rPr>
          <w:szCs w:val="24"/>
        </w:rPr>
      </w:pPr>
      <w:bookmarkStart w:id="16" w:name="_Toc290573111"/>
      <w:r w:rsidRPr="00CD44A3">
        <w:rPr>
          <w:szCs w:val="24"/>
          <w:u w:val="single"/>
        </w:rPr>
        <w:t xml:space="preserve">There is No Genuine Dispute of Material Fact That </w:t>
      </w:r>
      <w:r w:rsidR="00377A22" w:rsidRPr="00CD44A3">
        <w:rPr>
          <w:szCs w:val="24"/>
          <w:u w:val="single"/>
          <w:lang w:val="en-CA"/>
        </w:rPr>
        <w:fldChar w:fldCharType="begin"/>
      </w:r>
      <w:r w:rsidRPr="00CD44A3">
        <w:rPr>
          <w:szCs w:val="24"/>
          <w:u w:val="single"/>
          <w:lang w:val="en-CA"/>
        </w:rPr>
        <w:instrText xml:space="preserve"> SEQ CHAPTER \h \r 1</w:instrText>
      </w:r>
      <w:r w:rsidR="00377A22" w:rsidRPr="00CD44A3">
        <w:rPr>
          <w:szCs w:val="24"/>
          <w:u w:val="single"/>
          <w:lang w:val="en-CA"/>
        </w:rPr>
        <w:fldChar w:fldCharType="end"/>
      </w:r>
      <w:r w:rsidRPr="00CD44A3">
        <w:rPr>
          <w:szCs w:val="24"/>
          <w:u w:val="single"/>
        </w:rPr>
        <w:t xml:space="preserve">Individuals in Residential Substance Abuse Treatment </w:t>
      </w:r>
      <w:r w:rsidRPr="00CD44A3">
        <w:rPr>
          <w:u w:val="single"/>
        </w:rPr>
        <w:t>Programs</w:t>
      </w:r>
      <w:r w:rsidRPr="00CD44A3">
        <w:rPr>
          <w:szCs w:val="24"/>
          <w:u w:val="single"/>
        </w:rPr>
        <w:t xml:space="preserve"> Are Persons With Disabilities</w:t>
      </w:r>
      <w:bookmarkEnd w:id="16"/>
    </w:p>
    <w:p w:rsidR="00B76C8F" w:rsidRPr="00CD44A3" w:rsidRDefault="00B76C8F" w:rsidP="00B76C8F">
      <w:pPr>
        <w:spacing w:line="480" w:lineRule="auto"/>
        <w:rPr>
          <w:szCs w:val="24"/>
        </w:rPr>
      </w:pPr>
      <w:r w:rsidRPr="00CD44A3">
        <w:rPr>
          <w:szCs w:val="24"/>
        </w:rPr>
        <w:tab/>
        <w:t>The ADA protects individuals who have, or have a record of, an impairment that substantially limits a major life activity.</w:t>
      </w:r>
      <w:r w:rsidRPr="00CD44A3">
        <w:rPr>
          <w:rStyle w:val="FootnoteReference"/>
          <w:szCs w:val="24"/>
        </w:rPr>
        <w:footnoteReference w:id="104"/>
      </w:r>
      <w:r w:rsidRPr="00CD44A3">
        <w:rPr>
          <w:szCs w:val="24"/>
        </w:rPr>
        <w:t xml:space="preserve">  Moreover, the ADA expressly contemplates protection of individuals who are “not engaging in current illegal use of drugs” and who are “participating in a supervised rehabilitation program.”</w:t>
      </w:r>
      <w:r w:rsidRPr="00CD44A3">
        <w:rPr>
          <w:rStyle w:val="FootnoteReference"/>
          <w:szCs w:val="24"/>
        </w:rPr>
        <w:footnoteReference w:id="105"/>
      </w:r>
      <w:r w:rsidRPr="00CD44A3">
        <w:rPr>
          <w:szCs w:val="24"/>
        </w:rPr>
        <w:t xml:space="preserve">  Thus, individuals seeking in-patient residential treatment for substance abuse addictions in Baltimore City have a disability under the ADA.  The City has repeatedly conceded this point in internal memoranda and public hearings.  Admissions criteria for such programs, established by Maryland statute, require a finding of disability.  And federal courts routinely find such individuals disabled under</w:t>
      </w:r>
      <w:r w:rsidR="000A0E07">
        <w:rPr>
          <w:szCs w:val="24"/>
        </w:rPr>
        <w:t xml:space="preserve"> the ADA.  </w:t>
      </w:r>
    </w:p>
    <w:p w:rsidR="00B76C8F" w:rsidRDefault="00B76C8F" w:rsidP="002A7DC5">
      <w:pPr>
        <w:pStyle w:val="ListParagraph"/>
        <w:numPr>
          <w:ilvl w:val="0"/>
          <w:numId w:val="11"/>
        </w:numPr>
        <w:ind w:left="2880" w:hanging="720"/>
        <w:outlineLvl w:val="3"/>
        <w:rPr>
          <w:szCs w:val="24"/>
        </w:rPr>
      </w:pPr>
      <w:bookmarkStart w:id="17" w:name="_Toc290573112"/>
      <w:r w:rsidRPr="00CD44A3">
        <w:rPr>
          <w:szCs w:val="24"/>
          <w:u w:val="single"/>
        </w:rPr>
        <w:t>The City has conceded that RSATP residents are persons with disabilities.</w:t>
      </w:r>
      <w:bookmarkEnd w:id="17"/>
      <w:r w:rsidRPr="00CD44A3">
        <w:rPr>
          <w:szCs w:val="24"/>
        </w:rPr>
        <w:tab/>
      </w:r>
    </w:p>
    <w:p w:rsidR="000A0E07" w:rsidRPr="000A0E07" w:rsidRDefault="000A0E07" w:rsidP="000A0E07">
      <w:pPr>
        <w:rPr>
          <w:szCs w:val="24"/>
        </w:rPr>
      </w:pPr>
    </w:p>
    <w:p w:rsidR="00B76C8F" w:rsidRPr="00CD44A3" w:rsidRDefault="00B76C8F" w:rsidP="00B76C8F">
      <w:pPr>
        <w:spacing w:line="480" w:lineRule="auto"/>
        <w:rPr>
          <w:szCs w:val="24"/>
        </w:rPr>
      </w:pPr>
      <w:r w:rsidRPr="00CD44A3">
        <w:rPr>
          <w:szCs w:val="24"/>
        </w:rPr>
        <w:tab/>
      </w:r>
      <w:r w:rsidR="00F32DDD">
        <w:rPr>
          <w:szCs w:val="24"/>
        </w:rPr>
        <w:t>During</w:t>
      </w:r>
      <w:r w:rsidRPr="00CD44A3">
        <w:rPr>
          <w:szCs w:val="24"/>
        </w:rPr>
        <w:t xml:space="preserve"> the City’s unsuccessful efforts to pass legislation to amend its discriminatory zoning scheme, the City – including the Law Department, the same City agency responsible for defending this lawsuit </w:t>
      </w:r>
      <w:r w:rsidR="005A34C2">
        <w:rPr>
          <w:szCs w:val="24"/>
        </w:rPr>
        <w:t>–</w:t>
      </w:r>
      <w:r w:rsidRPr="00CD44A3">
        <w:rPr>
          <w:szCs w:val="24"/>
        </w:rPr>
        <w:t xml:space="preserve"> has conceded on multiple occasions that individuals who qualify for in-patient treatment have a disability and are entitle</w:t>
      </w:r>
      <w:r w:rsidR="00F32DDD">
        <w:rPr>
          <w:szCs w:val="24"/>
        </w:rPr>
        <w:t>d to coverage under the ADA.  In</w:t>
      </w:r>
      <w:r w:rsidRPr="00CD44A3">
        <w:rPr>
          <w:szCs w:val="24"/>
        </w:rPr>
        <w:t xml:space="preserve"> February 2008, George Nilson, the City’s Solicitor, stated in a memo to then-Mayor Sheila Dixon supporting the proposed bill’s passage that recovering addicts who require in-patient treatment are persons with disabilities: </w:t>
      </w:r>
    </w:p>
    <w:p w:rsidR="00B76C8F" w:rsidRPr="00CD44A3" w:rsidRDefault="00B76C8F" w:rsidP="00214618">
      <w:pPr>
        <w:ind w:left="720" w:right="720"/>
        <w:jc w:val="both"/>
        <w:rPr>
          <w:szCs w:val="24"/>
        </w:rPr>
      </w:pPr>
      <w:r w:rsidRPr="00CD44A3">
        <w:rPr>
          <w:szCs w:val="24"/>
        </w:rPr>
        <w:t>The effort here is by this legislation to put the types of licensed facilities (</w:t>
      </w:r>
      <w:r w:rsidRPr="00CD44A3">
        <w:rPr>
          <w:i/>
          <w:iCs/>
          <w:szCs w:val="24"/>
        </w:rPr>
        <w:t>whose residents are protected by the federal ADA</w:t>
      </w:r>
      <w:r w:rsidRPr="00CD44A3">
        <w:rPr>
          <w:szCs w:val="24"/>
        </w:rPr>
        <w:t>) in the same “status” as other facilities of comparable size and density so that it can no longer be said that these facilities are unlawfully restricted by the Zoning Code in a way that discriminates against populations protected by the ADA.</w:t>
      </w:r>
      <w:r w:rsidRPr="00CD44A3">
        <w:rPr>
          <w:rStyle w:val="FootnoteReference"/>
          <w:szCs w:val="24"/>
        </w:rPr>
        <w:footnoteReference w:id="106"/>
      </w:r>
      <w:r w:rsidRPr="00CD44A3">
        <w:rPr>
          <w:szCs w:val="24"/>
        </w:rPr>
        <w:t xml:space="preserve">  </w:t>
      </w:r>
    </w:p>
    <w:p w:rsidR="00B76C8F" w:rsidRPr="00CD44A3" w:rsidRDefault="00B76C8F" w:rsidP="00B76C8F">
      <w:pPr>
        <w:ind w:left="720"/>
        <w:rPr>
          <w:szCs w:val="24"/>
        </w:rPr>
      </w:pPr>
    </w:p>
    <w:p w:rsidR="00B76C8F" w:rsidRPr="00CD44A3" w:rsidRDefault="00B76C8F" w:rsidP="00B76C8F">
      <w:pPr>
        <w:spacing w:line="480" w:lineRule="auto"/>
        <w:rPr>
          <w:szCs w:val="24"/>
        </w:rPr>
      </w:pPr>
      <w:r w:rsidRPr="00CD44A3">
        <w:rPr>
          <w:szCs w:val="24"/>
        </w:rPr>
        <w:t>Again, at a May 7, 2008 public hearing on Baltimore City Council Bill 07-0002, Mr. Nilson admitted that individuals recovering from substance abuse are persons with disabilities.  When Councilwoman Mary Pat Clarke asked Nilson the following: “So if I’m a recovering or almost, I hope, pretty soon, recovering drug addicted person.  Am I covered by ADA?[,]” Nilson replied, “You are.”</w:t>
      </w:r>
      <w:r w:rsidRPr="00CD44A3">
        <w:rPr>
          <w:rStyle w:val="FootnoteReference"/>
          <w:szCs w:val="24"/>
        </w:rPr>
        <w:footnoteReference w:id="107"/>
      </w:r>
      <w:r w:rsidRPr="00CD44A3">
        <w:rPr>
          <w:szCs w:val="24"/>
        </w:rPr>
        <w:t xml:space="preserve">   </w:t>
      </w:r>
    </w:p>
    <w:p w:rsidR="00B76C8F" w:rsidRPr="00CD44A3" w:rsidRDefault="00B76C8F" w:rsidP="002A7DC5">
      <w:pPr>
        <w:pStyle w:val="ListParagraph"/>
        <w:numPr>
          <w:ilvl w:val="0"/>
          <w:numId w:val="11"/>
        </w:numPr>
        <w:ind w:left="2880" w:hanging="720"/>
        <w:outlineLvl w:val="3"/>
        <w:rPr>
          <w:szCs w:val="24"/>
          <w:u w:val="single"/>
        </w:rPr>
      </w:pPr>
      <w:bookmarkStart w:id="18" w:name="_Toc290573113"/>
      <w:r w:rsidRPr="00CD44A3">
        <w:rPr>
          <w:szCs w:val="24"/>
          <w:u w:val="single"/>
        </w:rPr>
        <w:t>Maryland’s regulatory scheme for licensed substance abuse treatment programs effectively requires that RSATP residents have a disability</w:t>
      </w:r>
      <w:bookmarkEnd w:id="18"/>
    </w:p>
    <w:p w:rsidR="00B76C8F" w:rsidRPr="00CD44A3" w:rsidRDefault="00B76C8F" w:rsidP="00B76C8F">
      <w:pPr>
        <w:tabs>
          <w:tab w:val="left" w:pos="720"/>
          <w:tab w:val="left" w:pos="1440"/>
          <w:tab w:val="left" w:pos="2160"/>
        </w:tabs>
        <w:ind w:left="2160" w:hanging="2160"/>
        <w:rPr>
          <w:szCs w:val="24"/>
        </w:rPr>
      </w:pPr>
    </w:p>
    <w:p w:rsidR="00B76C8F" w:rsidRPr="00CD44A3" w:rsidRDefault="00B76C8F" w:rsidP="00B76C8F">
      <w:pPr>
        <w:spacing w:line="480" w:lineRule="auto"/>
        <w:ind w:firstLine="720"/>
        <w:rPr>
          <w:szCs w:val="24"/>
        </w:rPr>
      </w:pPr>
      <w:r w:rsidRPr="00CD44A3">
        <w:rPr>
          <w:szCs w:val="24"/>
        </w:rPr>
        <w:t>Individuals who qualify for in-patient residential treatment in Baltimore City, based on Maryland state regulations, are not capable of returning to family or independent living, and thus are disabled because they are substantially limited in the major life activity of independently caring for one’s self.</w:t>
      </w:r>
      <w:r w:rsidRPr="00CD44A3">
        <w:rPr>
          <w:rStyle w:val="FootnoteReference"/>
          <w:szCs w:val="24"/>
        </w:rPr>
        <w:footnoteReference w:id="108"/>
      </w:r>
      <w:r w:rsidRPr="00CD44A3">
        <w:rPr>
          <w:szCs w:val="24"/>
        </w:rPr>
        <w:t xml:space="preserve">   At a minimum, Maryland regulations require that patients appropriate for residential treatment meet the American Society of Addiction Medicine Patient Placement Criteria (“ASAM”) for Level III.1.</w:t>
      </w:r>
      <w:r w:rsidRPr="00CD44A3">
        <w:rPr>
          <w:rStyle w:val="FootnoteReference"/>
          <w:szCs w:val="24"/>
        </w:rPr>
        <w:footnoteReference w:id="109"/>
      </w:r>
      <w:r w:rsidRPr="00CD44A3">
        <w:rPr>
          <w:szCs w:val="24"/>
        </w:rPr>
        <w:t xml:space="preserve">  These include meeting the definition of a Substance Dependence Disorder in the </w:t>
      </w:r>
      <w:r w:rsidRPr="00CD44A3">
        <w:rPr>
          <w:iCs/>
          <w:szCs w:val="24"/>
          <w:u w:val="single"/>
        </w:rPr>
        <w:t>Diagnostic and Statistical Manual of Mental Disorders</w:t>
      </w:r>
      <w:r w:rsidRPr="00CD44A3">
        <w:rPr>
          <w:i/>
          <w:iCs/>
          <w:szCs w:val="24"/>
        </w:rPr>
        <w:t xml:space="preserve"> </w:t>
      </w:r>
      <w:r w:rsidRPr="00CD44A3">
        <w:rPr>
          <w:szCs w:val="24"/>
        </w:rPr>
        <w:t>(“DSM”), and specifications in the six ASAM dimensions.</w:t>
      </w:r>
      <w:r w:rsidRPr="00CD44A3">
        <w:rPr>
          <w:rStyle w:val="FootnoteReference"/>
          <w:szCs w:val="24"/>
        </w:rPr>
        <w:footnoteReference w:id="110"/>
      </w:r>
      <w:r w:rsidRPr="00CD44A3">
        <w:rPr>
          <w:szCs w:val="24"/>
        </w:rPr>
        <w:t xml:space="preserve">  The most relevant ASAM dimensions specify that without the structured, 24-hour monitored environment, the patient would likely suffer a relapse or recovery would be unachievable.</w:t>
      </w:r>
      <w:r w:rsidRPr="00CD44A3">
        <w:rPr>
          <w:rStyle w:val="FootnoteReference"/>
          <w:szCs w:val="24"/>
        </w:rPr>
        <w:footnoteReference w:id="111"/>
      </w:r>
      <w:r w:rsidRPr="00CD44A3">
        <w:rPr>
          <w:szCs w:val="24"/>
        </w:rPr>
        <w:t xml:space="preserve">  The Maryland regulation also specifies that patients appropriate for residential treatment are not ready to return to family or independent living.</w:t>
      </w:r>
      <w:r w:rsidRPr="00CD44A3">
        <w:rPr>
          <w:rStyle w:val="FootnoteReference"/>
          <w:szCs w:val="24"/>
        </w:rPr>
        <w:footnoteReference w:id="112"/>
      </w:r>
      <w:r w:rsidRPr="00CD44A3">
        <w:rPr>
          <w:szCs w:val="24"/>
        </w:rPr>
        <w:t xml:space="preserve">  Thus, based on both the ASAM criteria required by the Maryland regulation, and the separate requirement of the Maryland regulation, patients placed in a Level III.1 facility cannot live with their family or by themselves without likely relapsing back to their addiction. </w:t>
      </w:r>
    </w:p>
    <w:p w:rsidR="00B76C8F" w:rsidRPr="00CD44A3" w:rsidRDefault="00B76C8F" w:rsidP="002A7DC5">
      <w:pPr>
        <w:pStyle w:val="ListParagraph"/>
        <w:numPr>
          <w:ilvl w:val="0"/>
          <w:numId w:val="11"/>
        </w:numPr>
        <w:ind w:left="2880" w:hanging="720"/>
        <w:outlineLvl w:val="3"/>
        <w:rPr>
          <w:szCs w:val="24"/>
        </w:rPr>
      </w:pPr>
      <w:bookmarkStart w:id="19" w:name="_Toc290573114"/>
      <w:r w:rsidRPr="00CD44A3">
        <w:rPr>
          <w:szCs w:val="24"/>
          <w:u w:val="single"/>
        </w:rPr>
        <w:t>Individuals requiring residential substance abuse treatment have a disability per federal case law.</w:t>
      </w:r>
      <w:bookmarkEnd w:id="19"/>
      <w:r w:rsidRPr="00CD44A3">
        <w:rPr>
          <w:szCs w:val="24"/>
        </w:rPr>
        <w:t xml:space="preserve"> </w:t>
      </w:r>
    </w:p>
    <w:p w:rsidR="00B76C8F" w:rsidRPr="00CD44A3" w:rsidRDefault="00B76C8F" w:rsidP="00B76C8F">
      <w:pPr>
        <w:tabs>
          <w:tab w:val="left" w:pos="720"/>
          <w:tab w:val="left" w:pos="1440"/>
          <w:tab w:val="left" w:pos="2160"/>
        </w:tabs>
        <w:ind w:left="2160" w:hanging="2160"/>
        <w:rPr>
          <w:szCs w:val="24"/>
        </w:rPr>
      </w:pPr>
    </w:p>
    <w:p w:rsidR="00B76C8F" w:rsidRPr="00CD44A3" w:rsidRDefault="00B76C8F" w:rsidP="00B76C8F">
      <w:pPr>
        <w:spacing w:line="480" w:lineRule="auto"/>
        <w:rPr>
          <w:szCs w:val="24"/>
        </w:rPr>
      </w:pPr>
      <w:r w:rsidRPr="00CD44A3">
        <w:rPr>
          <w:szCs w:val="24"/>
        </w:rPr>
        <w:tab/>
        <w:t xml:space="preserve">Individuals who qualify for in-patient residential treatment in Maryland have </w:t>
      </w:r>
      <w:r w:rsidR="00F32DDD">
        <w:rPr>
          <w:szCs w:val="24"/>
        </w:rPr>
        <w:t xml:space="preserve">an </w:t>
      </w:r>
      <w:r w:rsidR="00F32DDD" w:rsidRPr="00CD44A3">
        <w:rPr>
          <w:szCs w:val="24"/>
        </w:rPr>
        <w:t xml:space="preserve">“actual” </w:t>
      </w:r>
      <w:r w:rsidR="00F32DDD">
        <w:rPr>
          <w:szCs w:val="24"/>
        </w:rPr>
        <w:t>disability</w:t>
      </w:r>
      <w:r w:rsidRPr="00CD44A3">
        <w:rPr>
          <w:szCs w:val="24"/>
        </w:rPr>
        <w:t xml:space="preserve"> </w:t>
      </w:r>
      <w:r w:rsidR="00F32DDD">
        <w:rPr>
          <w:szCs w:val="24"/>
        </w:rPr>
        <w:t>as well as</w:t>
      </w:r>
      <w:r w:rsidRPr="00CD44A3">
        <w:rPr>
          <w:szCs w:val="24"/>
        </w:rPr>
        <w:t xml:space="preserve"> </w:t>
      </w:r>
      <w:r w:rsidR="00F32DDD">
        <w:rPr>
          <w:szCs w:val="24"/>
        </w:rPr>
        <w:t xml:space="preserve">a </w:t>
      </w:r>
      <w:r w:rsidRPr="00CD44A3">
        <w:rPr>
          <w:szCs w:val="24"/>
        </w:rPr>
        <w:t>“record of” disability.</w:t>
      </w:r>
      <w:r w:rsidRPr="00CD44A3">
        <w:rPr>
          <w:rStyle w:val="FootnoteReference"/>
          <w:szCs w:val="24"/>
        </w:rPr>
        <w:footnoteReference w:id="113"/>
      </w:r>
      <w:r w:rsidRPr="00CD44A3">
        <w:rPr>
          <w:szCs w:val="24"/>
        </w:rPr>
        <w:t xml:space="preserve">  To qualify for protection under the ADA as a person with an actual disability, an individual must have: (1) a physical or mental impairment (2) that substantially limits (3) a major life activity.</w:t>
      </w:r>
      <w:r w:rsidRPr="00CD44A3">
        <w:rPr>
          <w:rStyle w:val="FootnoteReference"/>
          <w:szCs w:val="24"/>
        </w:rPr>
        <w:footnoteReference w:id="114"/>
      </w:r>
      <w:r w:rsidRPr="00CD44A3">
        <w:rPr>
          <w:szCs w:val="24"/>
        </w:rPr>
        <w:t xml:space="preserve">  Drug addiction and alcoholism are impairments under the ADA regulations.</w:t>
      </w:r>
      <w:r w:rsidRPr="00CD44A3">
        <w:rPr>
          <w:rStyle w:val="FootnoteReference"/>
          <w:szCs w:val="24"/>
        </w:rPr>
        <w:footnoteReference w:id="115"/>
      </w:r>
      <w:r w:rsidRPr="00CD44A3">
        <w:rPr>
          <w:szCs w:val="24"/>
        </w:rPr>
        <w:t xml:space="preserve">  Next, the addiction must substantially limit a major life activity.  Courts have found that addiction qualifies as substantially limiting because it results in significant limitations and is long-term.</w:t>
      </w:r>
      <w:r w:rsidRPr="00CD44A3">
        <w:rPr>
          <w:rStyle w:val="FootnoteReference"/>
          <w:szCs w:val="24"/>
        </w:rPr>
        <w:footnoteReference w:id="116"/>
      </w:r>
      <w:r w:rsidRPr="00CD44A3">
        <w:rPr>
          <w:szCs w:val="24"/>
        </w:rPr>
        <w:t xml:space="preserve">  </w:t>
      </w:r>
    </w:p>
    <w:p w:rsidR="00B76C8F" w:rsidRPr="00CD44A3" w:rsidRDefault="00B76C8F" w:rsidP="00B76C8F">
      <w:pPr>
        <w:pStyle w:val="FootnoteText"/>
        <w:spacing w:line="480" w:lineRule="auto"/>
        <w:rPr>
          <w:szCs w:val="24"/>
        </w:rPr>
      </w:pPr>
      <w:r w:rsidRPr="00CD44A3">
        <w:rPr>
          <w:szCs w:val="24"/>
        </w:rPr>
        <w:t>The third element, a major life activity, is defined in the regulations as including “functions such as caring for one’s self, performing manual tasks, walking, seeing, hearing, speaking, breathing, learning, and working.”</w:t>
      </w:r>
      <w:r w:rsidRPr="00CD44A3">
        <w:rPr>
          <w:rStyle w:val="FootnoteReference"/>
          <w:szCs w:val="24"/>
        </w:rPr>
        <w:footnoteReference w:id="117"/>
      </w:r>
      <w:r w:rsidRPr="00CD44A3">
        <w:rPr>
          <w:szCs w:val="24"/>
        </w:rPr>
        <w:t xml:space="preserve">  The Fourth Circuit, in a case involving zoning of a drug treatment facility, recognized that caring for one’s self, working, and learning are major life activities.</w:t>
      </w:r>
      <w:r w:rsidRPr="00CD44A3">
        <w:rPr>
          <w:rStyle w:val="FootnoteReference"/>
          <w:szCs w:val="24"/>
        </w:rPr>
        <w:footnoteReference w:id="118"/>
      </w:r>
      <w:r w:rsidRPr="00CD44A3">
        <w:rPr>
          <w:szCs w:val="24"/>
        </w:rPr>
        <w:t xml:space="preserve">  Caring for one’s self includes “normal activities of daily living; including feeding oneself, driving, grooming and cleaning home.”</w:t>
      </w:r>
      <w:r w:rsidRPr="00CD44A3">
        <w:rPr>
          <w:rStyle w:val="FootnoteReference"/>
          <w:szCs w:val="24"/>
        </w:rPr>
        <w:footnoteReference w:id="119"/>
      </w:r>
      <w:r w:rsidRPr="00CD44A3">
        <w:rPr>
          <w:szCs w:val="24"/>
        </w:rPr>
        <w:t xml:space="preserve"> </w:t>
      </w:r>
      <w:r w:rsidRPr="00CD44A3">
        <w:rPr>
          <w:iCs/>
          <w:szCs w:val="24"/>
        </w:rPr>
        <w:t xml:space="preserve"> </w:t>
      </w:r>
    </w:p>
    <w:p w:rsidR="00B76C8F" w:rsidRPr="00CD44A3" w:rsidRDefault="00B76C8F" w:rsidP="00B76C8F">
      <w:pPr>
        <w:pStyle w:val="FootnoteText"/>
        <w:spacing w:line="480" w:lineRule="auto"/>
      </w:pPr>
      <w:r w:rsidRPr="00CD44A3">
        <w:rPr>
          <w:szCs w:val="24"/>
        </w:rPr>
        <w:t>Courts have routinely found that individuals’ addictions substantially limit their major life activities.</w:t>
      </w:r>
      <w:r w:rsidRPr="00CD44A3">
        <w:rPr>
          <w:rStyle w:val="FootnoteReference"/>
          <w:szCs w:val="24"/>
        </w:rPr>
        <w:footnoteReference w:id="120"/>
      </w:r>
      <w:r w:rsidRPr="00CD44A3">
        <w:rPr>
          <w:szCs w:val="24"/>
        </w:rPr>
        <w:t xml:space="preserve">  To determine whether residents of a treatment program had a disability, the Second Circuit relied on state regulations that prescribed admission criteria to a substance abuse treatment program.</w:t>
      </w:r>
      <w:r w:rsidRPr="00CD44A3">
        <w:rPr>
          <w:rStyle w:val="FootnoteReference"/>
          <w:szCs w:val="24"/>
        </w:rPr>
        <w:footnoteReference w:id="121"/>
      </w:r>
      <w:r w:rsidRPr="00CD44A3">
        <w:rPr>
          <w:szCs w:val="24"/>
        </w:rPr>
        <w:t xml:space="preserve">  The Second Circuit noted that under state law, individuals could only be admitted to the halfway house who “had been diagnosed as suffering from alcohol dependence” and “were determined to be unable to abstain without continued care in a structured supportive setting,” among other criteria.</w:t>
      </w:r>
      <w:r w:rsidRPr="00CD44A3">
        <w:rPr>
          <w:rStyle w:val="FootnoteReference"/>
          <w:szCs w:val="24"/>
        </w:rPr>
        <w:footnoteReference w:id="122"/>
      </w:r>
      <w:r w:rsidRPr="00CD44A3">
        <w:rPr>
          <w:szCs w:val="24"/>
        </w:rPr>
        <w:t xml:space="preserve">  Given these state-mandated admission criteria, the court found that individuals entitled to enter the halfway house had a disability because their addictions substantially limited their ability to live independently and to live with their families.</w:t>
      </w:r>
      <w:r w:rsidRPr="00CD44A3">
        <w:rPr>
          <w:rStyle w:val="FootnoteReference"/>
          <w:szCs w:val="24"/>
        </w:rPr>
        <w:footnoteReference w:id="123"/>
      </w:r>
      <w:r w:rsidRPr="00CD44A3">
        <w:rPr>
          <w:szCs w:val="24"/>
        </w:rPr>
        <w:t xml:space="preserve">  </w:t>
      </w:r>
    </w:p>
    <w:p w:rsidR="007C7343" w:rsidRDefault="00B76C8F" w:rsidP="00B76C8F">
      <w:pPr>
        <w:spacing w:line="480" w:lineRule="auto"/>
        <w:rPr>
          <w:szCs w:val="24"/>
        </w:rPr>
      </w:pPr>
      <w:r w:rsidRPr="00CD44A3">
        <w:rPr>
          <w:szCs w:val="24"/>
        </w:rPr>
        <w:t xml:space="preserve"> </w:t>
      </w:r>
      <w:r w:rsidRPr="00CD44A3">
        <w:rPr>
          <w:szCs w:val="24"/>
        </w:rPr>
        <w:tab/>
        <w:t xml:space="preserve">Similarly, individuals who qualify for in-patient residential treatment in Baltimore City have an actual disability based on Maryland state regulations.  They are not capable of returning to family or independent living, and thus are substantially limited in the major life activity of independently caring for </w:t>
      </w:r>
      <w:r w:rsidR="00F32DDD">
        <w:rPr>
          <w:szCs w:val="24"/>
        </w:rPr>
        <w:t>themselves</w:t>
      </w:r>
      <w:r w:rsidRPr="00CD44A3">
        <w:rPr>
          <w:szCs w:val="24"/>
        </w:rPr>
        <w:t>.</w:t>
      </w:r>
      <w:r w:rsidRPr="00CD44A3">
        <w:rPr>
          <w:rStyle w:val="FootnoteReference"/>
          <w:szCs w:val="24"/>
        </w:rPr>
        <w:footnoteReference w:id="124"/>
      </w:r>
      <w:r w:rsidRPr="00CD44A3">
        <w:rPr>
          <w:szCs w:val="24"/>
        </w:rPr>
        <w:t xml:space="preserve">  These individuals lack the coping skills and ability to live independently without relapsing, and the </w:t>
      </w:r>
      <w:r w:rsidR="00F32DDD">
        <w:rPr>
          <w:szCs w:val="24"/>
        </w:rPr>
        <w:t>need to reside</w:t>
      </w:r>
      <w:r w:rsidRPr="00CD44A3">
        <w:rPr>
          <w:szCs w:val="24"/>
        </w:rPr>
        <w:t xml:space="preserve"> in a 24-hour staffed environment is to attain the skills to transition to living independently.</w:t>
      </w:r>
      <w:r w:rsidRPr="00CD44A3">
        <w:rPr>
          <w:rStyle w:val="FootnoteReference"/>
          <w:szCs w:val="24"/>
        </w:rPr>
        <w:footnoteReference w:id="125"/>
      </w:r>
      <w:r w:rsidRPr="00CD44A3">
        <w:rPr>
          <w:szCs w:val="24"/>
        </w:rPr>
        <w:t xml:space="preserve">  </w:t>
      </w:r>
      <w:r w:rsidRPr="00CD44A3">
        <w:t>For these same reasons, individuals in need of in-patient substance abuse treatment also have a “record of” disability under the ADA.</w:t>
      </w:r>
      <w:r w:rsidRPr="00CD44A3">
        <w:rPr>
          <w:rStyle w:val="FootnoteReference"/>
        </w:rPr>
        <w:footnoteReference w:id="126"/>
      </w:r>
      <w:r w:rsidRPr="00CD44A3">
        <w:t xml:space="preserve">  </w:t>
      </w:r>
      <w:r w:rsidRPr="00CD44A3">
        <w:rPr>
          <w:szCs w:val="24"/>
        </w:rPr>
        <w:t>Courts have routinely found that recovering addicts have a record of disability and are thus covered by the ADA.</w:t>
      </w:r>
      <w:r w:rsidRPr="00CD44A3">
        <w:rPr>
          <w:rStyle w:val="FootnoteReference"/>
          <w:szCs w:val="24"/>
        </w:rPr>
        <w:footnoteReference w:id="127"/>
      </w:r>
    </w:p>
    <w:p w:rsidR="007C7343" w:rsidRDefault="007C7343">
      <w:pPr>
        <w:rPr>
          <w:szCs w:val="24"/>
        </w:rPr>
      </w:pPr>
      <w:r>
        <w:rPr>
          <w:szCs w:val="24"/>
        </w:rPr>
        <w:br w:type="page"/>
      </w:r>
    </w:p>
    <w:p w:rsidR="00B76C8F" w:rsidRPr="00CD44A3" w:rsidRDefault="00B76C8F" w:rsidP="000B6C37">
      <w:pPr>
        <w:pStyle w:val="ListParagraph"/>
        <w:numPr>
          <w:ilvl w:val="0"/>
          <w:numId w:val="10"/>
        </w:numPr>
        <w:spacing w:after="240"/>
        <w:ind w:left="2160" w:hanging="720"/>
        <w:outlineLvl w:val="2"/>
        <w:rPr>
          <w:u w:val="single"/>
        </w:rPr>
      </w:pPr>
      <w:bookmarkStart w:id="20" w:name="_Toc290573115"/>
      <w:r w:rsidRPr="00CD44A3">
        <w:rPr>
          <w:u w:val="single"/>
        </w:rPr>
        <w:t xml:space="preserve">The CO </w:t>
      </w:r>
      <w:r w:rsidRPr="00CD44A3">
        <w:rPr>
          <w:szCs w:val="24"/>
          <w:u w:val="single"/>
        </w:rPr>
        <w:t>Requirement</w:t>
      </w:r>
      <w:r w:rsidRPr="00CD44A3">
        <w:rPr>
          <w:u w:val="single"/>
        </w:rPr>
        <w:t xml:space="preserve"> for RSATPs Violates the ADA Because it is Facially Discriminatory</w:t>
      </w:r>
      <w:bookmarkEnd w:id="20"/>
    </w:p>
    <w:p w:rsidR="00B76C8F" w:rsidRPr="00E174C2" w:rsidRDefault="00E174C2" w:rsidP="00E174C2">
      <w:pPr>
        <w:spacing w:line="480" w:lineRule="auto"/>
        <w:ind w:firstLine="720"/>
        <w:rPr>
          <w:szCs w:val="24"/>
        </w:rPr>
      </w:pPr>
      <w:r w:rsidRPr="00CD44A3">
        <w:rPr>
          <w:szCs w:val="24"/>
        </w:rPr>
        <w:t>A</w:t>
      </w:r>
      <w:r w:rsidRPr="00CD44A3">
        <w:t xml:space="preserve"> zoning law is facially discriminatory if it subjects drug treatment programs to more restrictive standards than other comparable facilities.</w:t>
      </w:r>
      <w:r w:rsidRPr="00CD44A3">
        <w:rPr>
          <w:rStyle w:val="FootnoteReference"/>
        </w:rPr>
        <w:footnoteReference w:id="128"/>
      </w:r>
      <w:r w:rsidRPr="00CD44A3">
        <w:t xml:space="preserve">  Such a zoning law violates the ADA unless the treatment program can be shown to pose a </w:t>
      </w:r>
      <w:r w:rsidR="00FE7F5D">
        <w:t xml:space="preserve">direct threat or </w:t>
      </w:r>
      <w:r w:rsidRPr="00CD44A3">
        <w:t>significant risk to the health or safety of others.</w:t>
      </w:r>
      <w:r w:rsidRPr="00CD44A3">
        <w:rPr>
          <w:rStyle w:val="FootnoteReference"/>
        </w:rPr>
        <w:footnoteReference w:id="129"/>
      </w:r>
      <w:r w:rsidRPr="00CD44A3">
        <w:t xml:space="preserve"> </w:t>
      </w:r>
      <w:r>
        <w:t xml:space="preserve"> </w:t>
      </w:r>
      <w:r w:rsidR="00B76C8F" w:rsidRPr="00CD44A3">
        <w:rPr>
          <w:szCs w:val="24"/>
        </w:rPr>
        <w:t>The City’s CO requirement for “homes for nonbedridden alcoholics” is facially discriminatory because: (1) residential substance abuse treatment programs are subjected to more restrictive zoning standards than comparable residential facilities; and (2) individuals in residential substance abuse programs do not pose a direct threat to the health or safety of others that would just</w:t>
      </w:r>
      <w:r w:rsidR="00F32DDD">
        <w:rPr>
          <w:szCs w:val="24"/>
        </w:rPr>
        <w:t>ify more burdensome treatment.</w:t>
      </w:r>
    </w:p>
    <w:p w:rsidR="00B76C8F" w:rsidRPr="00CD44A3" w:rsidRDefault="00B76C8F" w:rsidP="00B76C8F">
      <w:pPr>
        <w:spacing w:line="480" w:lineRule="auto"/>
        <w:rPr>
          <w:szCs w:val="24"/>
        </w:rPr>
      </w:pPr>
      <w:r w:rsidRPr="00CD44A3">
        <w:tab/>
      </w:r>
      <w:r w:rsidR="0023534C">
        <w:t>T</w:t>
      </w:r>
      <w:r w:rsidRPr="00CD44A3">
        <w:t xml:space="preserve">hree different circuits </w:t>
      </w:r>
      <w:r w:rsidR="0023534C">
        <w:t xml:space="preserve">have </w:t>
      </w:r>
      <w:r w:rsidRPr="00CD44A3">
        <w:t xml:space="preserve">held that zoning restrictions </w:t>
      </w:r>
      <w:r w:rsidR="0023534C">
        <w:t xml:space="preserve">on methadone clinics </w:t>
      </w:r>
      <w:r w:rsidRPr="00CD44A3">
        <w:t xml:space="preserve">were facially discriminatory because they did not apply equally to comparable programs for people without disabilities.  </w:t>
      </w:r>
      <w:r w:rsidRPr="00C33C55">
        <w:t xml:space="preserve">In </w:t>
      </w:r>
      <w:r w:rsidRPr="00C33C55">
        <w:rPr>
          <w:u w:val="single"/>
        </w:rPr>
        <w:t>New Directions</w:t>
      </w:r>
      <w:r w:rsidR="00C33C55" w:rsidRPr="00C33C55">
        <w:rPr>
          <w:u w:val="single"/>
        </w:rPr>
        <w:t xml:space="preserve"> Treatment Servs. v. City of Reading, </w:t>
      </w:r>
      <w:r w:rsidR="00C33C55" w:rsidRPr="00C33C55">
        <w:t>490 F.3d 293 (3d Cir. 2007)</w:t>
      </w:r>
      <w:r w:rsidRPr="00C33C55">
        <w:t xml:space="preserve">, </w:t>
      </w:r>
      <w:r w:rsidRPr="00CD44A3">
        <w:t>the plaintiff sought to locate a methadone clinic.</w:t>
      </w:r>
      <w:r w:rsidRPr="00CD44A3">
        <w:rPr>
          <w:rStyle w:val="FootnoteReference"/>
        </w:rPr>
        <w:footnoteReference w:id="130"/>
      </w:r>
      <w:r w:rsidRPr="00CD44A3">
        <w:t xml:space="preserve">  The city denied a permit to the plaintiff, relying on a Pennsylvania statute that prohibited methadone clinics from locating within 500 feet of a school, playground, park, residential area, child-care facility, or place of worship, except by approval of the locality’s governing body.</w:t>
      </w:r>
      <w:r w:rsidRPr="00CD44A3">
        <w:rPr>
          <w:rStyle w:val="FootnoteReference"/>
        </w:rPr>
        <w:footnoteReference w:id="131"/>
      </w:r>
      <w:r w:rsidRPr="00CD44A3">
        <w:t xml:space="preserve">  The Third Circuit held that the Pennsylvania statute “facially singles out methadone clinics, and thereby methadone patients, for different treatment, thereby rendering the statute facially discriminatory” under the ADA.</w:t>
      </w:r>
      <w:r w:rsidRPr="00CD44A3">
        <w:rPr>
          <w:rStyle w:val="FootnoteReference"/>
        </w:rPr>
        <w:footnoteReference w:id="132"/>
      </w:r>
      <w:r w:rsidRPr="00CD44A3">
        <w:t xml:space="preserve">  </w:t>
      </w:r>
      <w:r w:rsidRPr="00CD44A3">
        <w:rPr>
          <w:szCs w:val="24"/>
        </w:rPr>
        <w:t>The court then determined that the methadone clients did not pose a significant risk.</w:t>
      </w:r>
      <w:r w:rsidRPr="00CD44A3">
        <w:rPr>
          <w:rStyle w:val="FootnoteReference"/>
          <w:sz w:val="22"/>
          <w:szCs w:val="22"/>
        </w:rPr>
        <w:footnoteReference w:id="133"/>
      </w:r>
      <w:r w:rsidRPr="00CD44A3">
        <w:rPr>
          <w:szCs w:val="24"/>
        </w:rPr>
        <w:t xml:space="preserve">  The Court thus concluded that the ordinance violated the ADA and remanded with instructions that the district court grant the plaintiff’s motion for partial summary judgment.</w:t>
      </w:r>
      <w:r w:rsidRPr="00CD44A3">
        <w:rPr>
          <w:rStyle w:val="FootnoteReference"/>
          <w:szCs w:val="24"/>
        </w:rPr>
        <w:footnoteReference w:id="134"/>
      </w:r>
    </w:p>
    <w:p w:rsidR="00B76C8F" w:rsidRPr="00CD44A3" w:rsidRDefault="00B76C8F" w:rsidP="000631F4">
      <w:pPr>
        <w:widowControl w:val="0"/>
        <w:spacing w:line="480" w:lineRule="auto"/>
        <w:ind w:firstLine="720"/>
      </w:pPr>
      <w:r w:rsidRPr="00CD44A3">
        <w:t xml:space="preserve">In </w:t>
      </w:r>
      <w:r w:rsidR="00C33C55" w:rsidRPr="00C33C55">
        <w:rPr>
          <w:szCs w:val="24"/>
          <w:u w:val="single"/>
        </w:rPr>
        <w:t>Bay Area Addiction Research and Treatment, Inc. v. City of Antioch</w:t>
      </w:r>
      <w:r w:rsidR="00C33C55" w:rsidRPr="00C33C55">
        <w:rPr>
          <w:noProof/>
          <w:szCs w:val="24"/>
        </w:rPr>
        <w:t>,</w:t>
      </w:r>
      <w:r w:rsidR="00C33C55">
        <w:rPr>
          <w:noProof/>
          <w:szCs w:val="24"/>
        </w:rPr>
        <w:t xml:space="preserve"> </w:t>
      </w:r>
      <w:r w:rsidR="00C33C55" w:rsidRPr="00C33C55">
        <w:rPr>
          <w:szCs w:val="24"/>
        </w:rPr>
        <w:t>179 F.3</w:t>
      </w:r>
      <w:r w:rsidR="00C33C55">
        <w:rPr>
          <w:szCs w:val="24"/>
        </w:rPr>
        <w:t xml:space="preserve">d 725 </w:t>
      </w:r>
      <w:r w:rsidR="00C33C55" w:rsidRPr="00C33C55">
        <w:rPr>
          <w:szCs w:val="24"/>
        </w:rPr>
        <w:t>(9th Cir. 1999)</w:t>
      </w:r>
      <w:r w:rsidRPr="00CD44A3">
        <w:t>, the operator and patients of a methadone clinic sued the City of Antioch after it adopted an ordinance prohibiting methadone clinics from locating within 500 feet of any residential property.</w:t>
      </w:r>
      <w:r w:rsidRPr="00CD44A3">
        <w:rPr>
          <w:rStyle w:val="FootnoteReference"/>
        </w:rPr>
        <w:footnoteReference w:id="135"/>
      </w:r>
      <w:r w:rsidRPr="00CD44A3">
        <w:t xml:space="preserve">  The Ninth Circuit concluded that the ordinance was facially discriminatory and a </w:t>
      </w:r>
      <w:r w:rsidRPr="00CD44A3">
        <w:rPr>
          <w:u w:val="single"/>
        </w:rPr>
        <w:t>per se</w:t>
      </w:r>
      <w:r w:rsidRPr="00CD44A3">
        <w:t xml:space="preserve"> violation of title II of the ADA, </w:t>
      </w:r>
      <w:r w:rsidR="00377A22" w:rsidRPr="00CD44A3">
        <w:fldChar w:fldCharType="begin"/>
      </w:r>
      <w:r w:rsidRPr="00CD44A3">
        <w:instrText xml:space="preserve"> TA \l "42 USC § 12132" \s "WSFTA_048938ad3f1f499985f0ce8d6c0d09c7" \c 6 </w:instrText>
      </w:r>
      <w:r w:rsidR="00377A22" w:rsidRPr="00CD44A3">
        <w:fldChar w:fldCharType="end"/>
      </w:r>
      <w:r w:rsidRPr="00CD44A3">
        <w:t>42 USC § 12132, because it subjected methadone clinics, but not other medical clinics, to a spacing limitation.</w:t>
      </w:r>
      <w:r w:rsidRPr="00CD44A3">
        <w:rPr>
          <w:rStyle w:val="FootnoteReference"/>
        </w:rPr>
        <w:footnoteReference w:id="136"/>
      </w:r>
      <w:r w:rsidRPr="00CD44A3">
        <w:t xml:space="preserve">  Having reached this conclusion, the Ninth Circuit said that the only remaining inquiry in determining the City’s liability under the ADA was whether the individuals treated at the methadone clinic pose a significant risk to the health or safety of others.</w:t>
      </w:r>
      <w:r w:rsidRPr="00CD44A3">
        <w:rPr>
          <w:rStyle w:val="FootnoteReference"/>
        </w:rPr>
        <w:footnoteReference w:id="137"/>
      </w:r>
      <w:r w:rsidRPr="00CD44A3">
        <w:t xml:space="preserve">  The Ninth Circuit remanded with instructions that the district court reconsider the motion in light of the significant risk test.</w:t>
      </w:r>
      <w:r w:rsidRPr="00CD44A3">
        <w:rPr>
          <w:rStyle w:val="FootnoteReference"/>
        </w:rPr>
        <w:footnoteReference w:id="138"/>
      </w:r>
      <w:r w:rsidRPr="00CD44A3">
        <w:t xml:space="preserve">  Upon remand, the district court found that the</w:t>
      </w:r>
      <w:r w:rsidR="0023534C">
        <w:t xml:space="preserve"> clinic</w:t>
      </w:r>
      <w:r w:rsidRPr="00CD44A3">
        <w:t xml:space="preserve"> did not pose a significant threat to the surrounding community and enjoined the defendant from implementing the ordinance.</w:t>
      </w:r>
      <w:r w:rsidRPr="00CD44A3">
        <w:rPr>
          <w:rStyle w:val="FootnoteReference"/>
        </w:rPr>
        <w:footnoteReference w:id="139"/>
      </w:r>
      <w:r w:rsidRPr="00CD44A3">
        <w:t xml:space="preserve">  </w:t>
      </w:r>
    </w:p>
    <w:p w:rsidR="00B76C8F" w:rsidRPr="00CD44A3" w:rsidRDefault="00B76C8F" w:rsidP="00B76C8F">
      <w:pPr>
        <w:spacing w:line="480" w:lineRule="auto"/>
        <w:rPr>
          <w:u w:val="single"/>
        </w:rPr>
      </w:pPr>
      <w:r w:rsidRPr="00CD44A3">
        <w:tab/>
      </w:r>
      <w:r w:rsidRPr="00AB369D">
        <w:rPr>
          <w:szCs w:val="24"/>
        </w:rPr>
        <w:t xml:space="preserve">In </w:t>
      </w:r>
      <w:r w:rsidRPr="00AB369D">
        <w:rPr>
          <w:szCs w:val="24"/>
          <w:u w:val="single"/>
        </w:rPr>
        <w:t>MX Group</w:t>
      </w:r>
      <w:r w:rsidR="00AB369D" w:rsidRPr="00AB369D">
        <w:rPr>
          <w:szCs w:val="24"/>
          <w:u w:val="single"/>
        </w:rPr>
        <w:t>, Inc. v. City of Covington</w:t>
      </w:r>
      <w:r w:rsidRPr="00AB369D">
        <w:rPr>
          <w:szCs w:val="24"/>
        </w:rPr>
        <w:t xml:space="preserve">, </w:t>
      </w:r>
      <w:r w:rsidR="00AB369D" w:rsidRPr="00AB369D">
        <w:rPr>
          <w:szCs w:val="24"/>
        </w:rPr>
        <w:t xml:space="preserve">293 F.3d 326 (6th Cir. 2002), </w:t>
      </w:r>
      <w:r w:rsidR="0023534C">
        <w:rPr>
          <w:szCs w:val="24"/>
        </w:rPr>
        <w:t>the c</w:t>
      </w:r>
      <w:r w:rsidRPr="00AB369D">
        <w:rPr>
          <w:szCs w:val="24"/>
        </w:rPr>
        <w:t>ity would not permit the plaintiff to locate a methadone clinic, in response to community opposition.</w:t>
      </w:r>
      <w:r w:rsidRPr="00AB369D">
        <w:rPr>
          <w:rStyle w:val="FootnoteReference"/>
          <w:szCs w:val="24"/>
        </w:rPr>
        <w:footnoteReference w:id="140"/>
      </w:r>
      <w:r w:rsidRPr="00AB369D">
        <w:rPr>
          <w:szCs w:val="24"/>
        </w:rPr>
        <w:t xml:space="preserve">  The city then adopted </w:t>
      </w:r>
      <w:r w:rsidR="0023534C">
        <w:rPr>
          <w:szCs w:val="24"/>
        </w:rPr>
        <w:t>an amendment to the zoning code</w:t>
      </w:r>
      <w:r w:rsidRPr="00AB369D">
        <w:rPr>
          <w:szCs w:val="24"/>
        </w:rPr>
        <w:t xml:space="preserve"> limiting the number of addiction treatment</w:t>
      </w:r>
      <w:r w:rsidRPr="00CD44A3">
        <w:t xml:space="preserve"> facilities to one facility for every 20,000 persons in the city, which completely foreclosed the plaintiff’s opportunity to locate in the city.</w:t>
      </w:r>
      <w:r w:rsidRPr="00CD44A3">
        <w:rPr>
          <w:rStyle w:val="FootnoteReference"/>
        </w:rPr>
        <w:footnoteReference w:id="141"/>
      </w:r>
      <w:r w:rsidRPr="00CD44A3">
        <w:t xml:space="preserve">  The district court entered judgment for the plaintiff following a bench trial.  The Sixth Circuit affirmed the district court’s judgment and agreed that the ordinance was facially discriminatory.</w:t>
      </w:r>
      <w:r w:rsidRPr="00CD44A3">
        <w:rPr>
          <w:rStyle w:val="FootnoteReference"/>
        </w:rPr>
        <w:footnoteReference w:id="142"/>
      </w:r>
      <w:r w:rsidRPr="00CD44A3">
        <w:t xml:space="preserve">  The court also found that there was ample evidence that methadone clinics </w:t>
      </w:r>
      <w:r w:rsidR="0023534C">
        <w:t>did not create a greater risk</w:t>
      </w:r>
      <w:r w:rsidRPr="00CD44A3">
        <w:t xml:space="preserve"> of drug trafficking and diversion than other facilities that deal with lawfully administered drugs, such as hospitals and pharmacies, and that the plaintiff’s other clinic in another state had operated without incident of criminal activity.</w:t>
      </w:r>
      <w:r w:rsidRPr="00CD44A3">
        <w:rPr>
          <w:rStyle w:val="FootnoteReference"/>
        </w:rPr>
        <w:footnoteReference w:id="143"/>
      </w:r>
      <w:r w:rsidRPr="00CD44A3">
        <w:t xml:space="preserve">  Thus, the Sixth Circuit concluded that the district court correctly found that the city’s decision to amend the zoning code to </w:t>
      </w:r>
      <w:r w:rsidR="0023534C">
        <w:t>prevent</w:t>
      </w:r>
      <w:r w:rsidRPr="00CD44A3">
        <w:t xml:space="preserve"> the plaintiff from operating anywhere in the city violated the ADA.</w:t>
      </w:r>
      <w:r w:rsidRPr="00CD44A3">
        <w:rPr>
          <w:rStyle w:val="FootnoteReference"/>
        </w:rPr>
        <w:footnoteReference w:id="144"/>
      </w:r>
    </w:p>
    <w:p w:rsidR="00B76C8F" w:rsidRPr="00CD44A3" w:rsidRDefault="00B76C8F" w:rsidP="002A7DC5">
      <w:pPr>
        <w:pStyle w:val="ListParagraph"/>
        <w:numPr>
          <w:ilvl w:val="0"/>
          <w:numId w:val="12"/>
        </w:numPr>
        <w:ind w:left="2880" w:hanging="720"/>
        <w:outlineLvl w:val="3"/>
        <w:rPr>
          <w:u w:val="single"/>
        </w:rPr>
      </w:pPr>
      <w:bookmarkStart w:id="21" w:name="_Toc290573116"/>
      <w:r w:rsidRPr="00CD44A3">
        <w:rPr>
          <w:u w:val="single"/>
        </w:rPr>
        <w:t xml:space="preserve">Comparable Uses to </w:t>
      </w:r>
      <w:r w:rsidRPr="00CD44A3">
        <w:rPr>
          <w:szCs w:val="24"/>
          <w:u w:val="single"/>
        </w:rPr>
        <w:t>RSATPs</w:t>
      </w:r>
      <w:r w:rsidRPr="00CD44A3">
        <w:rPr>
          <w:u w:val="single"/>
        </w:rPr>
        <w:t xml:space="preserve"> are </w:t>
      </w:r>
      <w:r w:rsidRPr="00CD44A3">
        <w:rPr>
          <w:szCs w:val="24"/>
          <w:u w:val="single"/>
        </w:rPr>
        <w:t>Permitted</w:t>
      </w:r>
      <w:r w:rsidRPr="00CD44A3">
        <w:rPr>
          <w:u w:val="single"/>
        </w:rPr>
        <w:t xml:space="preserve"> to Locate as of Right Under the Zoning Code.</w:t>
      </w:r>
      <w:bookmarkEnd w:id="21"/>
    </w:p>
    <w:p w:rsidR="00B76C8F" w:rsidRPr="00CD44A3" w:rsidRDefault="00B76C8F" w:rsidP="00B76C8F"/>
    <w:p w:rsidR="00B76C8F" w:rsidRPr="00CD44A3" w:rsidRDefault="00B76C8F" w:rsidP="00B76C8F">
      <w:pPr>
        <w:spacing w:line="480" w:lineRule="auto"/>
      </w:pPr>
      <w:r w:rsidRPr="00CD44A3">
        <w:tab/>
        <w:t xml:space="preserve">Unlike (1) group homes for individuals with mental illness and developmental disabilities, (2) hospitals, and (3) single-family and multiple-family dwellings, which are permitted to locate as of right in zones of appropriate density, </w:t>
      </w:r>
      <w:r w:rsidR="000B1D1B">
        <w:t>“homes for nonbedridden alcoholics”</w:t>
      </w:r>
      <w:r w:rsidRPr="00CD44A3">
        <w:t xml:space="preserve"> must get a CO to locate anywhere in the City.  Like the methadone clinics in </w:t>
      </w:r>
      <w:r w:rsidRPr="00CD44A3">
        <w:rPr>
          <w:u w:val="single"/>
        </w:rPr>
        <w:t>Bay Area</w:t>
      </w:r>
      <w:r w:rsidRPr="00CD44A3">
        <w:t xml:space="preserve"> and </w:t>
      </w:r>
      <w:r w:rsidRPr="00CD44A3">
        <w:rPr>
          <w:u w:val="single"/>
        </w:rPr>
        <w:t>New Directions</w:t>
      </w:r>
      <w:r w:rsidRPr="00CD44A3">
        <w:t xml:space="preserve"> that were not allowed to locate within 500 feet of certain property, residential drug treatment programs in Baltimore are not allowed to locate </w:t>
      </w:r>
      <w:r w:rsidRPr="00CD44A3">
        <w:rPr>
          <w:i/>
        </w:rPr>
        <w:t xml:space="preserve">anywhere </w:t>
      </w:r>
      <w:r w:rsidRPr="00CD44A3">
        <w:t>unless they get the approval of the City Council.  Such approval is much more difficult to get, time-consuming, and costly, than a permit as of right.</w:t>
      </w:r>
      <w:r w:rsidRPr="00CD44A3">
        <w:rPr>
          <w:rStyle w:val="FootnoteReference"/>
        </w:rPr>
        <w:footnoteReference w:id="145"/>
      </w:r>
      <w:r w:rsidRPr="00CD44A3">
        <w:t xml:space="preserve">  In contrast, uses comparable to RSATPs, such as group homes for individuals with mental illness and developmental disabilities, hospitals, single-family dwellings, and multiple-family dwellings, are permitted to locate as of right in zones of appropriate density.  </w:t>
      </w:r>
    </w:p>
    <w:p w:rsidR="00B76C8F" w:rsidRPr="00CD44A3" w:rsidRDefault="00B76C8F" w:rsidP="00B76C8F">
      <w:pPr>
        <w:spacing w:line="480" w:lineRule="auto"/>
        <w:ind w:firstLine="720"/>
      </w:pPr>
      <w:r w:rsidRPr="00CD44A3">
        <w:rPr>
          <w:i/>
        </w:rPr>
        <w:t>First</w:t>
      </w:r>
      <w:r w:rsidRPr="00CD44A3">
        <w:t xml:space="preserve">, and most starkly, group homes for individuals with mental illness and developmental disabilities </w:t>
      </w:r>
      <w:r w:rsidR="005A34C2">
        <w:t>–</w:t>
      </w:r>
      <w:r w:rsidRPr="00CD44A3">
        <w:t xml:space="preserve"> which are licensed in the same way as RSATPs and also serve persons with disabilities </w:t>
      </w:r>
      <w:r w:rsidR="005A34C2">
        <w:t>–</w:t>
      </w:r>
      <w:r w:rsidRPr="00CD44A3">
        <w:t xml:space="preserve"> are permitted to locate as of right in single-family and multiple-family zones, depending on the size of the group home.</w:t>
      </w:r>
      <w:r w:rsidRPr="00CD44A3">
        <w:rPr>
          <w:rStyle w:val="FootnoteReference"/>
        </w:rPr>
        <w:footnoteReference w:id="146"/>
      </w:r>
      <w:r w:rsidRPr="00CD44A3">
        <w:t xml:space="preserve">  In terms of zoning characteristics, residential drug treatment facilities are </w:t>
      </w:r>
      <w:r w:rsidR="00243F2E">
        <w:t xml:space="preserve">most </w:t>
      </w:r>
      <w:r w:rsidRPr="00CD44A3">
        <w:t>comparable to group homes for persons with mental illness or develop</w:t>
      </w:r>
      <w:r w:rsidR="0023534C">
        <w:t>mental disabilities.  The City</w:t>
      </w:r>
      <w:r w:rsidRPr="00CD44A3">
        <w:t xml:space="preserve"> Department of Planning</w:t>
      </w:r>
      <w:r w:rsidR="0023534C">
        <w:t>’s</w:t>
      </w:r>
      <w:r w:rsidRPr="00CD44A3">
        <w:t xml:space="preserve"> D</w:t>
      </w:r>
      <w:r w:rsidR="0023534C">
        <w:t>evelopment Guidebook defines a conditional u</w:t>
      </w:r>
      <w:r w:rsidRPr="00CD44A3">
        <w:t>se as a use compatible with the permitted uses in a particular zoning classification, but which because of a characteristic such as “noise, odor, or traffic” requires special permission by the BMZA or an Ordinance of the Mayor and City Council.</w:t>
      </w:r>
      <w:r w:rsidRPr="00CD44A3">
        <w:rPr>
          <w:rStyle w:val="FootnoteReference"/>
        </w:rPr>
        <w:footnoteReference w:id="147"/>
      </w:r>
      <w:r w:rsidRPr="00CD44A3">
        <w:t xml:space="preserve">  There is no characteristic such as noise, odor, or traffic that differentiates group homes for individuals with mental illness or developmental disabilities from group homes for individuals recovering from substance abuse.  The difference between them is the nature of the disabilities of the people living there.  Because group homes for persons with mental illness and developmental disabilities are comparable to RSATPs, and are permitted as of right, the CO requirement for RSATPs is facially discriminatory.</w:t>
      </w:r>
      <w:r w:rsidRPr="00CD44A3">
        <w:rPr>
          <w:rStyle w:val="FootnoteReference"/>
        </w:rPr>
        <w:footnoteReference w:id="148"/>
      </w:r>
      <w:r w:rsidRPr="00CD44A3">
        <w:t xml:space="preserve">  </w:t>
      </w:r>
    </w:p>
    <w:p w:rsidR="00AB764B" w:rsidRDefault="00B76C8F" w:rsidP="00B76C8F">
      <w:pPr>
        <w:spacing w:line="480" w:lineRule="auto"/>
      </w:pPr>
      <w:r w:rsidRPr="00CD44A3">
        <w:tab/>
        <w:t xml:space="preserve">A private group home for individuals with </w:t>
      </w:r>
      <w:r w:rsidRPr="00AB764B">
        <w:rPr>
          <w:i/>
        </w:rPr>
        <w:t>mental illness</w:t>
      </w:r>
      <w:r w:rsidRPr="00CD44A3">
        <w:t xml:space="preserve"> is defined by state statute as “a residence in which individuals who have been or are under treatment for a mental disorder may be provided care or treatment in a homelike environment.”</w:t>
      </w:r>
      <w:r w:rsidRPr="00CD44A3">
        <w:rPr>
          <w:rStyle w:val="FootnoteReference"/>
        </w:rPr>
        <w:footnoteReference w:id="149"/>
      </w:r>
      <w:r w:rsidRPr="00CD44A3">
        <w:t xml:space="preserve">  A small private group home admits between 4 and 8 individuals, and a large group home admits between 9 and 16 individuals.</w:t>
      </w:r>
      <w:r w:rsidRPr="00CD44A3">
        <w:rPr>
          <w:rStyle w:val="FootnoteReference"/>
        </w:rPr>
        <w:footnoteReference w:id="150"/>
      </w:r>
      <w:r w:rsidRPr="00CD44A3">
        <w:t xml:space="preserve">  State law provides that</w:t>
      </w:r>
      <w:r w:rsidR="00AB764B">
        <w:t>:</w:t>
      </w:r>
    </w:p>
    <w:p w:rsidR="00AB764B" w:rsidRDefault="00AB764B" w:rsidP="00214618">
      <w:pPr>
        <w:ind w:left="720" w:right="720"/>
        <w:jc w:val="both"/>
      </w:pPr>
      <w:r>
        <w:t>(b)(1)</w:t>
      </w:r>
      <w:r w:rsidR="00B76C8F" w:rsidRPr="00CD44A3">
        <w:t xml:space="preserve"> </w:t>
      </w:r>
      <w:r>
        <w:t>A small private group home:</w:t>
      </w:r>
    </w:p>
    <w:p w:rsidR="00AB764B" w:rsidRDefault="00AB764B" w:rsidP="00214618">
      <w:pPr>
        <w:ind w:left="720" w:right="720" w:firstLine="630"/>
        <w:jc w:val="both"/>
      </w:pPr>
      <w:r>
        <w:t>(i) Is</w:t>
      </w:r>
      <w:r w:rsidR="00B76C8F" w:rsidRPr="00CD44A3">
        <w:t xml:space="preserve"> deemed conclusively a single-family dwelling</w:t>
      </w:r>
      <w:r>
        <w:t>;</w:t>
      </w:r>
      <w:r w:rsidR="00B76C8F" w:rsidRPr="00CD44A3">
        <w:t xml:space="preserve"> and</w:t>
      </w:r>
    </w:p>
    <w:p w:rsidR="00AB764B" w:rsidRDefault="00AB764B" w:rsidP="00214618">
      <w:pPr>
        <w:ind w:left="720" w:right="720" w:firstLine="630"/>
        <w:jc w:val="both"/>
      </w:pPr>
      <w:r>
        <w:t>(ii) I</w:t>
      </w:r>
      <w:r w:rsidR="00B76C8F" w:rsidRPr="00CD44A3">
        <w:t>s permitted to locate in all residential zones</w:t>
      </w:r>
      <w:r>
        <w:t>.</w:t>
      </w:r>
    </w:p>
    <w:p w:rsidR="00AB764B" w:rsidRDefault="00AB764B" w:rsidP="00214618">
      <w:pPr>
        <w:ind w:left="990" w:right="720"/>
        <w:jc w:val="both"/>
      </w:pPr>
      <w:r>
        <w:t>(2)</w:t>
      </w:r>
      <w:r w:rsidR="00B76C8F" w:rsidRPr="00CD44A3">
        <w:t xml:space="preserve"> </w:t>
      </w:r>
      <w:r>
        <w:t xml:space="preserve">A </w:t>
      </w:r>
      <w:r w:rsidR="00B76C8F" w:rsidRPr="00CD44A3">
        <w:t xml:space="preserve">large private group home is deemed conclusively a multiple-family dwelling and is permitted to locate in zones of similar density.  </w:t>
      </w:r>
    </w:p>
    <w:p w:rsidR="00B76C8F" w:rsidRDefault="00AB764B" w:rsidP="00214618">
      <w:pPr>
        <w:ind w:left="990" w:right="720"/>
        <w:jc w:val="both"/>
      </w:pPr>
      <w:r>
        <w:t xml:space="preserve">(3) </w:t>
      </w:r>
      <w:r w:rsidR="00B76C8F" w:rsidRPr="00CD44A3">
        <w:t>A private group home may not be subject to any special exception, conditional use permit, or procedure that differs from that required for a single-family dwelling or a multi-family dwelling of similar density in the same zone.</w:t>
      </w:r>
      <w:r w:rsidRPr="00AB764B">
        <w:rPr>
          <w:rStyle w:val="FootnoteReference"/>
        </w:rPr>
        <w:t xml:space="preserve"> </w:t>
      </w:r>
      <w:r w:rsidRPr="00CD44A3">
        <w:rPr>
          <w:rStyle w:val="FootnoteReference"/>
        </w:rPr>
        <w:footnoteReference w:id="151"/>
      </w:r>
    </w:p>
    <w:p w:rsidR="00E5305B" w:rsidRPr="00CD44A3" w:rsidRDefault="00E5305B" w:rsidP="00E5305B">
      <w:pPr>
        <w:ind w:left="720"/>
      </w:pPr>
    </w:p>
    <w:p w:rsidR="00B76C8F" w:rsidRPr="00CD44A3" w:rsidRDefault="00B76C8F" w:rsidP="00B76C8F">
      <w:pPr>
        <w:spacing w:line="480" w:lineRule="auto"/>
      </w:pPr>
      <w:r w:rsidRPr="00CD44A3">
        <w:tab/>
        <w:t xml:space="preserve">A group home for individuals with </w:t>
      </w:r>
      <w:r w:rsidRPr="00C643F2">
        <w:rPr>
          <w:i/>
        </w:rPr>
        <w:t>developmental disabilities</w:t>
      </w:r>
      <w:r w:rsidRPr="00CD44A3">
        <w:t>, by Maryland statute, means a residence that “[p]rovides residential services for individuals who, because of developmental disability, require specialized living arrangements” and “[a]dmits at least 4 but not more than 8 individuals. . .</w:t>
      </w:r>
      <w:r w:rsidR="0023534C">
        <w:t xml:space="preserve"> </w:t>
      </w:r>
      <w:r w:rsidRPr="00CD44A3">
        <w:t>. ”</w:t>
      </w:r>
      <w:r w:rsidRPr="00CD44A3">
        <w:rPr>
          <w:rStyle w:val="FootnoteReference"/>
        </w:rPr>
        <w:footnoteReference w:id="152"/>
      </w:r>
      <w:r w:rsidRPr="00CD44A3">
        <w:t xml:space="preserve">  The statute provides that, </w:t>
      </w:r>
    </w:p>
    <w:p w:rsidR="00B76C8F" w:rsidRPr="00CD44A3" w:rsidRDefault="00B76C8F" w:rsidP="00214618">
      <w:pPr>
        <w:ind w:left="720" w:right="720"/>
        <w:jc w:val="both"/>
      </w:pPr>
      <w:r w:rsidRPr="00CD44A3">
        <w:t xml:space="preserve">To avoid discrimination in housing and to afford a natural, residential setting, a group home or an alternative living unit for individuals with developmental disability: </w:t>
      </w:r>
    </w:p>
    <w:p w:rsidR="00B76C8F" w:rsidRPr="00CD44A3" w:rsidRDefault="00B76C8F" w:rsidP="00214618">
      <w:pPr>
        <w:ind w:left="720" w:right="720"/>
        <w:jc w:val="both"/>
      </w:pPr>
      <w:r w:rsidRPr="00CD44A3">
        <w:t xml:space="preserve">(i) Is deemed conclusively a single-family dwelling; </w:t>
      </w:r>
    </w:p>
    <w:p w:rsidR="00B76C8F" w:rsidRPr="00CD44A3" w:rsidRDefault="00B76C8F" w:rsidP="00214618">
      <w:pPr>
        <w:ind w:left="720" w:right="720"/>
        <w:jc w:val="both"/>
      </w:pPr>
      <w:r w:rsidRPr="00CD44A3">
        <w:t xml:space="preserve">(ii) Is permitted to locate in all residential zones; and </w:t>
      </w:r>
    </w:p>
    <w:p w:rsidR="00B76C8F" w:rsidRPr="00CD44A3" w:rsidRDefault="00B76C8F" w:rsidP="00214618">
      <w:pPr>
        <w:ind w:left="720" w:right="720"/>
        <w:jc w:val="both"/>
      </w:pPr>
      <w:r w:rsidRPr="00CD44A3">
        <w:t>(iii) May not be subject to any special exception, conditional use permit, or procedure that differs from that required for a single-family dwelling.</w:t>
      </w:r>
      <w:r w:rsidRPr="00CD44A3">
        <w:rPr>
          <w:rStyle w:val="FootnoteReference"/>
        </w:rPr>
        <w:footnoteReference w:id="153"/>
      </w:r>
    </w:p>
    <w:p w:rsidR="00B76C8F" w:rsidRPr="00CD44A3" w:rsidRDefault="00B76C8F" w:rsidP="00B76C8F">
      <w:pPr>
        <w:ind w:left="720"/>
      </w:pPr>
    </w:p>
    <w:p w:rsidR="00B76C8F" w:rsidRPr="00CD44A3" w:rsidRDefault="00B76C8F" w:rsidP="00B76C8F">
      <w:pPr>
        <w:spacing w:line="480" w:lineRule="auto"/>
      </w:pPr>
      <w:r w:rsidRPr="00CD44A3">
        <w:tab/>
        <w:t>The Baltimore Zoning Code permits single-family dwellings in R-1 through R-10.</w:t>
      </w:r>
      <w:r w:rsidRPr="00CD44A3">
        <w:rPr>
          <w:rStyle w:val="FootnoteReference"/>
        </w:rPr>
        <w:footnoteReference w:id="154"/>
      </w:r>
      <w:r w:rsidRPr="00CD44A3">
        <w:t xml:space="preserve">  Multiple-family dwellings are permitted as of right in R-6 through R-10 zones.</w:t>
      </w:r>
      <w:r w:rsidRPr="00CD44A3">
        <w:rPr>
          <w:rStyle w:val="FootnoteReference"/>
        </w:rPr>
        <w:footnoteReference w:id="155"/>
      </w:r>
      <w:r w:rsidR="0023534C">
        <w:t xml:space="preserve">  </w:t>
      </w:r>
      <w:r w:rsidRPr="00CD44A3">
        <w:t>Thus, group homes for individuals with mental illness and developmental disabilities are permitted as of right in zones R-1 through R-10, depending on their size.</w:t>
      </w:r>
    </w:p>
    <w:p w:rsidR="00B76C8F" w:rsidRPr="00CD44A3" w:rsidRDefault="00B76C8F" w:rsidP="00B76C8F">
      <w:pPr>
        <w:spacing w:line="480" w:lineRule="auto"/>
      </w:pPr>
      <w:r w:rsidRPr="00CD44A3">
        <w:tab/>
      </w:r>
      <w:r w:rsidRPr="00CD44A3">
        <w:rPr>
          <w:i/>
        </w:rPr>
        <w:t>Second</w:t>
      </w:r>
      <w:r w:rsidRPr="00CD44A3">
        <w:t>, hospitals present a zoning use comparable to larger residential drug treatment programs.</w:t>
      </w:r>
      <w:r w:rsidRPr="00CD44A3">
        <w:rPr>
          <w:rStyle w:val="FootnoteReference"/>
        </w:rPr>
        <w:footnoteReference w:id="156"/>
      </w:r>
      <w:r w:rsidRPr="00CD44A3">
        <w:t xml:space="preserve">  </w:t>
      </w:r>
      <w:r w:rsidR="0023534C">
        <w:t>Although</w:t>
      </w:r>
      <w:r w:rsidRPr="00CD44A3">
        <w:t xml:space="preserve"> a hospital is not a dwelling, it is a facility where large numbers of people receive treatment and stay overnight, with large numbers of employees and visitors.  In comparison, a residential drug treatment program that houses </w:t>
      </w:r>
      <w:r w:rsidR="0023534C">
        <w:t>25 or even 100 residents</w:t>
      </w:r>
      <w:r w:rsidRPr="00CD44A3">
        <w:t xml:space="preserve"> would pose a far smaller burden on the ne</w:t>
      </w:r>
      <w:r w:rsidR="0023534C">
        <w:t xml:space="preserve">ighborhood in terms of traffic or </w:t>
      </w:r>
      <w:r w:rsidRPr="00CD44A3">
        <w:t>noise than would a hospital.  Thus, given that a hospital creates more noise and traffic than a residential drug treatment facility, there is no legitimate zoning-based reason for making a residential drug treatment facility a conditional use in zones R-8 and above, when hospitals are permitted as of right in R-8, R-9, R-10, B-3, and B-5.</w:t>
      </w:r>
      <w:r w:rsidRPr="00CD44A3">
        <w:rPr>
          <w:rStyle w:val="FootnoteReference"/>
        </w:rPr>
        <w:footnoteReference w:id="157"/>
      </w:r>
      <w:r w:rsidRPr="00CD44A3">
        <w:t xml:space="preserve">  Thus, the CO requirement for RSATPs is facially discriminatory.</w:t>
      </w:r>
    </w:p>
    <w:p w:rsidR="00B76C8F" w:rsidRPr="00CD44A3" w:rsidRDefault="00B76C8F" w:rsidP="00256CCF">
      <w:pPr>
        <w:widowControl w:val="0"/>
        <w:tabs>
          <w:tab w:val="left" w:pos="720"/>
          <w:tab w:val="left" w:pos="8730"/>
        </w:tabs>
        <w:spacing w:line="480" w:lineRule="auto"/>
      </w:pPr>
      <w:r w:rsidRPr="00CD44A3">
        <w:tab/>
        <w:t>In addition, the Zoning Code permits certain groups of unrelated individuals to live together as of right or as a conditional use with BMZA approval in certain zones.  These include fraternities and sororities,</w:t>
      </w:r>
      <w:r w:rsidRPr="00CD44A3">
        <w:rPr>
          <w:rStyle w:val="FootnoteReference"/>
        </w:rPr>
        <w:footnoteReference w:id="158"/>
      </w:r>
      <w:r w:rsidRPr="00CD44A3">
        <w:t xml:space="preserve"> rooming houses,</w:t>
      </w:r>
      <w:r w:rsidRPr="00CD44A3">
        <w:rPr>
          <w:rStyle w:val="FootnoteReference"/>
        </w:rPr>
        <w:footnoteReference w:id="159"/>
      </w:r>
      <w:r w:rsidRPr="00CD44A3">
        <w:t xml:space="preserve"> foster care homes for children,</w:t>
      </w:r>
      <w:r w:rsidRPr="00CD44A3">
        <w:rPr>
          <w:rStyle w:val="FootnoteReference"/>
        </w:rPr>
        <w:footnoteReference w:id="160"/>
      </w:r>
      <w:r w:rsidRPr="00CD44A3">
        <w:t xml:space="preserve"> and convents, seminaries, and monasteries.</w:t>
      </w:r>
      <w:r w:rsidRPr="00CD44A3">
        <w:rPr>
          <w:rStyle w:val="FootnoteReference"/>
        </w:rPr>
        <w:footnoteReference w:id="161"/>
      </w:r>
      <w:r w:rsidRPr="00CD44A3">
        <w:t xml:space="preserve">  In contrast, residential drug treatment facilities must get a CO to locate in any zone in which they are permitted.  Thus, residential drug treatment facilities are zoned more restrictively than these other uses involving unrelated individuals living together.</w:t>
      </w:r>
      <w:r w:rsidRPr="00CD44A3">
        <w:rPr>
          <w:rStyle w:val="FootnoteReference"/>
        </w:rPr>
        <w:footnoteReference w:id="162"/>
      </w:r>
      <w:r w:rsidR="009005EE">
        <w:t xml:space="preserve"> </w:t>
      </w:r>
      <w:r w:rsidRPr="00CD44A3">
        <w:t xml:space="preserve"> When compared to the zoning requirements for these other uses, the CO requirement for residential drug treatment facilities is facially discriminatory.</w:t>
      </w:r>
      <w:r w:rsidRPr="00CD44A3">
        <w:rPr>
          <w:rStyle w:val="FootnoteReference"/>
        </w:rPr>
        <w:footnoteReference w:id="163"/>
      </w:r>
    </w:p>
    <w:p w:rsidR="00B76C8F" w:rsidRPr="00CD44A3" w:rsidRDefault="0023534C" w:rsidP="00256CCF">
      <w:pPr>
        <w:widowControl w:val="0"/>
        <w:spacing w:line="480" w:lineRule="auto"/>
        <w:ind w:firstLine="720"/>
        <w:rPr>
          <w:szCs w:val="24"/>
        </w:rPr>
      </w:pPr>
      <w:r>
        <w:rPr>
          <w:i/>
        </w:rPr>
        <w:t>Finally</w:t>
      </w:r>
      <w:r w:rsidR="00B76C8F" w:rsidRPr="00CD44A3">
        <w:t>, residential substance abuse treatment programs are also comparable to single-family and multiple-family dwellings.</w:t>
      </w:r>
      <w:r w:rsidR="00377A22" w:rsidRPr="00377A22">
        <w:rPr>
          <w:lang w:val="en-CA"/>
        </w:rPr>
        <w:fldChar w:fldCharType="begin"/>
      </w:r>
      <w:r w:rsidR="00B76C8F" w:rsidRPr="00CD44A3">
        <w:rPr>
          <w:lang w:val="en-CA"/>
        </w:rPr>
        <w:instrText xml:space="preserve"> SEQ CHAPTER \h \r 1</w:instrText>
      </w:r>
      <w:r w:rsidR="00377A22" w:rsidRPr="00CD44A3">
        <w:fldChar w:fldCharType="end"/>
      </w:r>
      <w:r w:rsidR="00B76C8F" w:rsidRPr="00CD44A3">
        <w:t xml:space="preserve">  Single-family dwellings are comparable to a residential substance abuse treatment program of up to eight or even 16 residents because they have a comparable population density, and such residential substance abuse treatment programs usually are located in a structure defined under the Zoning Code as a single-family dwelling.</w:t>
      </w:r>
      <w:r w:rsidR="00B76C8F" w:rsidRPr="00CD44A3">
        <w:rPr>
          <w:rStyle w:val="FootnoteReference"/>
        </w:rPr>
        <w:footnoteReference w:id="164"/>
      </w:r>
      <w:r w:rsidR="00B76C8F" w:rsidRPr="00CD44A3">
        <w:t xml:space="preserve">  </w:t>
      </w:r>
      <w:r>
        <w:t>T</w:t>
      </w:r>
      <w:r w:rsidR="00B76C8F" w:rsidRPr="00CD44A3">
        <w:rPr>
          <w:szCs w:val="24"/>
        </w:rPr>
        <w:t xml:space="preserve">he City </w:t>
      </w:r>
      <w:r>
        <w:rPr>
          <w:szCs w:val="24"/>
        </w:rPr>
        <w:t>has identified</w:t>
      </w:r>
      <w:r w:rsidR="00B76C8F" w:rsidRPr="00CD44A3">
        <w:rPr>
          <w:szCs w:val="24"/>
        </w:rPr>
        <w:t xml:space="preserve"> 26 currently operating RSATPs as having a zoning classification of “single-family dwelling,” each of which houses between four and 16 residents, and located through either a reasonable accommodation, through BMZA approval, or as permitted.</w:t>
      </w:r>
      <w:r w:rsidR="00B76C8F" w:rsidRPr="00CD44A3">
        <w:rPr>
          <w:rStyle w:val="FootnoteReference"/>
          <w:szCs w:val="24"/>
        </w:rPr>
        <w:footnoteReference w:id="165"/>
      </w:r>
      <w:r w:rsidR="00B76C8F" w:rsidRPr="00CD44A3">
        <w:rPr>
          <w:szCs w:val="24"/>
        </w:rPr>
        <w:t xml:space="preserve">  Even David Tanner, the Executive Director of the BMZA, testified that small group homes should be permitted as of right like any single-family dwelling.</w:t>
      </w:r>
      <w:r w:rsidR="00B76C8F" w:rsidRPr="00CD44A3">
        <w:rPr>
          <w:rStyle w:val="FootnoteReference"/>
          <w:szCs w:val="24"/>
        </w:rPr>
        <w:footnoteReference w:id="166"/>
      </w:r>
      <w:r w:rsidR="00B76C8F" w:rsidRPr="00CD44A3">
        <w:rPr>
          <w:szCs w:val="24"/>
        </w:rPr>
        <w:t xml:space="preserve">  </w:t>
      </w:r>
    </w:p>
    <w:p w:rsidR="00B76C8F" w:rsidRPr="00CD44A3" w:rsidRDefault="00B76C8F" w:rsidP="00743A02">
      <w:pPr>
        <w:widowControl w:val="0"/>
        <w:spacing w:line="480" w:lineRule="auto"/>
        <w:ind w:firstLine="720"/>
        <w:rPr>
          <w:szCs w:val="24"/>
        </w:rPr>
      </w:pPr>
      <w:r w:rsidRPr="00CD44A3">
        <w:t>Multiple-family dwellings are comparable to residential substance abuse treatment programs with 9 to 16, or 17 or more residents because they have a comparable population density and such residential substance abuse treatment programs may locate in a multiple-family dwelling.</w:t>
      </w:r>
      <w:r w:rsidRPr="00CD44A3">
        <w:rPr>
          <w:rStyle w:val="FootnoteReference"/>
        </w:rPr>
        <w:footnoteReference w:id="167"/>
      </w:r>
      <w:r w:rsidRPr="00CD44A3">
        <w:t xml:space="preserve">  For example, </w:t>
      </w:r>
      <w:r w:rsidR="0023534C">
        <w:t>the City identified</w:t>
      </w:r>
      <w:r w:rsidRPr="00CD44A3">
        <w:rPr>
          <w:szCs w:val="24"/>
        </w:rPr>
        <w:t xml:space="preserve"> four RSATPs </w:t>
      </w:r>
      <w:r w:rsidR="0023534C">
        <w:rPr>
          <w:szCs w:val="24"/>
        </w:rPr>
        <w:t>with</w:t>
      </w:r>
      <w:r w:rsidRPr="00CD44A3">
        <w:rPr>
          <w:szCs w:val="24"/>
        </w:rPr>
        <w:t xml:space="preserve"> a zoning classification of multiple-family dwelling, which were approved either as permitted, through reasonable accommodation, or through the BMZA.</w:t>
      </w:r>
      <w:r w:rsidRPr="00CD44A3">
        <w:rPr>
          <w:rStyle w:val="FootnoteReference"/>
          <w:szCs w:val="24"/>
        </w:rPr>
        <w:footnoteReference w:id="168"/>
      </w:r>
      <w:r w:rsidRPr="00CD44A3">
        <w:rPr>
          <w:szCs w:val="24"/>
        </w:rPr>
        <w:t xml:space="preserve"> </w:t>
      </w:r>
    </w:p>
    <w:p w:rsidR="00B76C8F" w:rsidRPr="00CD44A3" w:rsidRDefault="00B76C8F" w:rsidP="005E623E">
      <w:pPr>
        <w:widowControl w:val="0"/>
        <w:spacing w:line="480" w:lineRule="auto"/>
        <w:ind w:firstLine="720"/>
        <w:rPr>
          <w:szCs w:val="24"/>
        </w:rPr>
      </w:pPr>
      <w:r w:rsidRPr="00CD44A3">
        <w:rPr>
          <w:szCs w:val="24"/>
        </w:rPr>
        <w:t xml:space="preserve">As with single-family dwellings, whether the multiple-family dwelling houses individuals participating in substance abuse treatment, or whether it houses families related by blood or adoption, has no effect on zoning characteristics such as noise, traffic, and odor.  </w:t>
      </w:r>
      <w:r w:rsidR="001D1B18">
        <w:rPr>
          <w:szCs w:val="24"/>
        </w:rPr>
        <w:t xml:space="preserve">As the City’s Corporate designee, </w:t>
      </w:r>
      <w:r w:rsidR="0023534C">
        <w:t xml:space="preserve">David Tanner </w:t>
      </w:r>
      <w:r w:rsidRPr="00CD44A3">
        <w:t>explained that a conditional use is one that has a potentially negative impact on its immediate neighbors.</w:t>
      </w:r>
      <w:r w:rsidRPr="00CD44A3">
        <w:rPr>
          <w:rStyle w:val="FootnoteReference"/>
        </w:rPr>
        <w:footnoteReference w:id="169"/>
      </w:r>
      <w:r w:rsidRPr="00CD44A3">
        <w:t xml:space="preserve">  Mr. Tanner admitted, however, that the only potentially negative impacts he could think of for RSATPs, such as the number of residents, the size of the facility, the proximity to neighbors, and the impact of light and air, are already regulated under the Zoning Code, Health Code, and Building Code equally for all types of facilities, not just RSATPs.</w:t>
      </w:r>
      <w:r w:rsidRPr="00CD44A3">
        <w:rPr>
          <w:rStyle w:val="FootnoteReference"/>
        </w:rPr>
        <w:footnoteReference w:id="170"/>
      </w:r>
      <w:r w:rsidRPr="00CD44A3">
        <w:t xml:space="preserve">  Another potentially negative impact, parking, is also already regulated by the Zoning Code for the type of dwelling and the zoning district.</w:t>
      </w:r>
      <w:r w:rsidRPr="00CD44A3">
        <w:rPr>
          <w:rStyle w:val="FootnoteReference"/>
        </w:rPr>
        <w:footnoteReference w:id="171"/>
      </w:r>
      <w:r w:rsidRPr="00CD44A3">
        <w:t xml:space="preserve">  Consequently, the only potential negative impacts that would exist for a RSATP exist for any structure, regardless of who is living there.  </w:t>
      </w:r>
    </w:p>
    <w:p w:rsidR="00B76C8F" w:rsidRPr="00CD44A3" w:rsidRDefault="00B76C8F" w:rsidP="00B76C8F">
      <w:pPr>
        <w:spacing w:line="480" w:lineRule="auto"/>
        <w:ind w:firstLine="720"/>
        <w:rPr>
          <w:szCs w:val="24"/>
        </w:rPr>
      </w:pPr>
      <w:r w:rsidRPr="00CD44A3">
        <w:t>To specify further, Mr. Tanner</w:t>
      </w:r>
      <w:r w:rsidRPr="00CD44A3">
        <w:rPr>
          <w:szCs w:val="24"/>
        </w:rPr>
        <w:t xml:space="preserve"> was asked at his deposition to compare two kinds of structures: (1) three adjacent three-story townhouses, each of which has three dwelling units, with 27 individuals living there in total; and (2) three adjacent three-story townhouses that house 27 individuals in a substance abuse treatment program.   Mr. Tanner was asked what impact the second structure (the RSATP with 27 people) would have on the neighbors that would be different from the impact that the first structure (9 dwelling units with 27 people) would have.</w:t>
      </w:r>
      <w:r w:rsidRPr="00CD44A3">
        <w:rPr>
          <w:rStyle w:val="FootnoteReference"/>
          <w:szCs w:val="24"/>
        </w:rPr>
        <w:footnoteReference w:id="172"/>
      </w:r>
      <w:r w:rsidRPr="00CD44A3">
        <w:rPr>
          <w:szCs w:val="24"/>
        </w:rPr>
        <w:t xml:space="preserve">  Mr. Tanner responded that he could not think of a specific impact the RSATP would have compared to the 27 people living in the three apartment buildings.</w:t>
      </w:r>
      <w:r w:rsidRPr="00CD44A3">
        <w:rPr>
          <w:rStyle w:val="FootnoteReference"/>
          <w:szCs w:val="24"/>
        </w:rPr>
        <w:footnoteReference w:id="173"/>
      </w:r>
      <w:r w:rsidRPr="00CD44A3">
        <w:rPr>
          <w:szCs w:val="24"/>
        </w:rPr>
        <w:t xml:space="preserve">  This comparison further supports that there is no </w:t>
      </w:r>
      <w:r w:rsidRPr="00CD44A3">
        <w:t>difference in terms of zoning characteristics or impact on the immediate neighbors between a RSATP and a similarly densely populated single-family or multiple-family dwelling.</w:t>
      </w:r>
      <w:r w:rsidRPr="00CD44A3">
        <w:rPr>
          <w:szCs w:val="24"/>
        </w:rPr>
        <w:t xml:space="preserve">  </w:t>
      </w:r>
      <w:r w:rsidRPr="00CD44A3">
        <w:t xml:space="preserve">Mr. Tanner further explained that zoning is not meant to regulate behavior, and that if a neighbor – any neighbor </w:t>
      </w:r>
      <w:r w:rsidR="005A34C2">
        <w:t>–</w:t>
      </w:r>
      <w:r w:rsidRPr="00CD44A3">
        <w:t xml:space="preserve"> exhibits problematic behavior, there should be a way to address that outside of the zoning process.</w:t>
      </w:r>
      <w:r w:rsidRPr="00CD44A3">
        <w:rPr>
          <w:rStyle w:val="FootnoteReference"/>
        </w:rPr>
        <w:footnoteReference w:id="174"/>
      </w:r>
      <w:r w:rsidRPr="00CD44A3">
        <w:t xml:space="preserve">  </w:t>
      </w:r>
    </w:p>
    <w:p w:rsidR="00B76C8F" w:rsidRPr="00CD44A3" w:rsidRDefault="00882C5C" w:rsidP="00B76C8F">
      <w:pPr>
        <w:spacing w:line="480" w:lineRule="auto"/>
        <w:ind w:firstLine="720"/>
      </w:pPr>
      <w:r>
        <w:t xml:space="preserve">Since comparable uses to RSATPs </w:t>
      </w:r>
      <w:r w:rsidR="005A34C2">
        <w:t>–</w:t>
      </w:r>
      <w:r>
        <w:t xml:space="preserve"> </w:t>
      </w:r>
      <w:r w:rsidR="00B76C8F" w:rsidRPr="00CD44A3">
        <w:t xml:space="preserve">such as group homes for persons with mental illness and developmental disabilities, hospitals, and single and </w:t>
      </w:r>
      <w:r>
        <w:t xml:space="preserve">multiple-family dwellings </w:t>
      </w:r>
      <w:r w:rsidR="005A34C2">
        <w:t>–</w:t>
      </w:r>
      <w:r>
        <w:t xml:space="preserve"> </w:t>
      </w:r>
      <w:r w:rsidR="00B76C8F" w:rsidRPr="00CD44A3">
        <w:t>are permitted to locate as of right in zones of appropriate density, the CO requirement facially discriminates against RSATPs based on the disabilities of persons in recovery from substance abuse.  This facially discriminatory CO requirement has prevented the location or expansion of some programs, such as Johns Hopkins, Baltimore Station, and Nilsson House, and delayed the location or expansion of other programs, such as Powell Recovery, Gaudenzia, and Weisman-Kaplan House.</w:t>
      </w:r>
    </w:p>
    <w:p w:rsidR="00B76C8F" w:rsidRPr="00CD44A3" w:rsidRDefault="00B76C8F" w:rsidP="002A7DC5">
      <w:pPr>
        <w:pStyle w:val="ListParagraph"/>
        <w:numPr>
          <w:ilvl w:val="0"/>
          <w:numId w:val="12"/>
        </w:numPr>
        <w:ind w:left="2880" w:hanging="720"/>
        <w:outlineLvl w:val="3"/>
        <w:rPr>
          <w:u w:val="single"/>
        </w:rPr>
      </w:pPr>
      <w:bookmarkStart w:id="22" w:name="_Toc290573117"/>
      <w:r w:rsidRPr="00CD44A3">
        <w:rPr>
          <w:u w:val="single"/>
        </w:rPr>
        <w:t>Residential Drug Treatment Programs Do Not Pose a Significant Risk to the Health or Safety of Others</w:t>
      </w:r>
      <w:bookmarkEnd w:id="22"/>
    </w:p>
    <w:p w:rsidR="00B76C8F" w:rsidRPr="00CD44A3" w:rsidRDefault="00B76C8F" w:rsidP="00B76C8F"/>
    <w:p w:rsidR="00B76C8F" w:rsidRPr="00CD44A3" w:rsidRDefault="00B76C8F" w:rsidP="00B76C8F">
      <w:pPr>
        <w:spacing w:line="480" w:lineRule="auto"/>
      </w:pPr>
      <w:r w:rsidRPr="00CD44A3">
        <w:tab/>
        <w:t xml:space="preserve">Under the second prong of the facial discrimination analysis, residential drug treatment programs in Baltimore do not pose a significant risk </w:t>
      </w:r>
      <w:r w:rsidR="00970DDB">
        <w:t xml:space="preserve">or direct threat </w:t>
      </w:r>
      <w:r w:rsidRPr="00CD44A3">
        <w:t>to the health or safety of others.</w:t>
      </w:r>
      <w:r w:rsidRPr="00CD44A3">
        <w:rPr>
          <w:rStyle w:val="FootnoteReference"/>
        </w:rPr>
        <w:footnoteReference w:id="175"/>
      </w:r>
      <w:r w:rsidRPr="00CD44A3">
        <w:t xml:space="preserve">  Consequently, the Zoning Code’s facially discriminatory CO requirement violates the ADA.  The City’s 30(b)(6) representative on public safety, Colonel John Skinner, the Chief of Patrol for the Baltimore Police Department, admitted that state certified residential substance abuse treatment programs do not cause a significant risk to the health or safety of others.</w:t>
      </w:r>
      <w:r w:rsidRPr="00CD44A3">
        <w:rPr>
          <w:rStyle w:val="FootnoteReference"/>
        </w:rPr>
        <w:footnoteReference w:id="176"/>
      </w:r>
      <w:r w:rsidRPr="00CD44A3">
        <w:t xml:space="preserve">  Colonel Skinner’s admission is sufficient to dispose of this issue.  Additionally, as discussed above in Section III.E., statements by the former Baltimore Health Commissioner Dr. Joshua Sharfstein, the Baltimore City Police Department, and Colonel Skinner strongly support the conclusion that substance abuse treatment programs in Baltimore City improve safety, rather than cause safety problems.</w:t>
      </w:r>
      <w:r w:rsidRPr="00CD44A3">
        <w:rPr>
          <w:rStyle w:val="FootnoteReference"/>
        </w:rPr>
        <w:footnoteReference w:id="177"/>
      </w:r>
      <w:r w:rsidRPr="00CD44A3">
        <w:t xml:space="preserve">  The record thus establishes, as a matter of law, that there is no dispute that residential drug treatment programs do not pose a significant risk</w:t>
      </w:r>
      <w:r w:rsidR="00970DDB">
        <w:t xml:space="preserve"> or direct threat</w:t>
      </w:r>
      <w:r w:rsidRPr="00CD44A3">
        <w:t xml:space="preserve">. </w:t>
      </w:r>
    </w:p>
    <w:p w:rsidR="00B76C8F" w:rsidRPr="00CD44A3" w:rsidRDefault="00B76C8F" w:rsidP="000B6C37">
      <w:pPr>
        <w:pStyle w:val="ListParagraph"/>
        <w:numPr>
          <w:ilvl w:val="0"/>
          <w:numId w:val="10"/>
        </w:numPr>
        <w:spacing w:after="240"/>
        <w:ind w:left="2160" w:hanging="720"/>
        <w:outlineLvl w:val="2"/>
        <w:rPr>
          <w:szCs w:val="24"/>
          <w:u w:val="single"/>
        </w:rPr>
      </w:pPr>
      <w:bookmarkStart w:id="23" w:name="_Toc290573118"/>
      <w:r w:rsidRPr="00CD44A3">
        <w:rPr>
          <w:szCs w:val="24"/>
          <w:u w:val="single"/>
        </w:rPr>
        <w:t>The CO Requirement Also Violates the ADA Because it is Intentionally Discriminatory</w:t>
      </w:r>
      <w:bookmarkEnd w:id="23"/>
    </w:p>
    <w:p w:rsidR="00B76C8F" w:rsidRPr="00CD44A3" w:rsidRDefault="00B76C8F" w:rsidP="00B76C8F">
      <w:pPr>
        <w:pStyle w:val="ListParagraph"/>
        <w:spacing w:after="200" w:line="276" w:lineRule="auto"/>
        <w:ind w:left="0"/>
        <w:rPr>
          <w:szCs w:val="24"/>
          <w:u w:val="single"/>
        </w:rPr>
      </w:pPr>
    </w:p>
    <w:p w:rsidR="00B76C8F" w:rsidRPr="00CD44A3" w:rsidRDefault="00B76C8F" w:rsidP="00B76C8F">
      <w:pPr>
        <w:pStyle w:val="ListParagraph"/>
        <w:spacing w:after="200" w:line="480" w:lineRule="auto"/>
        <w:ind w:left="0" w:firstLine="720"/>
        <w:rPr>
          <w:szCs w:val="24"/>
          <w:u w:val="single"/>
        </w:rPr>
      </w:pPr>
      <w:r w:rsidRPr="00CD44A3">
        <w:rPr>
          <w:szCs w:val="24"/>
        </w:rPr>
        <w:t xml:space="preserve">As established above, the City’s zoning code treats RSATPs differently and worse than myriad comparable uses – such as group homes for persons with mental illness or developmental disabilities, single- and multiple-family dwellings, and hospitals.  Unlike such uses, which can locate in permitted zones as of right, “homes for nonbedridden alcoholics” cannot locate </w:t>
      </w:r>
      <w:r w:rsidRPr="00CD44A3">
        <w:rPr>
          <w:i/>
          <w:szCs w:val="24"/>
        </w:rPr>
        <w:t xml:space="preserve">anywhere </w:t>
      </w:r>
      <w:r w:rsidRPr="00CD44A3">
        <w:rPr>
          <w:szCs w:val="24"/>
        </w:rPr>
        <w:t>in the City without obtaining a CO.  That the City’s maintenance of the CO requirement for RSATPs is motivated by consideration of the disabled status of affected individuals, and thus is intentionally discriminatory, is evinced by statements by the public and decision-makers during consideration of failed City Council Bill 07-0002, which would have eliminated the CO process for residential substance abuse treatment facilities.  The absence of any legitimate, non-discriminatory reason for maintaining the CO requirement further supports a finding, as a matter of law, that the requirement is motivated by animus toward recovering addicts.</w:t>
      </w:r>
    </w:p>
    <w:p w:rsidR="00B76C8F" w:rsidRPr="00CD44A3" w:rsidRDefault="00B76C8F" w:rsidP="00B76C8F">
      <w:pPr>
        <w:pStyle w:val="ListParagraph"/>
        <w:spacing w:after="200" w:line="480" w:lineRule="auto"/>
        <w:ind w:left="0" w:firstLine="720"/>
        <w:rPr>
          <w:szCs w:val="24"/>
          <w:u w:val="single"/>
        </w:rPr>
      </w:pPr>
      <w:r w:rsidRPr="00CD44A3">
        <w:rPr>
          <w:szCs w:val="24"/>
        </w:rPr>
        <w:t>Under the ADA, a decision by a title II entity to deny a benefit is intentionally discriminatory if it “was motivated by unjustified consideration of the disabled status of individuals who would be affected by the decision.”</w:t>
      </w:r>
      <w:r w:rsidRPr="00CD44A3">
        <w:rPr>
          <w:rStyle w:val="FootnoteReference"/>
          <w:szCs w:val="24"/>
        </w:rPr>
        <w:footnoteReference w:id="178"/>
      </w:r>
      <w:r w:rsidRPr="00CD44A3">
        <w:rPr>
          <w:szCs w:val="24"/>
        </w:rPr>
        <w:t xml:space="preserve">  When a decision is “made in the context of strong, discriminatory opposition[, it] becomes tainted with discriminatory intent even if the decisionmakers personally have no strong views on the matter.”</w:t>
      </w:r>
      <w:r w:rsidRPr="00CD44A3">
        <w:rPr>
          <w:rStyle w:val="FootnoteReference"/>
          <w:szCs w:val="24"/>
        </w:rPr>
        <w:footnoteReference w:id="179"/>
      </w:r>
      <w:r w:rsidRPr="00CD44A3">
        <w:rPr>
          <w:szCs w:val="24"/>
        </w:rPr>
        <w:t xml:space="preserve">  To determine whether a decision is intentionally discriminatory, courts consider the decision’s historical background, the sequence of events leading up to the decision, and its legislative or administrative history (including contemporaneous statements by members of the decision-making body), among other factors.</w:t>
      </w:r>
      <w:r w:rsidRPr="00CD44A3">
        <w:rPr>
          <w:rStyle w:val="FootnoteReference"/>
          <w:szCs w:val="24"/>
        </w:rPr>
        <w:footnoteReference w:id="180"/>
      </w:r>
    </w:p>
    <w:p w:rsidR="00B76C8F" w:rsidRPr="00CD44A3" w:rsidRDefault="00B76C8F" w:rsidP="002A7DC5">
      <w:pPr>
        <w:pStyle w:val="ListParagraph"/>
        <w:numPr>
          <w:ilvl w:val="0"/>
          <w:numId w:val="13"/>
        </w:numPr>
        <w:ind w:left="2880" w:hanging="720"/>
        <w:outlineLvl w:val="3"/>
        <w:rPr>
          <w:szCs w:val="24"/>
        </w:rPr>
      </w:pPr>
      <w:bookmarkStart w:id="24" w:name="_Toc290573119"/>
      <w:r w:rsidRPr="00CD44A3">
        <w:rPr>
          <w:u w:val="single"/>
        </w:rPr>
        <w:t xml:space="preserve">The CO Requirement is Motivated by Animus Against Individuals in Recovery as Reflected in </w:t>
      </w:r>
      <w:r w:rsidRPr="00CD44A3">
        <w:rPr>
          <w:szCs w:val="24"/>
          <w:u w:val="single"/>
        </w:rPr>
        <w:t>City Council Members’ and Residents’ Statements in Opposition to Bill 07-0002.</w:t>
      </w:r>
      <w:bookmarkEnd w:id="24"/>
    </w:p>
    <w:p w:rsidR="00B76C8F" w:rsidRPr="00CD44A3" w:rsidRDefault="00B76C8F" w:rsidP="00B76C8F">
      <w:pPr>
        <w:rPr>
          <w:szCs w:val="24"/>
        </w:rPr>
      </w:pPr>
    </w:p>
    <w:p w:rsidR="00B76C8F" w:rsidRPr="00CD44A3" w:rsidRDefault="00B76C8F" w:rsidP="00B76C8F">
      <w:pPr>
        <w:spacing w:line="480" w:lineRule="auto"/>
        <w:ind w:firstLine="720"/>
        <w:rPr>
          <w:szCs w:val="24"/>
        </w:rPr>
      </w:pPr>
      <w:r w:rsidRPr="00CD44A3">
        <w:rPr>
          <w:szCs w:val="24"/>
        </w:rPr>
        <w:t xml:space="preserve">The CO requirement denies RSATPs the benefit of locating as of right and is motivated by discriminatory opposition to recovering addicts.  The discriminatory animus against recovering addicts from City Council members and some vocal community members is reflected in the legislative history of City Council Bill 07-0002.  City Council Bill 07-002, which failed, would have allowed residential substance abuse treatment programs to locate in certain zones without obtaining a CO.  Therefore, the CO requirement is intentionally discriminatory, violates the ADA, and must be enjoined.  </w:t>
      </w:r>
    </w:p>
    <w:p w:rsidR="00B76C8F" w:rsidRPr="00CD44A3" w:rsidRDefault="00B76C8F" w:rsidP="00B76C8F">
      <w:pPr>
        <w:spacing w:line="480" w:lineRule="auto"/>
        <w:ind w:firstLine="720"/>
        <w:rPr>
          <w:szCs w:val="24"/>
        </w:rPr>
      </w:pPr>
      <w:r w:rsidRPr="00CD44A3">
        <w:rPr>
          <w:szCs w:val="24"/>
        </w:rPr>
        <w:t>The legislative record of Bill 07-0002 includes the May 7, 2008, public hearing of the Land Use and Transportation Committee of the Baltimore City Council, letters from constituents to Council members, and notes of Committee workgroup session</w:t>
      </w:r>
      <w:r w:rsidR="009959FA">
        <w:rPr>
          <w:szCs w:val="24"/>
        </w:rPr>
        <w:t>s</w:t>
      </w:r>
      <w:r w:rsidRPr="00CD44A3">
        <w:rPr>
          <w:szCs w:val="24"/>
        </w:rPr>
        <w:t>, among other things.  The May 7, 2008 hearing lasted almost six hours.</w:t>
      </w:r>
      <w:r w:rsidRPr="00CD44A3">
        <w:rPr>
          <w:rStyle w:val="FootnoteReference"/>
          <w:szCs w:val="24"/>
        </w:rPr>
        <w:footnoteReference w:id="181"/>
      </w:r>
      <w:r w:rsidRPr="00CD44A3">
        <w:rPr>
          <w:szCs w:val="24"/>
        </w:rPr>
        <w:t xml:space="preserve">  At the hearing and in other parts of the legislative record, residents and Council members raised many concerns about residential substance abuse treatment facilities that reflected discriminatory animus against people in recovery, </w:t>
      </w:r>
      <w:r w:rsidR="003D6F9B">
        <w:rPr>
          <w:szCs w:val="24"/>
        </w:rPr>
        <w:t>demonstrated</w:t>
      </w:r>
      <w:r w:rsidRPr="00CD44A3">
        <w:rPr>
          <w:szCs w:val="24"/>
        </w:rPr>
        <w:t xml:space="preserve"> the residents’ influence over Council members, and were virtually identical to statements about proliferation, property values, crime, and undesirability made in other cases finding discriminatory intent.  </w:t>
      </w:r>
    </w:p>
    <w:p w:rsidR="00B76C8F" w:rsidRPr="00CD44A3" w:rsidRDefault="00165C34" w:rsidP="00B76C8F">
      <w:pPr>
        <w:spacing w:line="480" w:lineRule="auto"/>
        <w:ind w:firstLine="720"/>
        <w:rPr>
          <w:szCs w:val="24"/>
        </w:rPr>
      </w:pPr>
      <w:r>
        <w:rPr>
          <w:szCs w:val="24"/>
        </w:rPr>
        <w:t xml:space="preserve">Federal courts have relied on </w:t>
      </w:r>
      <w:r w:rsidR="003D6F9B">
        <w:rPr>
          <w:szCs w:val="24"/>
        </w:rPr>
        <w:t xml:space="preserve">statements about </w:t>
      </w:r>
      <w:r w:rsidR="003D6F9B" w:rsidRPr="003D6F9B">
        <w:rPr>
          <w:i/>
          <w:szCs w:val="24"/>
        </w:rPr>
        <w:t>proliferation</w:t>
      </w:r>
      <w:r w:rsidR="003D6F9B">
        <w:rPr>
          <w:szCs w:val="24"/>
        </w:rPr>
        <w:t xml:space="preserve"> </w:t>
      </w:r>
      <w:r>
        <w:rPr>
          <w:szCs w:val="24"/>
        </w:rPr>
        <w:t>to find discriminatory intent in zoning practices.  I</w:t>
      </w:r>
      <w:r w:rsidR="00B76C8F" w:rsidRPr="00CD44A3">
        <w:rPr>
          <w:szCs w:val="24"/>
        </w:rPr>
        <w:t xml:space="preserve">n </w:t>
      </w:r>
      <w:r w:rsidR="00B76C8F" w:rsidRPr="00CD44A3">
        <w:rPr>
          <w:szCs w:val="24"/>
          <w:u w:val="single"/>
        </w:rPr>
        <w:t>RECAP</w:t>
      </w:r>
      <w:r>
        <w:rPr>
          <w:szCs w:val="24"/>
        </w:rPr>
        <w:t>,</w:t>
      </w:r>
      <w:r w:rsidR="00B76C8F" w:rsidRPr="00CD44A3">
        <w:rPr>
          <w:szCs w:val="24"/>
        </w:rPr>
        <w:t xml:space="preserve"> the Second Circuit quoted several city officials in support of its conclusion that the plaintiffs’ disabilities were a motivating factor behind a decision to deny a permit to a home for recovering alcoholics.  In that case, the Mayor said: </w:t>
      </w:r>
    </w:p>
    <w:p w:rsidR="00B76C8F" w:rsidRPr="00CD44A3" w:rsidRDefault="00B76C8F" w:rsidP="00D55E5E">
      <w:pPr>
        <w:ind w:left="720" w:right="720"/>
        <w:jc w:val="both"/>
        <w:rPr>
          <w:szCs w:val="24"/>
        </w:rPr>
      </w:pPr>
      <w:r w:rsidRPr="00CD44A3">
        <w:rPr>
          <w:szCs w:val="24"/>
        </w:rPr>
        <w:t>And what I have tried to convey to RECAP and through different surrogates is that enough is enough. . . . Middletown is not the hub of human services programs. . . . Do [this program] in some other community that has not contributed to the extent, not even close to what Middletown has contributed in regards to participation and human service programs.</w:t>
      </w:r>
      <w:r w:rsidRPr="00CD44A3">
        <w:rPr>
          <w:rStyle w:val="FootnoteReference"/>
          <w:szCs w:val="24"/>
        </w:rPr>
        <w:footnoteReference w:id="182"/>
      </w:r>
    </w:p>
    <w:p w:rsidR="00B76C8F" w:rsidRPr="00CD44A3" w:rsidRDefault="00B76C8F" w:rsidP="00B76C8F">
      <w:pPr>
        <w:rPr>
          <w:szCs w:val="24"/>
        </w:rPr>
      </w:pPr>
    </w:p>
    <w:p w:rsidR="003D6F9B" w:rsidRDefault="00B76C8F" w:rsidP="00B76C8F">
      <w:pPr>
        <w:spacing w:line="480" w:lineRule="auto"/>
        <w:rPr>
          <w:szCs w:val="24"/>
        </w:rPr>
      </w:pPr>
      <w:r w:rsidRPr="00CD44A3">
        <w:rPr>
          <w:szCs w:val="24"/>
        </w:rPr>
        <w:t xml:space="preserve">Additionally, a </w:t>
      </w:r>
      <w:r w:rsidR="0094037C">
        <w:rPr>
          <w:szCs w:val="24"/>
        </w:rPr>
        <w:t xml:space="preserve">Middletown </w:t>
      </w:r>
      <w:r w:rsidRPr="00CD44A3">
        <w:rPr>
          <w:szCs w:val="24"/>
        </w:rPr>
        <w:t>Planning Board member said, “why do we have to have all the treatment facilities right here in Middletown?”</w:t>
      </w:r>
      <w:r w:rsidRPr="00CD44A3">
        <w:rPr>
          <w:rStyle w:val="FootnoteReference"/>
          <w:szCs w:val="24"/>
        </w:rPr>
        <w:footnoteReference w:id="183"/>
      </w:r>
      <w:r w:rsidRPr="00CD44A3">
        <w:rPr>
          <w:szCs w:val="24"/>
        </w:rPr>
        <w:t xml:space="preserve">  The chairman of the Board said, “there’s an over-concentration of residential and social service facilities in the City.”</w:t>
      </w:r>
      <w:r w:rsidRPr="00CD44A3">
        <w:rPr>
          <w:rStyle w:val="FootnoteReference"/>
          <w:szCs w:val="24"/>
        </w:rPr>
        <w:footnoteReference w:id="184"/>
      </w:r>
      <w:r w:rsidRPr="00CD44A3">
        <w:rPr>
          <w:szCs w:val="24"/>
        </w:rPr>
        <w:t xml:space="preserve">  The </w:t>
      </w:r>
      <w:r w:rsidR="00B6303F">
        <w:rPr>
          <w:szCs w:val="24"/>
        </w:rPr>
        <w:t>Second Circuit</w:t>
      </w:r>
      <w:r w:rsidRPr="00CD44A3">
        <w:rPr>
          <w:szCs w:val="24"/>
        </w:rPr>
        <w:t xml:space="preserve"> concluded, “this evidence more than suffices to establish the plaintiffs’ prima facie case.”</w:t>
      </w:r>
      <w:r w:rsidRPr="00CD44A3">
        <w:rPr>
          <w:rStyle w:val="FootnoteReference"/>
          <w:szCs w:val="24"/>
        </w:rPr>
        <w:footnoteReference w:id="185"/>
      </w:r>
      <w:r w:rsidRPr="00CD44A3">
        <w:rPr>
          <w:szCs w:val="24"/>
        </w:rPr>
        <w:t xml:space="preserve">  </w:t>
      </w:r>
    </w:p>
    <w:p w:rsidR="00B76C8F" w:rsidRPr="00CD44A3" w:rsidRDefault="00C947F7" w:rsidP="003D6F9B">
      <w:pPr>
        <w:spacing w:line="480" w:lineRule="auto"/>
        <w:ind w:firstLine="720"/>
        <w:rPr>
          <w:szCs w:val="24"/>
        </w:rPr>
      </w:pPr>
      <w:r>
        <w:rPr>
          <w:szCs w:val="24"/>
        </w:rPr>
        <w:t>As</w:t>
      </w:r>
      <w:r w:rsidR="00B76C8F" w:rsidRPr="00CD44A3">
        <w:rPr>
          <w:szCs w:val="24"/>
        </w:rPr>
        <w:t xml:space="preserve"> in </w:t>
      </w:r>
      <w:r w:rsidR="00B76C8F" w:rsidRPr="00CD44A3">
        <w:rPr>
          <w:szCs w:val="24"/>
          <w:u w:val="single"/>
        </w:rPr>
        <w:t>RECAP</w:t>
      </w:r>
      <w:r w:rsidR="00B76C8F" w:rsidRPr="00CD44A3">
        <w:rPr>
          <w:szCs w:val="24"/>
        </w:rPr>
        <w:t xml:space="preserve">, Council members and residents in Baltimore </w:t>
      </w:r>
      <w:r>
        <w:rPr>
          <w:szCs w:val="24"/>
        </w:rPr>
        <w:t>made numerous statements that</w:t>
      </w:r>
      <w:r w:rsidR="00B76C8F" w:rsidRPr="00CD44A3">
        <w:rPr>
          <w:szCs w:val="24"/>
        </w:rPr>
        <w:t xml:space="preserve"> reflect </w:t>
      </w:r>
      <w:r w:rsidR="003D6F9B">
        <w:rPr>
          <w:szCs w:val="24"/>
        </w:rPr>
        <w:t xml:space="preserve">that the CO requirement is based on </w:t>
      </w:r>
      <w:r w:rsidR="00B76C8F" w:rsidRPr="00CD44A3">
        <w:rPr>
          <w:szCs w:val="24"/>
        </w:rPr>
        <w:t>discriminatory animus against people residing in substance abuse treatment facilities</w:t>
      </w:r>
      <w:r w:rsidR="003D6F9B">
        <w:rPr>
          <w:szCs w:val="24"/>
        </w:rPr>
        <w:t>,</w:t>
      </w:r>
      <w:r w:rsidR="00B76C8F" w:rsidRPr="00CD44A3">
        <w:rPr>
          <w:szCs w:val="24"/>
        </w:rPr>
        <w:t xml:space="preserve"> and support a finding of intentional discrimination under the ADA.  Council members raised concerns about </w:t>
      </w:r>
      <w:r w:rsidR="00B76C8F" w:rsidRPr="003D6F9B">
        <w:rPr>
          <w:szCs w:val="24"/>
        </w:rPr>
        <w:t>proliferation</w:t>
      </w:r>
      <w:r w:rsidR="00B76C8F" w:rsidRPr="00CD44A3">
        <w:rPr>
          <w:szCs w:val="24"/>
        </w:rPr>
        <w:t xml:space="preserve"> of drug treatment programs that reflected their discriminatory animus, including the following:</w:t>
      </w:r>
    </w:p>
    <w:p w:rsidR="00B76C8F" w:rsidRPr="00CD44A3" w:rsidRDefault="00B76C8F" w:rsidP="000B6C37">
      <w:pPr>
        <w:pStyle w:val="ListParagraph"/>
        <w:numPr>
          <w:ilvl w:val="0"/>
          <w:numId w:val="6"/>
        </w:numPr>
        <w:rPr>
          <w:szCs w:val="24"/>
        </w:rPr>
      </w:pPr>
      <w:r w:rsidRPr="00CD44A3">
        <w:rPr>
          <w:szCs w:val="24"/>
        </w:rPr>
        <w:t>Councilwoman Agnes Welch, referring to a map showing the location of drug treatment programs which were represented by dots on the map: “When you see a lot of dots in your area that you represent, you don’t want any more dots.  You could live with what you have.  You don’t want one section of the city or one district to be inundated with new group homes.”</w:t>
      </w:r>
      <w:r w:rsidRPr="00CD44A3">
        <w:rPr>
          <w:rStyle w:val="FootnoteReference"/>
          <w:szCs w:val="24"/>
        </w:rPr>
        <w:footnoteReference w:id="186"/>
      </w:r>
      <w:r w:rsidRPr="00CD44A3">
        <w:rPr>
          <w:szCs w:val="24"/>
        </w:rPr>
        <w:t xml:space="preserve"> </w:t>
      </w:r>
    </w:p>
    <w:p w:rsidR="00B76C8F" w:rsidRPr="00CD44A3" w:rsidRDefault="00B76C8F" w:rsidP="00B76C8F">
      <w:pPr>
        <w:pStyle w:val="ListParagraph"/>
        <w:ind w:left="768"/>
        <w:rPr>
          <w:szCs w:val="24"/>
        </w:rPr>
      </w:pPr>
      <w:r w:rsidRPr="00CD44A3">
        <w:rPr>
          <w:szCs w:val="24"/>
        </w:rPr>
        <w:t xml:space="preserve"> </w:t>
      </w:r>
    </w:p>
    <w:p w:rsidR="00B76C8F" w:rsidRPr="00CD44A3" w:rsidRDefault="00B76C8F" w:rsidP="000B6C37">
      <w:pPr>
        <w:pStyle w:val="ListParagraph"/>
        <w:numPr>
          <w:ilvl w:val="0"/>
          <w:numId w:val="6"/>
        </w:numPr>
        <w:rPr>
          <w:szCs w:val="24"/>
        </w:rPr>
      </w:pPr>
      <w:r w:rsidRPr="00CD44A3">
        <w:rPr>
          <w:szCs w:val="24"/>
        </w:rPr>
        <w:t>Councilwoman Sharon Middleton: “My concern is that, you know, that’s a concentrated area where they seem to be just loading the homes.</w:t>
      </w:r>
      <w:r w:rsidRPr="00CD44A3">
        <w:rPr>
          <w:rStyle w:val="FootnoteReference"/>
          <w:szCs w:val="24"/>
        </w:rPr>
        <w:footnoteReference w:id="187"/>
      </w:r>
    </w:p>
    <w:p w:rsidR="00B76C8F" w:rsidRPr="00CD44A3" w:rsidRDefault="00B76C8F" w:rsidP="00B76C8F">
      <w:pPr>
        <w:rPr>
          <w:szCs w:val="24"/>
        </w:rPr>
      </w:pPr>
    </w:p>
    <w:p w:rsidR="00B76C8F" w:rsidRPr="00CD44A3" w:rsidRDefault="00B76C8F" w:rsidP="000B6C37">
      <w:pPr>
        <w:pStyle w:val="ListParagraph"/>
        <w:numPr>
          <w:ilvl w:val="0"/>
          <w:numId w:val="6"/>
        </w:numPr>
        <w:rPr>
          <w:szCs w:val="24"/>
        </w:rPr>
      </w:pPr>
      <w:r w:rsidRPr="00CD44A3">
        <w:rPr>
          <w:szCs w:val="24"/>
        </w:rPr>
        <w:t>Councilwoman Sharon Middleton: “How will we kind of limit the number, the amount, in certain communities . . . . We don’t want to have a thing where group homes are all in one area and prisons are in one area and homeless shelters are in one area.  We want to try to equalize this thing.”</w:t>
      </w:r>
      <w:r w:rsidRPr="00CD44A3">
        <w:rPr>
          <w:rStyle w:val="FootnoteReference"/>
          <w:szCs w:val="24"/>
        </w:rPr>
        <w:footnoteReference w:id="188"/>
      </w:r>
    </w:p>
    <w:p w:rsidR="00B76C8F" w:rsidRPr="00CD44A3" w:rsidRDefault="00B76C8F" w:rsidP="00B76C8F">
      <w:pPr>
        <w:rPr>
          <w:szCs w:val="24"/>
        </w:rPr>
      </w:pPr>
    </w:p>
    <w:p w:rsidR="00B76C8F" w:rsidRPr="00CD44A3" w:rsidRDefault="00B76C8F" w:rsidP="000B6C37">
      <w:pPr>
        <w:pStyle w:val="ListParagraph"/>
        <w:numPr>
          <w:ilvl w:val="0"/>
          <w:numId w:val="6"/>
        </w:numPr>
        <w:rPr>
          <w:szCs w:val="24"/>
        </w:rPr>
      </w:pPr>
      <w:r w:rsidRPr="00CD44A3">
        <w:rPr>
          <w:szCs w:val="24"/>
        </w:rPr>
        <w:t>Councilwoman Mary Pat Clarke: “We got a lot [of licensed group homes] already.  Now we’re going to get more if this bill passes.”</w:t>
      </w:r>
      <w:r w:rsidRPr="00CD44A3">
        <w:rPr>
          <w:rStyle w:val="FootnoteReference"/>
          <w:szCs w:val="24"/>
        </w:rPr>
        <w:footnoteReference w:id="189"/>
      </w:r>
    </w:p>
    <w:p w:rsidR="00B76C8F" w:rsidRPr="00CD44A3" w:rsidRDefault="00B76C8F" w:rsidP="00B76C8F">
      <w:pPr>
        <w:rPr>
          <w:szCs w:val="24"/>
        </w:rPr>
      </w:pPr>
    </w:p>
    <w:p w:rsidR="00B76C8F" w:rsidRPr="00CD44A3" w:rsidRDefault="00B76C8F" w:rsidP="000B6C37">
      <w:pPr>
        <w:pStyle w:val="ListParagraph"/>
        <w:numPr>
          <w:ilvl w:val="0"/>
          <w:numId w:val="6"/>
        </w:numPr>
        <w:rPr>
          <w:szCs w:val="24"/>
        </w:rPr>
      </w:pPr>
      <w:r w:rsidRPr="00CD44A3">
        <w:rPr>
          <w:szCs w:val="24"/>
        </w:rPr>
        <w:t>Councilwoman Rochelle Spector: “[Y]ou did mention two of the most important things that we hope that we can resolve by going through this process . . . . The fear that we have that our neighborhoods will be saturated . . . .”</w:t>
      </w:r>
      <w:r w:rsidRPr="00CD44A3">
        <w:rPr>
          <w:rStyle w:val="FootnoteReference"/>
          <w:szCs w:val="24"/>
        </w:rPr>
        <w:footnoteReference w:id="190"/>
      </w:r>
    </w:p>
    <w:p w:rsidR="00B76C8F" w:rsidRPr="00CD44A3" w:rsidRDefault="00B76C8F" w:rsidP="00B76C8F">
      <w:pPr>
        <w:pStyle w:val="ListParagraph"/>
        <w:ind w:left="768"/>
        <w:rPr>
          <w:szCs w:val="24"/>
        </w:rPr>
      </w:pPr>
    </w:p>
    <w:p w:rsidR="00B76C8F" w:rsidRPr="00CD44A3" w:rsidRDefault="00B76C8F" w:rsidP="000B6C37">
      <w:pPr>
        <w:pStyle w:val="ListParagraph"/>
        <w:numPr>
          <w:ilvl w:val="0"/>
          <w:numId w:val="6"/>
        </w:numPr>
        <w:rPr>
          <w:szCs w:val="24"/>
        </w:rPr>
      </w:pPr>
      <w:r w:rsidRPr="00CD44A3">
        <w:rPr>
          <w:szCs w:val="24"/>
        </w:rPr>
        <w:t>Councilman William Cole: “One of the concerns is that, you know, the proliferation of those dots [on the group homes map] is going to be centered in neighborhoods that, quite frankly, can’t support a large number of group homes. . . . .[I]f you put too many in one neighborhood it tips that balance.”</w:t>
      </w:r>
      <w:r w:rsidRPr="00CD44A3">
        <w:rPr>
          <w:rStyle w:val="FootnoteReference"/>
          <w:szCs w:val="24"/>
        </w:rPr>
        <w:footnoteReference w:id="191"/>
      </w:r>
    </w:p>
    <w:p w:rsidR="00B76C8F" w:rsidRPr="00CD44A3" w:rsidRDefault="00B76C8F" w:rsidP="00B76C8F">
      <w:pPr>
        <w:pStyle w:val="ListParagraph"/>
        <w:ind w:left="768"/>
        <w:rPr>
          <w:szCs w:val="24"/>
        </w:rPr>
      </w:pPr>
    </w:p>
    <w:p w:rsidR="00785800" w:rsidRDefault="00B76C8F" w:rsidP="003D6F9B">
      <w:pPr>
        <w:spacing w:line="480" w:lineRule="auto"/>
        <w:ind w:firstLine="720"/>
        <w:rPr>
          <w:szCs w:val="24"/>
        </w:rPr>
      </w:pPr>
      <w:r w:rsidRPr="00CD44A3">
        <w:rPr>
          <w:szCs w:val="24"/>
        </w:rPr>
        <w:t>City residents also expressed concerns about proliferation of group homes in their neighborhoods</w:t>
      </w:r>
      <w:r w:rsidR="00785800">
        <w:rPr>
          <w:szCs w:val="24"/>
        </w:rPr>
        <w:t>, including the following:</w:t>
      </w:r>
    </w:p>
    <w:p w:rsidR="00785800" w:rsidRDefault="00785800" w:rsidP="00785800">
      <w:pPr>
        <w:pStyle w:val="ListParagraph"/>
        <w:numPr>
          <w:ilvl w:val="0"/>
          <w:numId w:val="15"/>
        </w:numPr>
        <w:rPr>
          <w:szCs w:val="24"/>
        </w:rPr>
      </w:pPr>
      <w:r w:rsidRPr="00785800">
        <w:rPr>
          <w:szCs w:val="24"/>
        </w:rPr>
        <w:t>“We’re also concerned about a super saturation of the licensed facilities in certain areas because that’s the only place that the programs can afford to locate.”</w:t>
      </w:r>
      <w:r w:rsidR="00B76C8F" w:rsidRPr="00785800">
        <w:rPr>
          <w:rStyle w:val="FootnoteReference"/>
          <w:szCs w:val="24"/>
        </w:rPr>
        <w:footnoteReference w:id="192"/>
      </w:r>
      <w:r w:rsidR="00B76C8F" w:rsidRPr="00785800">
        <w:rPr>
          <w:szCs w:val="24"/>
        </w:rPr>
        <w:t xml:space="preserve"> </w:t>
      </w:r>
    </w:p>
    <w:p w:rsidR="00C36EC9" w:rsidRPr="00785800" w:rsidRDefault="00C36EC9" w:rsidP="00C36EC9">
      <w:pPr>
        <w:pStyle w:val="ListParagraph"/>
        <w:rPr>
          <w:szCs w:val="24"/>
        </w:rPr>
      </w:pPr>
    </w:p>
    <w:p w:rsidR="00B76C8F" w:rsidRDefault="00785800" w:rsidP="00785800">
      <w:pPr>
        <w:pStyle w:val="ListParagraph"/>
        <w:numPr>
          <w:ilvl w:val="0"/>
          <w:numId w:val="15"/>
        </w:numPr>
        <w:rPr>
          <w:szCs w:val="24"/>
        </w:rPr>
      </w:pPr>
      <w:r w:rsidRPr="00785800">
        <w:rPr>
          <w:szCs w:val="24"/>
        </w:rPr>
        <w:t>“This seems like such a NIMBY issue, but Lauraville seems to have a fair share of these homes already.”</w:t>
      </w:r>
      <w:r w:rsidRPr="00785800">
        <w:rPr>
          <w:rStyle w:val="FootnoteReference"/>
          <w:szCs w:val="24"/>
        </w:rPr>
        <w:footnoteReference w:id="193"/>
      </w:r>
    </w:p>
    <w:p w:rsidR="00C36EC9" w:rsidRPr="00C36EC9" w:rsidRDefault="00C36EC9" w:rsidP="00C36EC9">
      <w:pPr>
        <w:rPr>
          <w:szCs w:val="24"/>
        </w:rPr>
      </w:pPr>
    </w:p>
    <w:p w:rsidR="00785800" w:rsidRDefault="00785800" w:rsidP="00785800">
      <w:pPr>
        <w:pStyle w:val="ListParagraph"/>
        <w:numPr>
          <w:ilvl w:val="0"/>
          <w:numId w:val="15"/>
        </w:numPr>
        <w:rPr>
          <w:szCs w:val="24"/>
        </w:rPr>
      </w:pPr>
      <w:r w:rsidRPr="00785800">
        <w:rPr>
          <w:szCs w:val="24"/>
        </w:rPr>
        <w:t>“My husband and I are . . . concerned about . . . how many group homes would be permitted on a given street or in a given area, as this can certainly affect the quiet residential nature of an area.”</w:t>
      </w:r>
      <w:r w:rsidRPr="00785800">
        <w:rPr>
          <w:rStyle w:val="FootnoteReference"/>
          <w:szCs w:val="24"/>
        </w:rPr>
        <w:footnoteReference w:id="194"/>
      </w:r>
    </w:p>
    <w:p w:rsidR="00C36EC9" w:rsidRPr="00C36EC9" w:rsidRDefault="00C36EC9" w:rsidP="00C36EC9">
      <w:pPr>
        <w:rPr>
          <w:szCs w:val="24"/>
        </w:rPr>
      </w:pPr>
    </w:p>
    <w:p w:rsidR="00785800" w:rsidRDefault="00785800" w:rsidP="00785800">
      <w:pPr>
        <w:pStyle w:val="ListParagraph"/>
        <w:numPr>
          <w:ilvl w:val="0"/>
          <w:numId w:val="15"/>
        </w:numPr>
        <w:rPr>
          <w:szCs w:val="24"/>
        </w:rPr>
      </w:pPr>
      <w:r w:rsidRPr="00785800">
        <w:rPr>
          <w:szCs w:val="24"/>
        </w:rPr>
        <w:t>“As for the Central Forest Park community we have several group homes already.”</w:t>
      </w:r>
      <w:r w:rsidRPr="00785800">
        <w:rPr>
          <w:rStyle w:val="FootnoteReference"/>
          <w:szCs w:val="24"/>
        </w:rPr>
        <w:footnoteReference w:id="195"/>
      </w:r>
    </w:p>
    <w:p w:rsidR="00785800" w:rsidRPr="00785800" w:rsidRDefault="00785800" w:rsidP="00785800">
      <w:pPr>
        <w:ind w:left="360"/>
        <w:rPr>
          <w:szCs w:val="24"/>
        </w:rPr>
      </w:pPr>
    </w:p>
    <w:p w:rsidR="003D6F9B" w:rsidRDefault="00B76C8F" w:rsidP="00B76C8F">
      <w:pPr>
        <w:spacing w:line="480" w:lineRule="auto"/>
        <w:ind w:firstLine="720"/>
        <w:rPr>
          <w:szCs w:val="24"/>
        </w:rPr>
      </w:pPr>
      <w:r w:rsidRPr="00CD44A3">
        <w:rPr>
          <w:szCs w:val="24"/>
        </w:rPr>
        <w:t xml:space="preserve">Many courts have also found that concerns about </w:t>
      </w:r>
      <w:r w:rsidRPr="003D6F9B">
        <w:rPr>
          <w:i/>
          <w:szCs w:val="24"/>
        </w:rPr>
        <w:t>property values</w:t>
      </w:r>
      <w:r w:rsidRPr="00CD44A3">
        <w:rPr>
          <w:szCs w:val="24"/>
        </w:rPr>
        <w:t xml:space="preserve"> support a finding of intentional discrimination.  In </w:t>
      </w:r>
      <w:r w:rsidRPr="00CD44A3">
        <w:rPr>
          <w:szCs w:val="24"/>
          <w:u w:val="single"/>
        </w:rPr>
        <w:t>Potomac Group Home Corp. v. Montgomery County</w:t>
      </w:r>
      <w:r w:rsidRPr="00CD44A3">
        <w:rPr>
          <w:szCs w:val="24"/>
        </w:rPr>
        <w:t xml:space="preserve">, </w:t>
      </w:r>
      <w:r w:rsidR="00D16990">
        <w:rPr>
          <w:szCs w:val="24"/>
        </w:rPr>
        <w:t xml:space="preserve">this </w:t>
      </w:r>
      <w:r w:rsidRPr="00CD44A3">
        <w:rPr>
          <w:szCs w:val="24"/>
        </w:rPr>
        <w:t>court ruled that Montgomery County violated the FHA and ordered it to modify its laws.</w:t>
      </w:r>
      <w:r w:rsidRPr="00CD44A3">
        <w:rPr>
          <w:rStyle w:val="FootnoteReference"/>
          <w:szCs w:val="24"/>
        </w:rPr>
        <w:footnoteReference w:id="196"/>
      </w:r>
      <w:r w:rsidRPr="00CD44A3">
        <w:rPr>
          <w:szCs w:val="24"/>
        </w:rPr>
        <w:t xml:space="preserve">  One of the factors the court considered was a petition opposing a home for elderly persons with disabilities stating that the home would “lead to the ‘demise’ of their ‘refined neighborhood’ and to the lowering of property values.”</w:t>
      </w:r>
      <w:r w:rsidRPr="00CD44A3">
        <w:rPr>
          <w:rStyle w:val="FootnoteReference"/>
          <w:szCs w:val="24"/>
        </w:rPr>
        <w:footnoteReference w:id="197"/>
      </w:r>
      <w:r w:rsidRPr="00CD44A3">
        <w:rPr>
          <w:szCs w:val="24"/>
        </w:rPr>
        <w:t xml:space="preserve">  Similarly, in </w:t>
      </w:r>
      <w:r w:rsidRPr="00CD44A3">
        <w:rPr>
          <w:szCs w:val="24"/>
          <w:u w:val="single"/>
        </w:rPr>
        <w:t>Horizon House</w:t>
      </w:r>
      <w:r w:rsidR="00D16990">
        <w:rPr>
          <w:szCs w:val="24"/>
        </w:rPr>
        <w:t>, this</w:t>
      </w:r>
      <w:r w:rsidRPr="00CD44A3">
        <w:rPr>
          <w:szCs w:val="24"/>
        </w:rPr>
        <w:t xml:space="preserve"> court enjoined a zoning ordinance, holding that its spacing requirement for group homes was motivated by discriminatory intent, based in part on a town supervisor’s observation that “people perceive that property values will go down.”</w:t>
      </w:r>
      <w:r w:rsidRPr="00CD44A3">
        <w:rPr>
          <w:rStyle w:val="FootnoteReference"/>
          <w:szCs w:val="24"/>
        </w:rPr>
        <w:footnoteReference w:id="198"/>
      </w:r>
      <w:r w:rsidRPr="00CD44A3">
        <w:rPr>
          <w:szCs w:val="24"/>
        </w:rPr>
        <w:t xml:space="preserve">  </w:t>
      </w:r>
    </w:p>
    <w:p w:rsidR="00325B78" w:rsidRDefault="00B76C8F" w:rsidP="00B76C8F">
      <w:pPr>
        <w:spacing w:line="480" w:lineRule="auto"/>
        <w:ind w:firstLine="720"/>
        <w:rPr>
          <w:szCs w:val="24"/>
        </w:rPr>
      </w:pPr>
      <w:r w:rsidRPr="00CD44A3">
        <w:rPr>
          <w:szCs w:val="24"/>
        </w:rPr>
        <w:t>Like the communities in these cases, Baltimore residents also opined that allowing residential substance abuse treatment programs to locate as of right would negatively impact property values</w:t>
      </w:r>
      <w:r w:rsidR="00325B78">
        <w:rPr>
          <w:szCs w:val="24"/>
        </w:rPr>
        <w:t>, including:</w:t>
      </w:r>
    </w:p>
    <w:p w:rsidR="00591F6E" w:rsidRDefault="00325B78" w:rsidP="00591F6E">
      <w:pPr>
        <w:pStyle w:val="ListParagraph"/>
        <w:numPr>
          <w:ilvl w:val="0"/>
          <w:numId w:val="17"/>
        </w:numPr>
        <w:rPr>
          <w:szCs w:val="24"/>
        </w:rPr>
      </w:pPr>
      <w:r w:rsidRPr="00B624EB">
        <w:rPr>
          <w:szCs w:val="24"/>
        </w:rPr>
        <w:t>“Are you telling [community members] they should stand by as you change to a process that is guaranteed to lower their property values and take away from their quality of life?”</w:t>
      </w:r>
      <w:r w:rsidR="00B76C8F" w:rsidRPr="00B624EB">
        <w:rPr>
          <w:rStyle w:val="FootnoteReference"/>
          <w:szCs w:val="24"/>
        </w:rPr>
        <w:footnoteReference w:id="199"/>
      </w:r>
    </w:p>
    <w:p w:rsidR="00A86530" w:rsidRPr="00A86530" w:rsidRDefault="00A86530" w:rsidP="00A86530">
      <w:pPr>
        <w:pStyle w:val="ListParagraph"/>
        <w:rPr>
          <w:szCs w:val="24"/>
        </w:rPr>
      </w:pPr>
    </w:p>
    <w:p w:rsidR="00B76C8F" w:rsidRDefault="00B624EB" w:rsidP="00325B78">
      <w:pPr>
        <w:pStyle w:val="ListParagraph"/>
        <w:numPr>
          <w:ilvl w:val="0"/>
          <w:numId w:val="17"/>
        </w:numPr>
        <w:rPr>
          <w:szCs w:val="24"/>
        </w:rPr>
      </w:pPr>
      <w:r w:rsidRPr="00B624EB">
        <w:rPr>
          <w:szCs w:val="24"/>
        </w:rPr>
        <w:t>“Nearing retirement, I am very concerned about the value of my property.  I believe that additional group homes in my neighborhood will decrease the value of my property and put my major investment at risk.”</w:t>
      </w:r>
      <w:r w:rsidRPr="00B624EB">
        <w:rPr>
          <w:rStyle w:val="FootnoteReference"/>
          <w:szCs w:val="24"/>
        </w:rPr>
        <w:footnoteReference w:id="200"/>
      </w:r>
    </w:p>
    <w:p w:rsidR="00591F6E" w:rsidRPr="00591F6E" w:rsidRDefault="00591F6E" w:rsidP="00591F6E">
      <w:pPr>
        <w:rPr>
          <w:szCs w:val="24"/>
        </w:rPr>
      </w:pPr>
    </w:p>
    <w:p w:rsidR="00325B78" w:rsidRDefault="00B624EB" w:rsidP="00591F6E">
      <w:pPr>
        <w:pStyle w:val="ListParagraph"/>
        <w:numPr>
          <w:ilvl w:val="0"/>
          <w:numId w:val="17"/>
        </w:numPr>
        <w:rPr>
          <w:szCs w:val="24"/>
        </w:rPr>
      </w:pPr>
      <w:r w:rsidRPr="00B624EB">
        <w:rPr>
          <w:szCs w:val="24"/>
        </w:rPr>
        <w:t>“There was also a concern regarding property values in a neighborhood once a group home has opened.”</w:t>
      </w:r>
      <w:r w:rsidRPr="00B624EB">
        <w:rPr>
          <w:rStyle w:val="FootnoteReference"/>
          <w:szCs w:val="24"/>
        </w:rPr>
        <w:footnoteReference w:id="201"/>
      </w:r>
    </w:p>
    <w:p w:rsidR="00591F6E" w:rsidRPr="00591F6E" w:rsidRDefault="00591F6E" w:rsidP="00591F6E">
      <w:pPr>
        <w:rPr>
          <w:szCs w:val="24"/>
        </w:rPr>
      </w:pPr>
    </w:p>
    <w:p w:rsidR="00B624EB" w:rsidRDefault="00B76C8F" w:rsidP="00B76C8F">
      <w:pPr>
        <w:spacing w:line="480" w:lineRule="auto"/>
        <w:ind w:firstLine="720"/>
        <w:rPr>
          <w:szCs w:val="24"/>
        </w:rPr>
      </w:pPr>
      <w:r w:rsidRPr="00CD44A3">
        <w:rPr>
          <w:szCs w:val="24"/>
        </w:rPr>
        <w:t xml:space="preserve">Courts have </w:t>
      </w:r>
      <w:r w:rsidR="00D16990">
        <w:rPr>
          <w:szCs w:val="24"/>
        </w:rPr>
        <w:t xml:space="preserve">also </w:t>
      </w:r>
      <w:r w:rsidRPr="00CD44A3">
        <w:rPr>
          <w:szCs w:val="24"/>
        </w:rPr>
        <w:t xml:space="preserve">found statements about perceptions of possible </w:t>
      </w:r>
      <w:r w:rsidRPr="003D6F9B">
        <w:rPr>
          <w:i/>
          <w:szCs w:val="24"/>
        </w:rPr>
        <w:t>criminal activity</w:t>
      </w:r>
      <w:r w:rsidRPr="00CD44A3">
        <w:rPr>
          <w:szCs w:val="24"/>
        </w:rPr>
        <w:t xml:space="preserve"> to be evidence of discriminatory intent.</w:t>
      </w:r>
      <w:r w:rsidR="00730F45">
        <w:rPr>
          <w:szCs w:val="24"/>
        </w:rPr>
        <w:t xml:space="preserve">  In </w:t>
      </w:r>
      <w:r w:rsidR="00730F45" w:rsidRPr="00730F45">
        <w:rPr>
          <w:szCs w:val="24"/>
          <w:u w:val="single"/>
        </w:rPr>
        <w:t>First Step</w:t>
      </w:r>
      <w:r w:rsidR="00730F45">
        <w:rPr>
          <w:szCs w:val="24"/>
        </w:rPr>
        <w:t xml:space="preserve">, the court found </w:t>
      </w:r>
      <w:r w:rsidR="00730F45" w:rsidRPr="00730F45">
        <w:rPr>
          <w:szCs w:val="24"/>
        </w:rPr>
        <w:t>strong evidence of intentional discrimination where a constituent said “[What] if there’s someone I have to go and tell that family or get a phone call that one of your loved one[s] just was killed by somebody from First Step.”</w:t>
      </w:r>
      <w:r w:rsidRPr="00730F45">
        <w:rPr>
          <w:rStyle w:val="FootnoteReference"/>
          <w:szCs w:val="24"/>
        </w:rPr>
        <w:footnoteReference w:id="202"/>
      </w:r>
      <w:r w:rsidRPr="00CD44A3">
        <w:rPr>
          <w:szCs w:val="24"/>
        </w:rPr>
        <w:t xml:space="preserve">  </w:t>
      </w:r>
      <w:r w:rsidR="000159F9" w:rsidRPr="00B624EB">
        <w:rPr>
          <w:szCs w:val="24"/>
        </w:rPr>
        <w:t>In</w:t>
      </w:r>
      <w:r w:rsidR="000159F9">
        <w:rPr>
          <w:szCs w:val="24"/>
        </w:rPr>
        <w:t xml:space="preserve"> this case</w:t>
      </w:r>
      <w:r w:rsidRPr="00CD44A3">
        <w:rPr>
          <w:szCs w:val="24"/>
        </w:rPr>
        <w:t xml:space="preserve">, Councilman Robert Curran’s </w:t>
      </w:r>
      <w:r w:rsidR="00B624EB">
        <w:rPr>
          <w:szCs w:val="24"/>
        </w:rPr>
        <w:t xml:space="preserve">statements </w:t>
      </w:r>
      <w:r w:rsidR="00EA348F">
        <w:rPr>
          <w:szCs w:val="24"/>
        </w:rPr>
        <w:t xml:space="preserve">similarly </w:t>
      </w:r>
      <w:r w:rsidR="000159F9">
        <w:rPr>
          <w:szCs w:val="24"/>
        </w:rPr>
        <w:t>demonstrate animus against people with disabilities</w:t>
      </w:r>
      <w:r w:rsidR="003A5A5F">
        <w:rPr>
          <w:szCs w:val="24"/>
        </w:rPr>
        <w:t>:</w:t>
      </w:r>
    </w:p>
    <w:p w:rsidR="00B624EB" w:rsidRDefault="00B624EB" w:rsidP="00B624EB">
      <w:pPr>
        <w:pStyle w:val="ListParagraph"/>
        <w:numPr>
          <w:ilvl w:val="0"/>
          <w:numId w:val="18"/>
        </w:numPr>
        <w:rPr>
          <w:szCs w:val="24"/>
        </w:rPr>
      </w:pPr>
      <w:r w:rsidRPr="00EA348F">
        <w:rPr>
          <w:szCs w:val="24"/>
        </w:rPr>
        <w:t>“Would this legislation allow the re-integration into communities of folks that are through the criminal justice system such as murderers to be re-integrated into communities in group homes?”</w:t>
      </w:r>
      <w:r w:rsidR="00B76C8F" w:rsidRPr="00EA348F">
        <w:rPr>
          <w:rStyle w:val="FootnoteReference"/>
          <w:szCs w:val="24"/>
        </w:rPr>
        <w:footnoteReference w:id="203"/>
      </w:r>
    </w:p>
    <w:p w:rsidR="007A139D" w:rsidRPr="007A139D" w:rsidRDefault="007A139D" w:rsidP="007A139D">
      <w:pPr>
        <w:rPr>
          <w:szCs w:val="24"/>
        </w:rPr>
      </w:pPr>
    </w:p>
    <w:p w:rsidR="00B76C8F" w:rsidRPr="00EA348F" w:rsidRDefault="00B624EB" w:rsidP="00B624EB">
      <w:pPr>
        <w:pStyle w:val="ListParagraph"/>
        <w:numPr>
          <w:ilvl w:val="0"/>
          <w:numId w:val="18"/>
        </w:numPr>
        <w:rPr>
          <w:szCs w:val="24"/>
        </w:rPr>
      </w:pPr>
      <w:r w:rsidRPr="00EA348F">
        <w:rPr>
          <w:szCs w:val="24"/>
        </w:rPr>
        <w:t>“[O]bviously those of the criminal justice system such as Mr. Hopkins, who murdered two councilmen 30 years ago, could be allowed to re-integrate into the community in the group home legislation that we are understanding here tonight.”</w:t>
      </w:r>
      <w:r w:rsidRPr="00EA348F">
        <w:rPr>
          <w:rStyle w:val="FootnoteReference"/>
          <w:szCs w:val="24"/>
        </w:rPr>
        <w:footnoteReference w:id="204"/>
      </w:r>
      <w:r w:rsidR="00B76C8F" w:rsidRPr="00EA348F">
        <w:rPr>
          <w:szCs w:val="24"/>
        </w:rPr>
        <w:t xml:space="preserve">  </w:t>
      </w:r>
    </w:p>
    <w:p w:rsidR="00B624EB" w:rsidRPr="00B624EB" w:rsidRDefault="00B624EB" w:rsidP="00B624EB">
      <w:pPr>
        <w:rPr>
          <w:szCs w:val="24"/>
        </w:rPr>
      </w:pPr>
    </w:p>
    <w:p w:rsidR="00B76C8F" w:rsidRPr="00CD44A3" w:rsidRDefault="00B76C8F" w:rsidP="00B76C8F">
      <w:pPr>
        <w:spacing w:line="480" w:lineRule="auto"/>
        <w:ind w:firstLine="720"/>
        <w:rPr>
          <w:szCs w:val="24"/>
        </w:rPr>
      </w:pPr>
      <w:r w:rsidRPr="00CD44A3">
        <w:rPr>
          <w:szCs w:val="24"/>
        </w:rPr>
        <w:t xml:space="preserve">Furthermore, in </w:t>
      </w:r>
      <w:r w:rsidRPr="00CD44A3">
        <w:rPr>
          <w:szCs w:val="24"/>
          <w:u w:val="single"/>
        </w:rPr>
        <w:t>Project Life, Inc. v. Glendening</w:t>
      </w:r>
      <w:r w:rsidRPr="00CD44A3">
        <w:rPr>
          <w:szCs w:val="24"/>
        </w:rPr>
        <w:t xml:space="preserve">, </w:t>
      </w:r>
      <w:r w:rsidR="00451D0C">
        <w:rPr>
          <w:szCs w:val="24"/>
        </w:rPr>
        <w:t>this</w:t>
      </w:r>
      <w:r w:rsidRPr="00CD44A3">
        <w:rPr>
          <w:szCs w:val="24"/>
        </w:rPr>
        <w:t xml:space="preserve"> court found an ADA violation based on the defendants’ “illegal acquiescence to [the] desire” not to have a program for recovering addicts “located in ‘their backyard.’”</w:t>
      </w:r>
      <w:r w:rsidRPr="00CD44A3">
        <w:rPr>
          <w:rStyle w:val="FootnoteReference"/>
          <w:szCs w:val="24"/>
        </w:rPr>
        <w:footnoteReference w:id="205"/>
      </w:r>
      <w:r w:rsidRPr="00CD44A3">
        <w:rPr>
          <w:szCs w:val="24"/>
        </w:rPr>
        <w:t xml:space="preserve">  Considering a zoning discrimination case under the ADA, the Third Circuit observed that, “This case presents the familiar conflict between the legal principle of non-discrimination and the political principle of not-in-my-backyard.”</w:t>
      </w:r>
      <w:r w:rsidRPr="00CD44A3">
        <w:rPr>
          <w:rStyle w:val="FootnoteReference"/>
          <w:szCs w:val="24"/>
        </w:rPr>
        <w:footnoteReference w:id="206"/>
      </w:r>
      <w:r w:rsidR="001E486A">
        <w:rPr>
          <w:szCs w:val="24"/>
        </w:rPr>
        <w:t xml:space="preserve"> </w:t>
      </w:r>
      <w:r w:rsidRPr="00CD44A3">
        <w:rPr>
          <w:szCs w:val="24"/>
        </w:rPr>
        <w:t xml:space="preserve"> Based on this reasoning, Councilman Jack Young’s statements that no one would want to live next door to a group home also reflected animus against people with disabilities.</w:t>
      </w:r>
      <w:r w:rsidRPr="00CD44A3">
        <w:rPr>
          <w:rStyle w:val="FootnoteReference"/>
          <w:szCs w:val="24"/>
        </w:rPr>
        <w:footnoteReference w:id="207"/>
      </w:r>
      <w:r w:rsidRPr="00CD44A3">
        <w:rPr>
          <w:szCs w:val="24"/>
        </w:rPr>
        <w:t xml:space="preserve">   Non-discrimination must prevail over such animus.</w:t>
      </w:r>
    </w:p>
    <w:p w:rsidR="00B76C8F" w:rsidRPr="00CD44A3" w:rsidRDefault="003D6F9B" w:rsidP="003D6F9B">
      <w:pPr>
        <w:spacing w:line="480" w:lineRule="auto"/>
        <w:ind w:firstLine="720"/>
        <w:rPr>
          <w:szCs w:val="24"/>
        </w:rPr>
      </w:pPr>
      <w:r>
        <w:rPr>
          <w:szCs w:val="24"/>
        </w:rPr>
        <w:t xml:space="preserve">The Fourth Circuit has held that </w:t>
      </w:r>
      <w:r w:rsidR="00B76C8F" w:rsidRPr="00CD44A3">
        <w:rPr>
          <w:szCs w:val="24"/>
        </w:rPr>
        <w:t>“community views may be attributed to government bodies when the government acts in response to these views.”</w:t>
      </w:r>
      <w:r w:rsidR="00B76C8F" w:rsidRPr="00CD44A3">
        <w:rPr>
          <w:rStyle w:val="FootnoteReference"/>
          <w:szCs w:val="24"/>
        </w:rPr>
        <w:footnoteReference w:id="208"/>
      </w:r>
      <w:r w:rsidR="00B76C8F" w:rsidRPr="00CD44A3">
        <w:rPr>
          <w:szCs w:val="24"/>
        </w:rPr>
        <w:t xml:space="preserve">  Here, in addition to holding their own discriminatory views, the Council members felt obligated to represent their constituents’ views and were responsive to their constituents’ animus.</w:t>
      </w:r>
      <w:r w:rsidR="00B76C8F" w:rsidRPr="00CD44A3">
        <w:rPr>
          <w:rStyle w:val="FootnoteReference"/>
          <w:szCs w:val="24"/>
        </w:rPr>
        <w:footnoteReference w:id="209"/>
      </w:r>
      <w:r w:rsidR="00B76C8F" w:rsidRPr="00CD44A3">
        <w:rPr>
          <w:szCs w:val="24"/>
        </w:rPr>
        <w:t xml:space="preserve">  Because the CO requirement </w:t>
      </w:r>
      <w:r>
        <w:rPr>
          <w:szCs w:val="24"/>
        </w:rPr>
        <w:t>is</w:t>
      </w:r>
      <w:r w:rsidR="00B76C8F" w:rsidRPr="00CD44A3">
        <w:rPr>
          <w:szCs w:val="24"/>
        </w:rPr>
        <w:t xml:space="preserve"> impermissibly motivated by discriminatory animus against people with disabilities, as expressed by both the Council members and constituents to whom they were responsive, the requirement violates the ADA.</w:t>
      </w:r>
    </w:p>
    <w:p w:rsidR="00B76C8F" w:rsidRPr="00CD44A3" w:rsidRDefault="00B76C8F" w:rsidP="002A7DC5">
      <w:pPr>
        <w:pStyle w:val="Heading4"/>
        <w:numPr>
          <w:ilvl w:val="3"/>
          <w:numId w:val="14"/>
        </w:numPr>
        <w:ind w:left="2880" w:hanging="720"/>
        <w:rPr>
          <w:szCs w:val="24"/>
        </w:rPr>
      </w:pPr>
      <w:bookmarkStart w:id="25" w:name="_Toc290573120"/>
      <w:r w:rsidRPr="00CD44A3">
        <w:rPr>
          <w:szCs w:val="24"/>
          <w:u w:val="single"/>
        </w:rPr>
        <w:t>There Is No Legitimate Nondiscriminatory Reason For The CO Requirement</w:t>
      </w:r>
      <w:bookmarkEnd w:id="25"/>
    </w:p>
    <w:p w:rsidR="00B76C8F" w:rsidRPr="00CD44A3" w:rsidRDefault="00B76C8F" w:rsidP="00B76C8F">
      <w:pPr>
        <w:ind w:left="1440"/>
        <w:rPr>
          <w:szCs w:val="24"/>
        </w:rPr>
      </w:pPr>
    </w:p>
    <w:p w:rsidR="00B76C8F" w:rsidRPr="00CD44A3" w:rsidRDefault="00B76C8F" w:rsidP="00B76C8F">
      <w:pPr>
        <w:spacing w:line="480" w:lineRule="auto"/>
        <w:ind w:firstLine="720"/>
        <w:rPr>
          <w:szCs w:val="24"/>
        </w:rPr>
      </w:pPr>
      <w:r w:rsidRPr="00CD44A3">
        <w:rPr>
          <w:szCs w:val="24"/>
        </w:rPr>
        <w:t xml:space="preserve">Notwithstanding evidence that the </w:t>
      </w:r>
      <w:r w:rsidR="003D6F9B">
        <w:rPr>
          <w:szCs w:val="24"/>
        </w:rPr>
        <w:t xml:space="preserve">maintenance of the </w:t>
      </w:r>
      <w:r w:rsidRPr="00CD44A3">
        <w:rPr>
          <w:szCs w:val="24"/>
        </w:rPr>
        <w:t>CO requirement is based on discriminatory animus against people recovering from addiction, the City may attempt to “conceal discriminatory intent by claiming that they relied upon objective, neutral criteria” when deciding to leave the requirement intact.</w:t>
      </w:r>
      <w:r w:rsidRPr="00CD44A3">
        <w:rPr>
          <w:rStyle w:val="FootnoteReference"/>
          <w:szCs w:val="24"/>
        </w:rPr>
        <w:footnoteReference w:id="210"/>
      </w:r>
      <w:r w:rsidRPr="00CD44A3">
        <w:rPr>
          <w:szCs w:val="24"/>
        </w:rPr>
        <w:t xml:space="preserve">  But the animus described above reveals that any purported justifications are mere pretext.</w:t>
      </w:r>
      <w:r w:rsidRPr="00CD44A3">
        <w:rPr>
          <w:rStyle w:val="FootnoteReference"/>
          <w:szCs w:val="24"/>
        </w:rPr>
        <w:footnoteReference w:id="211"/>
      </w:r>
      <w:r w:rsidRPr="00CD44A3">
        <w:rPr>
          <w:szCs w:val="24"/>
        </w:rPr>
        <w:t xml:space="preserve">  No legitimate reasons exist for the maintenance of this requirement.  </w:t>
      </w:r>
    </w:p>
    <w:p w:rsidR="00B76C8F" w:rsidRPr="00CD44A3" w:rsidRDefault="00B76C8F" w:rsidP="00B76C8F">
      <w:pPr>
        <w:spacing w:line="480" w:lineRule="auto"/>
        <w:ind w:firstLine="720"/>
        <w:rPr>
          <w:szCs w:val="24"/>
        </w:rPr>
      </w:pPr>
      <w:r w:rsidRPr="00CD44A3">
        <w:rPr>
          <w:szCs w:val="24"/>
        </w:rPr>
        <w:t>The City’s own actions demonstrate that the requirement does not serve any legitimate interest.  The Planning Department has proposed eliminating the CO requirement entirely, including for residential substance abuse treatment facilities.</w:t>
      </w:r>
      <w:r w:rsidRPr="00CD44A3">
        <w:rPr>
          <w:rStyle w:val="FootnoteReference"/>
          <w:szCs w:val="24"/>
        </w:rPr>
        <w:footnoteReference w:id="212"/>
      </w:r>
      <w:r w:rsidRPr="00CD44A3">
        <w:rPr>
          <w:szCs w:val="24"/>
        </w:rPr>
        <w:t xml:space="preserve">  And two Mayors, two Planning Directors, the City’s current chief legal officer</w:t>
      </w:r>
      <w:r w:rsidR="009959FA">
        <w:rPr>
          <w:szCs w:val="24"/>
        </w:rPr>
        <w:t xml:space="preserve">, and many other City agencies </w:t>
      </w:r>
      <w:r w:rsidRPr="00CD44A3">
        <w:rPr>
          <w:szCs w:val="24"/>
        </w:rPr>
        <w:t xml:space="preserve">have </w:t>
      </w:r>
      <w:r w:rsidR="009959FA">
        <w:rPr>
          <w:szCs w:val="24"/>
        </w:rPr>
        <w:t xml:space="preserve">supported repealing </w:t>
      </w:r>
      <w:r w:rsidRPr="00CD44A3">
        <w:rPr>
          <w:szCs w:val="24"/>
        </w:rPr>
        <w:t>the requirement.</w:t>
      </w:r>
      <w:r w:rsidR="009959FA">
        <w:rPr>
          <w:rStyle w:val="FootnoteReference"/>
          <w:szCs w:val="24"/>
        </w:rPr>
        <w:footnoteReference w:id="213"/>
      </w:r>
      <w:r w:rsidRPr="00CD44A3">
        <w:rPr>
          <w:szCs w:val="24"/>
        </w:rPr>
        <w:t xml:space="preserve">  A process that the City’s own planning and legal experts have recommended doing away with cannot genuinely advance any legitimate governmental interest.  In addition, as discussed above in III.A.3., RSATPs have, in practice, located through every type of zoning approval </w:t>
      </w:r>
      <w:r w:rsidR="005A34C2">
        <w:rPr>
          <w:szCs w:val="24"/>
        </w:rPr>
        <w:t>–</w:t>
      </w:r>
      <w:r w:rsidRPr="00CD44A3">
        <w:rPr>
          <w:szCs w:val="24"/>
        </w:rPr>
        <w:t xml:space="preserve"> including through COs; through BMZA approval of a single-family dwelling, multiple-family dwelling, and rooming house; through permission as of right of a single-family dwelling and multiple-family dwelling; and with a reasonable accommodation for a single-family dwelling and a multiple-family dwelling.</w:t>
      </w:r>
      <w:r w:rsidRPr="00CD44A3">
        <w:rPr>
          <w:rStyle w:val="FootnoteReference"/>
          <w:szCs w:val="24"/>
        </w:rPr>
        <w:footnoteReference w:id="214"/>
      </w:r>
      <w:r w:rsidRPr="00CD44A3">
        <w:rPr>
          <w:szCs w:val="24"/>
        </w:rPr>
        <w:t xml:space="preserve">  The varying approaches that the City has taken to zoning RSATPs demonstrate that there can be no legitimate reason for subjecting these programs to the CO requirement in every zone and denying RSATPs the ability to locate in any zone as of right.  An interest that is so frequently disregarded cannot be legitimate.  In </w:t>
      </w:r>
      <w:r w:rsidRPr="00CD44A3">
        <w:rPr>
          <w:szCs w:val="24"/>
          <w:u w:val="single"/>
        </w:rPr>
        <w:t>Potomac Group Home</w:t>
      </w:r>
      <w:r w:rsidRPr="00CD44A3">
        <w:rPr>
          <w:szCs w:val="24"/>
        </w:rPr>
        <w:t>, the Maryland District court granted a motion for summary judgment after finding that the defendants had minimal, if any, legitimate interest in requiring group home providers to undergo a hearing, when they had often failed to hold a public hearing.</w:t>
      </w:r>
      <w:r w:rsidRPr="00CD44A3">
        <w:rPr>
          <w:rStyle w:val="FootnoteReference"/>
          <w:szCs w:val="24"/>
        </w:rPr>
        <w:footnoteReference w:id="215"/>
      </w:r>
      <w:r w:rsidRPr="00CD44A3">
        <w:rPr>
          <w:szCs w:val="24"/>
        </w:rPr>
        <w:t xml:space="preserve">  Similarly, because the City has allowed RSATPs to locate in many instances without obtaining a CO, there is no legitimate interest served by requiring them to undergo this process.</w:t>
      </w:r>
      <w:r w:rsidRPr="00CD44A3">
        <w:rPr>
          <w:rStyle w:val="FootnoteReference"/>
          <w:szCs w:val="24"/>
        </w:rPr>
        <w:footnoteReference w:id="216"/>
      </w:r>
      <w:r w:rsidRPr="00CD44A3">
        <w:rPr>
          <w:szCs w:val="24"/>
        </w:rPr>
        <w:t xml:space="preserve">  </w:t>
      </w:r>
    </w:p>
    <w:p w:rsidR="00B76C8F" w:rsidRPr="00CD44A3" w:rsidRDefault="00B76C8F" w:rsidP="00B76C8F">
      <w:pPr>
        <w:spacing w:line="480" w:lineRule="auto"/>
        <w:ind w:firstLine="720"/>
        <w:rPr>
          <w:szCs w:val="24"/>
        </w:rPr>
      </w:pPr>
      <w:r w:rsidRPr="00CD44A3">
        <w:rPr>
          <w:szCs w:val="24"/>
        </w:rPr>
        <w:t>There are no material facts in dispute and the United States is entitled to a judgment, as a matter of law, that the CO requi</w:t>
      </w:r>
      <w:r w:rsidR="003D6F9B">
        <w:rPr>
          <w:szCs w:val="24"/>
        </w:rPr>
        <w:t>rement for RSATPs constitutes a facial and</w:t>
      </w:r>
      <w:r w:rsidRPr="00CD44A3">
        <w:rPr>
          <w:szCs w:val="24"/>
        </w:rPr>
        <w:t xml:space="preserve"> intentional violation of title II of the ADA.</w:t>
      </w:r>
      <w:r w:rsidRPr="00CD44A3">
        <w:rPr>
          <w:rStyle w:val="FootnoteReference"/>
          <w:szCs w:val="24"/>
        </w:rPr>
        <w:footnoteReference w:id="217"/>
      </w:r>
    </w:p>
    <w:p w:rsidR="00B76C8F" w:rsidRPr="00CD44A3" w:rsidRDefault="00B76C8F" w:rsidP="000B6C37">
      <w:pPr>
        <w:pStyle w:val="ListParagraph"/>
        <w:numPr>
          <w:ilvl w:val="0"/>
          <w:numId w:val="7"/>
        </w:numPr>
        <w:spacing w:line="480" w:lineRule="auto"/>
        <w:jc w:val="center"/>
        <w:outlineLvl w:val="0"/>
        <w:rPr>
          <w:b/>
        </w:rPr>
      </w:pPr>
      <w:bookmarkStart w:id="26" w:name="_Toc290573121"/>
      <w:r w:rsidRPr="00CD44A3">
        <w:rPr>
          <w:b/>
          <w:caps/>
        </w:rPr>
        <w:t>Conclusion</w:t>
      </w:r>
      <w:bookmarkEnd w:id="26"/>
    </w:p>
    <w:p w:rsidR="00B76C8F" w:rsidRPr="00CD44A3" w:rsidRDefault="00B76C8F" w:rsidP="00B76C8F">
      <w:pPr>
        <w:pStyle w:val="ListParagraph"/>
        <w:spacing w:line="480" w:lineRule="auto"/>
        <w:ind w:left="0" w:firstLine="720"/>
        <w:rPr>
          <w:bCs/>
        </w:rPr>
      </w:pPr>
      <w:r w:rsidRPr="00CD44A3">
        <w:t xml:space="preserve">For the foregoing reasons, the United States respectfully requests that the Court grant summary judgment to the United States, finding the Defendant liable for violating title II of the ADA because the zoning code facially and intentionally discriminates against persons with disabilities.  In addition, the United States requests that the Court find invalid the Zoning Code provisions at </w:t>
      </w:r>
      <w:r w:rsidRPr="00CD44A3">
        <w:rPr>
          <w:bCs/>
        </w:rPr>
        <w:t>§§ 4-1004(3), 5-204(6), 6-309(7), 6-509(3)</w:t>
      </w:r>
      <w:r w:rsidRPr="00CD44A3">
        <w:t xml:space="preserve"> requiring </w:t>
      </w:r>
      <w:r w:rsidRPr="00CD44A3">
        <w:rPr>
          <w:bCs/>
        </w:rPr>
        <w:t xml:space="preserve">“homes for the rehabilitation of non-bedridden alcoholics” to obtain a conditional use ordinance; and enjoin the City from enforcing those provisions.  Further, the United States requests that that the Court require the City to undertake appropriate action to zone residential substance abuse treatment programs as follows: </w:t>
      </w:r>
    </w:p>
    <w:p w:rsidR="00B76C8F" w:rsidRPr="00CD44A3" w:rsidRDefault="00B76C8F" w:rsidP="000B6C37">
      <w:pPr>
        <w:pStyle w:val="ListParagraph"/>
        <w:numPr>
          <w:ilvl w:val="0"/>
          <w:numId w:val="3"/>
        </w:numPr>
        <w:spacing w:after="240"/>
        <w:ind w:right="720"/>
      </w:pPr>
      <w:r w:rsidRPr="00CD44A3">
        <w:rPr>
          <w:i/>
          <w:iCs/>
        </w:rPr>
        <w:t xml:space="preserve">Residential treatment programs of 1 to 8 persons:  </w:t>
      </w:r>
      <w:r w:rsidRPr="00CD44A3">
        <w:rPr>
          <w:iCs/>
        </w:rPr>
        <w:t>As of right, i</w:t>
      </w:r>
      <w:r w:rsidRPr="00CD44A3">
        <w:t xml:space="preserve">n all residential, office-residence, and business districts (R-1 to R-10, O-R, B-1 to B-5). </w:t>
      </w:r>
    </w:p>
    <w:p w:rsidR="00B76C8F" w:rsidRPr="00CD44A3" w:rsidRDefault="00B76C8F" w:rsidP="000B6C37">
      <w:pPr>
        <w:pStyle w:val="ListParagraph"/>
        <w:numPr>
          <w:ilvl w:val="0"/>
          <w:numId w:val="3"/>
        </w:numPr>
        <w:spacing w:after="240"/>
        <w:ind w:right="720"/>
      </w:pPr>
      <w:r w:rsidRPr="00CD44A3">
        <w:rPr>
          <w:i/>
          <w:iCs/>
        </w:rPr>
        <w:t>Residential treatment programs of 9 to 16 persons:</w:t>
      </w:r>
      <w:r w:rsidRPr="00CD44A3">
        <w:t xml:space="preserve">  </w:t>
      </w:r>
      <w:r w:rsidRPr="00CD44A3">
        <w:rPr>
          <w:iCs/>
        </w:rPr>
        <w:t>As of right, i</w:t>
      </w:r>
      <w:r w:rsidRPr="00CD44A3">
        <w:t>n residential districts where multiple-family dwellings are permitted as of right (R-6 to R-10), and all office-residence and business districts.</w:t>
      </w:r>
    </w:p>
    <w:p w:rsidR="00B76C8F" w:rsidRPr="00CD44A3" w:rsidRDefault="00B76C8F" w:rsidP="000B6C37">
      <w:pPr>
        <w:pStyle w:val="ListParagraph"/>
        <w:numPr>
          <w:ilvl w:val="0"/>
          <w:numId w:val="3"/>
        </w:numPr>
      </w:pPr>
      <w:r w:rsidRPr="00CD44A3">
        <w:rPr>
          <w:i/>
          <w:iCs/>
        </w:rPr>
        <w:t>Residential treatment programs of 17 or more persons:</w:t>
      </w:r>
      <w:r w:rsidRPr="00CD44A3">
        <w:t xml:space="preserve"> </w:t>
      </w:r>
      <w:r w:rsidRPr="00CD44A3">
        <w:rPr>
          <w:iCs/>
        </w:rPr>
        <w:t>As of right, i</w:t>
      </w:r>
      <w:r w:rsidRPr="00CD44A3">
        <w:t>n the most densely populated residential districts (R-8 to R-10), and all office-residence and business districts.</w:t>
      </w:r>
    </w:p>
    <w:p w:rsidR="00B76C8F" w:rsidRPr="00CD44A3" w:rsidRDefault="00B76C8F" w:rsidP="00B76C8F">
      <w:pPr>
        <w:pStyle w:val="ListParagraph"/>
        <w:ind w:left="0"/>
        <w:rPr>
          <w:bCs/>
        </w:rPr>
      </w:pPr>
      <w:r w:rsidRPr="00CD44A3">
        <w:rPr>
          <w:bCs/>
        </w:rPr>
        <w:t xml:space="preserve">  </w:t>
      </w:r>
    </w:p>
    <w:p w:rsidR="00B76C8F" w:rsidRPr="00CD44A3" w:rsidRDefault="00B76C8F" w:rsidP="00B76C8F">
      <w:pPr>
        <w:pStyle w:val="ListParagraph"/>
        <w:spacing w:line="480" w:lineRule="auto"/>
        <w:ind w:left="0"/>
      </w:pPr>
      <w:r w:rsidRPr="00CD44A3">
        <w:t xml:space="preserve">In the alternative, if the Court does not grant summary judgment to the United States on liability, then the United States requests that the Court grant partial summary judgment </w:t>
      </w:r>
      <w:r w:rsidR="00F67132">
        <w:t>on two</w:t>
      </w:r>
      <w:r w:rsidR="00F67132" w:rsidRPr="00CD44A3">
        <w:t xml:space="preserve"> discrete issue</w:t>
      </w:r>
      <w:r w:rsidR="00F67132">
        <w:t xml:space="preserve">s </w:t>
      </w:r>
      <w:r w:rsidR="004354F1">
        <w:t xml:space="preserve">(or either one) </w:t>
      </w:r>
      <w:r w:rsidR="00F67132">
        <w:t>by holding that: (1)</w:t>
      </w:r>
      <w:r w:rsidR="00F67132" w:rsidRPr="00CD44A3">
        <w:t xml:space="preserve"> individuals who receive treatment in </w:t>
      </w:r>
      <w:r w:rsidR="004354F1">
        <w:t xml:space="preserve">certified </w:t>
      </w:r>
      <w:r w:rsidR="00F67132" w:rsidRPr="00CD44A3">
        <w:t xml:space="preserve">residential substance abuse treatment programs </w:t>
      </w:r>
      <w:r w:rsidR="00BE4387">
        <w:t xml:space="preserve">in Baltimore </w:t>
      </w:r>
      <w:r w:rsidR="00F67132" w:rsidRPr="00CD44A3">
        <w:t xml:space="preserve">are disabled under the ADA, </w:t>
      </w:r>
      <w:r w:rsidR="00F67132">
        <w:t xml:space="preserve">and (2) </w:t>
      </w:r>
      <w:r w:rsidR="00F67132" w:rsidRPr="00CD44A3">
        <w:t xml:space="preserve">individuals who receive treatment in </w:t>
      </w:r>
      <w:r w:rsidR="004354F1">
        <w:t xml:space="preserve">certified </w:t>
      </w:r>
      <w:r w:rsidR="00F67132" w:rsidRPr="00CD44A3">
        <w:t xml:space="preserve">residential substance abuse treatment programs </w:t>
      </w:r>
      <w:r w:rsidR="00F67132">
        <w:t>in Baltimore do not pose a direct threat to the health or safety of others</w:t>
      </w:r>
      <w:r w:rsidRPr="00CD44A3">
        <w:t>.</w:t>
      </w:r>
    </w:p>
    <w:p w:rsidR="00B76C8F" w:rsidRPr="00CD44A3" w:rsidRDefault="00B76C8F" w:rsidP="00B76C8F">
      <w:pPr>
        <w:spacing w:line="480" w:lineRule="auto"/>
        <w:rPr>
          <w:szCs w:val="24"/>
        </w:rPr>
      </w:pPr>
    </w:p>
    <w:p w:rsidR="00B76C8F" w:rsidRPr="00CD44A3" w:rsidRDefault="00B76C8F" w:rsidP="00B76C8F">
      <w:pPr>
        <w:spacing w:after="200" w:line="276" w:lineRule="auto"/>
        <w:rPr>
          <w:szCs w:val="24"/>
        </w:rPr>
      </w:pPr>
      <w:r w:rsidRPr="00CD44A3">
        <w:rPr>
          <w:rFonts w:eastAsia="Calibri"/>
          <w:szCs w:val="24"/>
        </w:rPr>
        <w:t>Date:  April 15, 2011</w:t>
      </w:r>
      <w:r w:rsidRPr="00CD44A3">
        <w:rPr>
          <w:szCs w:val="24"/>
        </w:rPr>
        <w:tab/>
      </w:r>
      <w:r w:rsidRPr="00CD44A3">
        <w:rPr>
          <w:szCs w:val="24"/>
        </w:rPr>
        <w:tab/>
      </w:r>
      <w:r w:rsidRPr="00CD44A3">
        <w:rPr>
          <w:szCs w:val="24"/>
        </w:rPr>
        <w:tab/>
      </w:r>
      <w:r w:rsidRPr="00CD44A3">
        <w:rPr>
          <w:szCs w:val="24"/>
        </w:rPr>
        <w:tab/>
        <w:t>Respectfully submitted,</w:t>
      </w:r>
      <w:r w:rsidRPr="00CD44A3">
        <w:rPr>
          <w:szCs w:val="24"/>
        </w:rPr>
        <w:tab/>
      </w:r>
    </w:p>
    <w:p w:rsidR="00B76C8F" w:rsidRPr="00CD44A3" w:rsidRDefault="00B76C8F" w:rsidP="00B76C8F">
      <w:pPr>
        <w:rPr>
          <w:szCs w:val="24"/>
        </w:rPr>
      </w:pPr>
      <w:r w:rsidRPr="00CD44A3">
        <w:rPr>
          <w:szCs w:val="24"/>
        </w:rPr>
        <w:tab/>
      </w:r>
      <w:r w:rsidRPr="00CD44A3">
        <w:rPr>
          <w:szCs w:val="24"/>
        </w:rPr>
        <w:tab/>
      </w:r>
      <w:r w:rsidRPr="00CD44A3">
        <w:rPr>
          <w:szCs w:val="24"/>
        </w:rPr>
        <w:tab/>
      </w:r>
      <w:r w:rsidRPr="00CD44A3">
        <w:rPr>
          <w:szCs w:val="24"/>
        </w:rPr>
        <w:tab/>
      </w:r>
      <w:r w:rsidRPr="00CD44A3">
        <w:rPr>
          <w:szCs w:val="24"/>
        </w:rPr>
        <w:tab/>
      </w:r>
      <w:r w:rsidRPr="00CD44A3">
        <w:rPr>
          <w:szCs w:val="24"/>
        </w:rPr>
        <w:tab/>
        <w:t>THOMAS E. PEREZ</w:t>
      </w:r>
    </w:p>
    <w:p w:rsidR="00B76C8F" w:rsidRPr="00CD44A3" w:rsidRDefault="00B76C8F" w:rsidP="00B76C8F">
      <w:pPr>
        <w:ind w:left="3600" w:firstLine="720"/>
        <w:rPr>
          <w:szCs w:val="24"/>
        </w:rPr>
      </w:pPr>
      <w:r w:rsidRPr="00CD44A3">
        <w:rPr>
          <w:szCs w:val="24"/>
        </w:rPr>
        <w:t>Assistant Attorney General</w:t>
      </w:r>
    </w:p>
    <w:p w:rsidR="00B76C8F" w:rsidRPr="00CD44A3" w:rsidRDefault="00B76C8F" w:rsidP="00B76C8F">
      <w:pPr>
        <w:ind w:left="3600" w:firstLine="720"/>
        <w:rPr>
          <w:szCs w:val="24"/>
        </w:rPr>
      </w:pPr>
      <w:r w:rsidRPr="00CD44A3">
        <w:rPr>
          <w:szCs w:val="24"/>
        </w:rPr>
        <w:t>SAMUEL R. BAGENSTOS</w:t>
      </w:r>
    </w:p>
    <w:p w:rsidR="00B76C8F" w:rsidRPr="00CD44A3" w:rsidRDefault="00B76C8F" w:rsidP="00B76C8F">
      <w:pPr>
        <w:ind w:left="3600" w:firstLine="720"/>
        <w:rPr>
          <w:szCs w:val="24"/>
        </w:rPr>
      </w:pPr>
      <w:r w:rsidRPr="00CD44A3">
        <w:rPr>
          <w:szCs w:val="24"/>
        </w:rPr>
        <w:t>Principal Deputy Assistant Attorney General</w:t>
      </w:r>
    </w:p>
    <w:p w:rsidR="00B76C8F" w:rsidRPr="00CD44A3" w:rsidRDefault="00B76C8F" w:rsidP="00B76C8F">
      <w:pPr>
        <w:ind w:left="3600" w:firstLine="720"/>
        <w:rPr>
          <w:szCs w:val="24"/>
        </w:rPr>
      </w:pPr>
      <w:r w:rsidRPr="00CD44A3">
        <w:rPr>
          <w:szCs w:val="24"/>
        </w:rPr>
        <w:t>JOHN L. WODATCH</w:t>
      </w:r>
    </w:p>
    <w:p w:rsidR="00B76C8F" w:rsidRPr="00CD44A3" w:rsidRDefault="00B76C8F" w:rsidP="00B76C8F">
      <w:pPr>
        <w:ind w:left="3600" w:firstLine="720"/>
        <w:rPr>
          <w:szCs w:val="24"/>
        </w:rPr>
      </w:pPr>
      <w:r w:rsidRPr="00CD44A3">
        <w:rPr>
          <w:szCs w:val="24"/>
        </w:rPr>
        <w:t>Deputy Assistant Attorney General</w:t>
      </w:r>
    </w:p>
    <w:p w:rsidR="00B76C8F" w:rsidRPr="00CD44A3" w:rsidRDefault="00B76C8F" w:rsidP="00B76C8F">
      <w:pPr>
        <w:ind w:left="3600" w:firstLine="720"/>
        <w:rPr>
          <w:szCs w:val="24"/>
        </w:rPr>
      </w:pPr>
      <w:r w:rsidRPr="00CD44A3">
        <w:rPr>
          <w:szCs w:val="24"/>
        </w:rPr>
        <w:t>Civil Rights Division</w:t>
      </w:r>
    </w:p>
    <w:p w:rsidR="00B76C8F" w:rsidRPr="00CD44A3" w:rsidRDefault="00B76C8F" w:rsidP="00B76C8F">
      <w:pPr>
        <w:ind w:left="3600" w:hanging="3600"/>
        <w:rPr>
          <w:szCs w:val="24"/>
        </w:rPr>
      </w:pPr>
    </w:p>
    <w:p w:rsidR="00B76C8F" w:rsidRPr="00CD44A3" w:rsidRDefault="00B76C8F" w:rsidP="00B76C8F">
      <w:pPr>
        <w:ind w:left="3600" w:hanging="3600"/>
        <w:rPr>
          <w:szCs w:val="24"/>
        </w:rPr>
      </w:pPr>
      <w:r w:rsidRPr="00CD44A3">
        <w:rPr>
          <w:szCs w:val="24"/>
        </w:rPr>
        <w:tab/>
      </w:r>
      <w:r w:rsidRPr="00CD44A3">
        <w:rPr>
          <w:szCs w:val="24"/>
        </w:rPr>
        <w:tab/>
      </w:r>
    </w:p>
    <w:p w:rsidR="00B76C8F" w:rsidRPr="00CD44A3" w:rsidRDefault="00A65FF3" w:rsidP="00B76C8F">
      <w:pPr>
        <w:rPr>
          <w:szCs w:val="24"/>
        </w:rPr>
      </w:pPr>
      <w:r w:rsidRPr="00CD44A3">
        <w:rPr>
          <w:szCs w:val="24"/>
        </w:rPr>
        <w:tab/>
      </w:r>
      <w:r w:rsidRPr="00CD44A3">
        <w:rPr>
          <w:szCs w:val="24"/>
        </w:rPr>
        <w:tab/>
      </w:r>
      <w:r w:rsidRPr="00CD44A3">
        <w:rPr>
          <w:szCs w:val="24"/>
        </w:rPr>
        <w:tab/>
      </w:r>
      <w:r w:rsidRPr="00CD44A3">
        <w:rPr>
          <w:szCs w:val="24"/>
        </w:rPr>
        <w:tab/>
      </w:r>
      <w:r w:rsidRPr="00CD44A3">
        <w:rPr>
          <w:szCs w:val="24"/>
        </w:rPr>
        <w:tab/>
        <w:t xml:space="preserve">          </w:t>
      </w:r>
      <w:r w:rsidR="00B76C8F" w:rsidRPr="00CD44A3">
        <w:rPr>
          <w:szCs w:val="24"/>
        </w:rPr>
        <w:t>RENEE M. WOHLENHAUS, Acting Chief</w:t>
      </w:r>
    </w:p>
    <w:p w:rsidR="00B76C8F" w:rsidRPr="00CD44A3" w:rsidRDefault="00A65FF3" w:rsidP="00B76C8F">
      <w:pPr>
        <w:rPr>
          <w:szCs w:val="24"/>
        </w:rPr>
      </w:pPr>
      <w:r w:rsidRPr="00CD44A3">
        <w:rPr>
          <w:szCs w:val="24"/>
        </w:rPr>
        <w:tab/>
      </w:r>
      <w:r w:rsidRPr="00CD44A3">
        <w:rPr>
          <w:szCs w:val="24"/>
        </w:rPr>
        <w:tab/>
      </w:r>
      <w:r w:rsidRPr="00CD44A3">
        <w:rPr>
          <w:szCs w:val="24"/>
        </w:rPr>
        <w:tab/>
      </w:r>
      <w:r w:rsidRPr="00CD44A3">
        <w:rPr>
          <w:szCs w:val="24"/>
        </w:rPr>
        <w:tab/>
      </w:r>
      <w:r w:rsidRPr="00CD44A3">
        <w:rPr>
          <w:szCs w:val="24"/>
        </w:rPr>
        <w:tab/>
        <w:t xml:space="preserve">          </w:t>
      </w:r>
      <w:r w:rsidR="00B76C8F" w:rsidRPr="00CD44A3">
        <w:rPr>
          <w:szCs w:val="24"/>
        </w:rPr>
        <w:t>KATHLEEN WOLFE, Acting Special Legal Counsel</w:t>
      </w:r>
    </w:p>
    <w:p w:rsidR="00B76C8F" w:rsidRPr="00CD44A3" w:rsidRDefault="00B76C8F" w:rsidP="00B76C8F">
      <w:pPr>
        <w:ind w:firstLine="5040"/>
        <w:rPr>
          <w:szCs w:val="24"/>
        </w:rPr>
      </w:pPr>
    </w:p>
    <w:p w:rsidR="00B76C8F" w:rsidRPr="00CD44A3" w:rsidRDefault="00B76C8F" w:rsidP="00B76C8F">
      <w:pPr>
        <w:ind w:left="3600" w:firstLine="720"/>
        <w:rPr>
          <w:rFonts w:eastAsia="Calibri"/>
          <w:szCs w:val="24"/>
        </w:rPr>
      </w:pPr>
      <w:r w:rsidRPr="00CD44A3">
        <w:rPr>
          <w:rFonts w:eastAsia="Calibri"/>
          <w:szCs w:val="24"/>
          <w:u w:val="single"/>
        </w:rPr>
        <w:t xml:space="preserve">           /s/</w:t>
      </w:r>
      <w:r w:rsidRPr="00CD44A3">
        <w:rPr>
          <w:rFonts w:eastAsia="Calibri"/>
          <w:szCs w:val="24"/>
        </w:rPr>
        <w:t>________________</w:t>
      </w:r>
      <w:r w:rsidRPr="00CD44A3">
        <w:rPr>
          <w:rFonts w:eastAsia="Calibri"/>
          <w:szCs w:val="24"/>
          <w:u w:val="single"/>
        </w:rPr>
        <w:t xml:space="preserve">          </w:t>
      </w:r>
      <w:r w:rsidRPr="00CD44A3">
        <w:rPr>
          <w:rFonts w:eastAsia="Calibri"/>
          <w:szCs w:val="24"/>
        </w:rPr>
        <w:t xml:space="preserve"> </w:t>
      </w:r>
    </w:p>
    <w:p w:rsidR="00B76C8F" w:rsidRPr="00CD44A3" w:rsidRDefault="00B76C8F" w:rsidP="00B76C8F">
      <w:pPr>
        <w:rPr>
          <w:rFonts w:eastAsia="Calibri"/>
          <w:szCs w:val="24"/>
        </w:rPr>
      </w:pPr>
      <w:r w:rsidRPr="00CD44A3">
        <w:rPr>
          <w:rFonts w:eastAsia="Calibri"/>
          <w:szCs w:val="24"/>
        </w:rPr>
        <w:tab/>
      </w:r>
      <w:r w:rsidRPr="00CD44A3">
        <w:rPr>
          <w:rFonts w:eastAsia="Calibri"/>
          <w:szCs w:val="24"/>
        </w:rPr>
        <w:tab/>
      </w:r>
      <w:r w:rsidRPr="00CD44A3">
        <w:rPr>
          <w:rFonts w:eastAsia="Calibri"/>
          <w:szCs w:val="24"/>
        </w:rPr>
        <w:tab/>
      </w:r>
      <w:r w:rsidRPr="00CD44A3">
        <w:rPr>
          <w:rFonts w:eastAsia="Calibri"/>
          <w:szCs w:val="24"/>
        </w:rPr>
        <w:tab/>
      </w:r>
      <w:r w:rsidRPr="00CD44A3">
        <w:rPr>
          <w:rFonts w:eastAsia="Calibri"/>
          <w:szCs w:val="24"/>
        </w:rPr>
        <w:tab/>
      </w:r>
      <w:r w:rsidRPr="00CD44A3">
        <w:rPr>
          <w:rFonts w:eastAsia="Calibri"/>
          <w:szCs w:val="24"/>
        </w:rPr>
        <w:tab/>
        <w:t>AMANDA MAISELS</w:t>
      </w:r>
    </w:p>
    <w:p w:rsidR="00B76C8F" w:rsidRPr="00CD44A3" w:rsidRDefault="00B76C8F" w:rsidP="00B76C8F">
      <w:pPr>
        <w:rPr>
          <w:rFonts w:eastAsia="Calibri"/>
          <w:szCs w:val="24"/>
        </w:rPr>
      </w:pPr>
      <w:r w:rsidRPr="00CD44A3">
        <w:rPr>
          <w:rFonts w:eastAsia="Calibri"/>
          <w:szCs w:val="24"/>
        </w:rPr>
        <w:tab/>
      </w:r>
      <w:r w:rsidRPr="00CD44A3">
        <w:rPr>
          <w:rFonts w:eastAsia="Calibri"/>
          <w:szCs w:val="24"/>
        </w:rPr>
        <w:tab/>
      </w:r>
      <w:r w:rsidRPr="00CD44A3">
        <w:rPr>
          <w:rFonts w:eastAsia="Calibri"/>
          <w:szCs w:val="24"/>
        </w:rPr>
        <w:tab/>
      </w:r>
      <w:r w:rsidRPr="00CD44A3">
        <w:rPr>
          <w:rFonts w:eastAsia="Calibri"/>
          <w:szCs w:val="24"/>
        </w:rPr>
        <w:tab/>
      </w:r>
      <w:r w:rsidRPr="00CD44A3">
        <w:rPr>
          <w:rFonts w:eastAsia="Calibri"/>
          <w:szCs w:val="24"/>
        </w:rPr>
        <w:tab/>
      </w:r>
      <w:r w:rsidRPr="00CD44A3">
        <w:rPr>
          <w:rFonts w:eastAsia="Calibri"/>
          <w:szCs w:val="24"/>
        </w:rPr>
        <w:tab/>
        <w:t>JOY LEVIN WELAN</w:t>
      </w:r>
    </w:p>
    <w:p w:rsidR="00B76C8F" w:rsidRPr="00CD44A3" w:rsidRDefault="00B76C8F" w:rsidP="00B76C8F">
      <w:pPr>
        <w:rPr>
          <w:rFonts w:eastAsia="Calibri"/>
          <w:szCs w:val="24"/>
        </w:rPr>
      </w:pPr>
      <w:r w:rsidRPr="00CD44A3">
        <w:rPr>
          <w:rFonts w:eastAsia="Calibri"/>
          <w:szCs w:val="24"/>
        </w:rPr>
        <w:tab/>
      </w:r>
      <w:r w:rsidRPr="00CD44A3">
        <w:rPr>
          <w:rFonts w:eastAsia="Calibri"/>
          <w:szCs w:val="24"/>
        </w:rPr>
        <w:tab/>
      </w:r>
      <w:r w:rsidRPr="00CD44A3">
        <w:rPr>
          <w:rFonts w:eastAsia="Calibri"/>
          <w:szCs w:val="24"/>
        </w:rPr>
        <w:tab/>
      </w:r>
      <w:r w:rsidRPr="00CD44A3">
        <w:rPr>
          <w:rFonts w:eastAsia="Calibri"/>
          <w:szCs w:val="24"/>
        </w:rPr>
        <w:tab/>
      </w:r>
      <w:r w:rsidRPr="00CD44A3">
        <w:rPr>
          <w:rFonts w:eastAsia="Calibri"/>
          <w:szCs w:val="24"/>
        </w:rPr>
        <w:tab/>
      </w:r>
      <w:r w:rsidRPr="00CD44A3">
        <w:rPr>
          <w:rFonts w:eastAsia="Calibri"/>
          <w:szCs w:val="24"/>
        </w:rPr>
        <w:tab/>
        <w:t>NABINA J. SINHA</w:t>
      </w:r>
    </w:p>
    <w:p w:rsidR="00B76C8F" w:rsidRPr="00CD44A3" w:rsidRDefault="00B76C8F" w:rsidP="00B76C8F">
      <w:pPr>
        <w:rPr>
          <w:rFonts w:eastAsia="Calibri"/>
          <w:szCs w:val="24"/>
        </w:rPr>
      </w:pPr>
      <w:r w:rsidRPr="00CD44A3">
        <w:rPr>
          <w:rFonts w:eastAsia="Calibri"/>
          <w:szCs w:val="24"/>
        </w:rPr>
        <w:tab/>
      </w:r>
      <w:r w:rsidRPr="00CD44A3">
        <w:rPr>
          <w:rFonts w:eastAsia="Calibri"/>
          <w:szCs w:val="24"/>
        </w:rPr>
        <w:tab/>
      </w:r>
      <w:r w:rsidRPr="00CD44A3">
        <w:rPr>
          <w:rFonts w:eastAsia="Calibri"/>
          <w:szCs w:val="24"/>
        </w:rPr>
        <w:tab/>
      </w:r>
      <w:r w:rsidRPr="00CD44A3">
        <w:rPr>
          <w:rFonts w:eastAsia="Calibri"/>
          <w:szCs w:val="24"/>
        </w:rPr>
        <w:tab/>
      </w:r>
      <w:r w:rsidRPr="00CD44A3">
        <w:rPr>
          <w:rFonts w:eastAsia="Calibri"/>
          <w:szCs w:val="24"/>
        </w:rPr>
        <w:tab/>
      </w:r>
      <w:r w:rsidRPr="00CD44A3">
        <w:rPr>
          <w:rFonts w:eastAsia="Calibri"/>
          <w:szCs w:val="24"/>
        </w:rPr>
        <w:tab/>
        <w:t>Trial Attorneys</w:t>
      </w:r>
    </w:p>
    <w:p w:rsidR="00B76C8F" w:rsidRPr="00CD44A3" w:rsidRDefault="00B76C8F" w:rsidP="00B76C8F">
      <w:pPr>
        <w:rPr>
          <w:rFonts w:eastAsia="Calibri"/>
          <w:szCs w:val="24"/>
        </w:rPr>
      </w:pPr>
      <w:r w:rsidRPr="00CD44A3">
        <w:rPr>
          <w:rFonts w:eastAsia="Calibri"/>
          <w:szCs w:val="24"/>
        </w:rPr>
        <w:tab/>
      </w:r>
      <w:r w:rsidRPr="00CD44A3">
        <w:rPr>
          <w:rFonts w:eastAsia="Calibri"/>
          <w:szCs w:val="24"/>
        </w:rPr>
        <w:tab/>
      </w:r>
      <w:r w:rsidRPr="00CD44A3">
        <w:rPr>
          <w:rFonts w:eastAsia="Calibri"/>
          <w:szCs w:val="24"/>
        </w:rPr>
        <w:tab/>
      </w:r>
      <w:r w:rsidRPr="00CD44A3">
        <w:rPr>
          <w:rFonts w:eastAsia="Calibri"/>
          <w:szCs w:val="24"/>
        </w:rPr>
        <w:tab/>
      </w:r>
      <w:r w:rsidRPr="00CD44A3">
        <w:rPr>
          <w:rFonts w:eastAsia="Calibri"/>
          <w:szCs w:val="24"/>
        </w:rPr>
        <w:tab/>
      </w:r>
      <w:r w:rsidRPr="00CD44A3">
        <w:rPr>
          <w:rFonts w:eastAsia="Calibri"/>
          <w:szCs w:val="24"/>
        </w:rPr>
        <w:tab/>
        <w:t>Disability Rights Section</w:t>
      </w:r>
    </w:p>
    <w:p w:rsidR="00B76C8F" w:rsidRPr="00CD44A3" w:rsidRDefault="00B76C8F" w:rsidP="00B76C8F">
      <w:pPr>
        <w:rPr>
          <w:rFonts w:eastAsia="Calibri"/>
          <w:szCs w:val="24"/>
        </w:rPr>
      </w:pPr>
      <w:r w:rsidRPr="00CD44A3">
        <w:rPr>
          <w:rFonts w:eastAsia="Calibri"/>
          <w:szCs w:val="24"/>
        </w:rPr>
        <w:tab/>
      </w:r>
      <w:r w:rsidRPr="00CD44A3">
        <w:rPr>
          <w:rFonts w:eastAsia="Calibri"/>
          <w:szCs w:val="24"/>
        </w:rPr>
        <w:tab/>
      </w:r>
      <w:r w:rsidRPr="00CD44A3">
        <w:rPr>
          <w:rFonts w:eastAsia="Calibri"/>
          <w:szCs w:val="24"/>
        </w:rPr>
        <w:tab/>
      </w:r>
      <w:r w:rsidRPr="00CD44A3">
        <w:rPr>
          <w:rFonts w:eastAsia="Calibri"/>
          <w:szCs w:val="24"/>
        </w:rPr>
        <w:tab/>
      </w:r>
      <w:r w:rsidRPr="00CD44A3">
        <w:rPr>
          <w:rFonts w:eastAsia="Calibri"/>
          <w:szCs w:val="24"/>
        </w:rPr>
        <w:tab/>
      </w:r>
      <w:r w:rsidRPr="00CD44A3">
        <w:rPr>
          <w:rFonts w:eastAsia="Calibri"/>
          <w:szCs w:val="24"/>
        </w:rPr>
        <w:tab/>
        <w:t xml:space="preserve">Civil Rights Division </w:t>
      </w:r>
    </w:p>
    <w:p w:rsidR="00B76C8F" w:rsidRPr="00CD44A3" w:rsidRDefault="00B76C8F" w:rsidP="00B76C8F">
      <w:pPr>
        <w:rPr>
          <w:rFonts w:eastAsia="Calibri"/>
          <w:szCs w:val="24"/>
        </w:rPr>
      </w:pPr>
      <w:r w:rsidRPr="00CD44A3">
        <w:rPr>
          <w:rFonts w:eastAsia="Calibri"/>
          <w:szCs w:val="24"/>
        </w:rPr>
        <w:tab/>
      </w:r>
      <w:r w:rsidRPr="00CD44A3">
        <w:rPr>
          <w:rFonts w:eastAsia="Calibri"/>
          <w:szCs w:val="24"/>
        </w:rPr>
        <w:tab/>
      </w:r>
      <w:r w:rsidRPr="00CD44A3">
        <w:rPr>
          <w:rFonts w:eastAsia="Calibri"/>
          <w:szCs w:val="24"/>
        </w:rPr>
        <w:tab/>
      </w:r>
      <w:r w:rsidRPr="00CD44A3">
        <w:rPr>
          <w:rFonts w:eastAsia="Calibri"/>
          <w:szCs w:val="24"/>
        </w:rPr>
        <w:tab/>
      </w:r>
      <w:r w:rsidRPr="00CD44A3">
        <w:rPr>
          <w:rFonts w:eastAsia="Calibri"/>
          <w:szCs w:val="24"/>
        </w:rPr>
        <w:tab/>
      </w:r>
      <w:r w:rsidRPr="00CD44A3">
        <w:rPr>
          <w:rFonts w:eastAsia="Calibri"/>
          <w:szCs w:val="24"/>
        </w:rPr>
        <w:tab/>
        <w:t>U.S. Department of Justice</w:t>
      </w:r>
    </w:p>
    <w:p w:rsidR="00B76C8F" w:rsidRPr="00CD44A3" w:rsidRDefault="00B76C8F" w:rsidP="00B76C8F">
      <w:pPr>
        <w:rPr>
          <w:rFonts w:eastAsia="Calibri"/>
          <w:szCs w:val="24"/>
        </w:rPr>
      </w:pPr>
      <w:r w:rsidRPr="00CD44A3">
        <w:rPr>
          <w:rFonts w:eastAsia="Calibri"/>
          <w:szCs w:val="24"/>
        </w:rPr>
        <w:tab/>
      </w:r>
      <w:r w:rsidRPr="00CD44A3">
        <w:rPr>
          <w:rFonts w:eastAsia="Calibri"/>
          <w:szCs w:val="24"/>
        </w:rPr>
        <w:tab/>
      </w:r>
      <w:r w:rsidRPr="00CD44A3">
        <w:rPr>
          <w:rFonts w:eastAsia="Calibri"/>
          <w:szCs w:val="24"/>
        </w:rPr>
        <w:tab/>
      </w:r>
      <w:r w:rsidRPr="00CD44A3">
        <w:rPr>
          <w:rFonts w:eastAsia="Calibri"/>
          <w:szCs w:val="24"/>
        </w:rPr>
        <w:tab/>
      </w:r>
      <w:r w:rsidRPr="00CD44A3">
        <w:rPr>
          <w:rFonts w:eastAsia="Calibri"/>
          <w:szCs w:val="24"/>
        </w:rPr>
        <w:tab/>
      </w:r>
      <w:r w:rsidRPr="00CD44A3">
        <w:rPr>
          <w:rFonts w:eastAsia="Calibri"/>
          <w:szCs w:val="24"/>
        </w:rPr>
        <w:tab/>
        <w:t>950 Pennsylvania Avenue NW - NYA</w:t>
      </w:r>
    </w:p>
    <w:p w:rsidR="00B76C8F" w:rsidRPr="00CD44A3" w:rsidRDefault="00B76C8F" w:rsidP="00B76C8F">
      <w:pPr>
        <w:rPr>
          <w:rFonts w:eastAsia="Calibri"/>
          <w:szCs w:val="24"/>
        </w:rPr>
      </w:pPr>
      <w:r w:rsidRPr="00CD44A3">
        <w:rPr>
          <w:rFonts w:eastAsia="Calibri"/>
          <w:szCs w:val="24"/>
        </w:rPr>
        <w:tab/>
      </w:r>
      <w:r w:rsidRPr="00CD44A3">
        <w:rPr>
          <w:rFonts w:eastAsia="Calibri"/>
          <w:szCs w:val="24"/>
        </w:rPr>
        <w:tab/>
      </w:r>
      <w:r w:rsidRPr="00CD44A3">
        <w:rPr>
          <w:rFonts w:eastAsia="Calibri"/>
          <w:szCs w:val="24"/>
        </w:rPr>
        <w:tab/>
      </w:r>
      <w:r w:rsidRPr="00CD44A3">
        <w:rPr>
          <w:rFonts w:eastAsia="Calibri"/>
          <w:szCs w:val="24"/>
        </w:rPr>
        <w:tab/>
      </w:r>
      <w:r w:rsidRPr="00CD44A3">
        <w:rPr>
          <w:rFonts w:eastAsia="Calibri"/>
          <w:szCs w:val="24"/>
        </w:rPr>
        <w:tab/>
      </w:r>
      <w:r w:rsidRPr="00CD44A3">
        <w:rPr>
          <w:rFonts w:eastAsia="Calibri"/>
          <w:szCs w:val="24"/>
        </w:rPr>
        <w:tab/>
        <w:t>Washington, D.C.  20530</w:t>
      </w:r>
    </w:p>
    <w:p w:rsidR="00B76C8F" w:rsidRPr="00CD44A3" w:rsidRDefault="00B76C8F" w:rsidP="00B76C8F">
      <w:pPr>
        <w:tabs>
          <w:tab w:val="left" w:pos="720"/>
          <w:tab w:val="left" w:pos="1440"/>
          <w:tab w:val="left" w:pos="2160"/>
          <w:tab w:val="left" w:pos="2880"/>
          <w:tab w:val="left" w:pos="3600"/>
          <w:tab w:val="left" w:pos="4320"/>
          <w:tab w:val="left" w:pos="5040"/>
          <w:tab w:val="left" w:pos="5760"/>
        </w:tabs>
        <w:ind w:left="5760" w:hanging="5760"/>
        <w:rPr>
          <w:rFonts w:eastAsia="Calibri"/>
          <w:szCs w:val="24"/>
        </w:rPr>
      </w:pPr>
      <w:r w:rsidRPr="00CD44A3">
        <w:rPr>
          <w:rFonts w:eastAsia="Calibri"/>
          <w:szCs w:val="24"/>
        </w:rPr>
        <w:tab/>
      </w:r>
      <w:r w:rsidRPr="00CD44A3">
        <w:rPr>
          <w:rFonts w:eastAsia="Calibri"/>
          <w:szCs w:val="24"/>
        </w:rPr>
        <w:tab/>
      </w:r>
      <w:r w:rsidRPr="00CD44A3">
        <w:rPr>
          <w:rFonts w:eastAsia="Calibri"/>
          <w:szCs w:val="24"/>
        </w:rPr>
        <w:tab/>
      </w:r>
      <w:r w:rsidRPr="00CD44A3">
        <w:rPr>
          <w:rFonts w:eastAsia="Calibri"/>
          <w:szCs w:val="24"/>
        </w:rPr>
        <w:tab/>
      </w:r>
      <w:r w:rsidRPr="00CD44A3">
        <w:rPr>
          <w:rFonts w:eastAsia="Calibri"/>
          <w:szCs w:val="24"/>
        </w:rPr>
        <w:tab/>
      </w:r>
      <w:r w:rsidRPr="00CD44A3">
        <w:rPr>
          <w:rFonts w:eastAsia="Calibri"/>
          <w:szCs w:val="24"/>
        </w:rPr>
        <w:tab/>
        <w:t xml:space="preserve">Telephone:  </w:t>
      </w:r>
      <w:r w:rsidRPr="00CD44A3">
        <w:rPr>
          <w:rFonts w:eastAsia="Calibri"/>
          <w:szCs w:val="24"/>
        </w:rPr>
        <w:tab/>
        <w:t>(202) 305-8454</w:t>
      </w:r>
    </w:p>
    <w:p w:rsidR="00B76C8F" w:rsidRPr="00CD44A3" w:rsidRDefault="00B76C8F" w:rsidP="00B76C8F">
      <w:pPr>
        <w:tabs>
          <w:tab w:val="left" w:pos="720"/>
          <w:tab w:val="left" w:pos="1440"/>
          <w:tab w:val="left" w:pos="2160"/>
          <w:tab w:val="left" w:pos="2880"/>
          <w:tab w:val="left" w:pos="3600"/>
          <w:tab w:val="left" w:pos="4320"/>
          <w:tab w:val="left" w:pos="5040"/>
          <w:tab w:val="left" w:pos="5760"/>
        </w:tabs>
        <w:ind w:left="5760" w:hanging="5760"/>
        <w:rPr>
          <w:rFonts w:eastAsia="Calibri"/>
          <w:szCs w:val="24"/>
        </w:rPr>
      </w:pPr>
      <w:r w:rsidRPr="00CD44A3">
        <w:rPr>
          <w:rFonts w:eastAsia="Calibri"/>
          <w:szCs w:val="24"/>
        </w:rPr>
        <w:tab/>
      </w:r>
      <w:r w:rsidRPr="00CD44A3">
        <w:rPr>
          <w:rFonts w:eastAsia="Calibri"/>
          <w:szCs w:val="24"/>
        </w:rPr>
        <w:tab/>
      </w:r>
      <w:r w:rsidRPr="00CD44A3">
        <w:rPr>
          <w:rFonts w:eastAsia="Calibri"/>
          <w:szCs w:val="24"/>
        </w:rPr>
        <w:tab/>
      </w:r>
      <w:r w:rsidRPr="00CD44A3">
        <w:rPr>
          <w:rFonts w:eastAsia="Calibri"/>
          <w:szCs w:val="24"/>
        </w:rPr>
        <w:tab/>
      </w:r>
      <w:r w:rsidRPr="00CD44A3">
        <w:rPr>
          <w:rFonts w:eastAsia="Calibri"/>
          <w:szCs w:val="24"/>
        </w:rPr>
        <w:tab/>
      </w:r>
      <w:r w:rsidRPr="00CD44A3">
        <w:rPr>
          <w:rFonts w:eastAsia="Calibri"/>
          <w:szCs w:val="24"/>
        </w:rPr>
        <w:tab/>
        <w:t xml:space="preserve">Fax: </w:t>
      </w:r>
      <w:r w:rsidRPr="00CD44A3">
        <w:rPr>
          <w:rFonts w:eastAsia="Calibri"/>
          <w:szCs w:val="24"/>
        </w:rPr>
        <w:tab/>
      </w:r>
      <w:r w:rsidRPr="00CD44A3">
        <w:rPr>
          <w:rFonts w:eastAsia="Calibri"/>
          <w:szCs w:val="24"/>
        </w:rPr>
        <w:tab/>
        <w:t>(202) 305-9775</w:t>
      </w:r>
    </w:p>
    <w:p w:rsidR="00B76C8F" w:rsidRPr="00CD44A3" w:rsidRDefault="00B76C8F" w:rsidP="00B76C8F">
      <w:pPr>
        <w:rPr>
          <w:rFonts w:eastAsia="Calibri"/>
          <w:szCs w:val="24"/>
        </w:rPr>
      </w:pPr>
      <w:r w:rsidRPr="00CD44A3">
        <w:rPr>
          <w:rFonts w:eastAsia="Calibri"/>
          <w:szCs w:val="24"/>
        </w:rPr>
        <w:tab/>
      </w:r>
      <w:r w:rsidRPr="00CD44A3">
        <w:rPr>
          <w:rFonts w:eastAsia="Calibri"/>
          <w:szCs w:val="24"/>
        </w:rPr>
        <w:tab/>
      </w:r>
      <w:r w:rsidRPr="00CD44A3">
        <w:rPr>
          <w:rFonts w:eastAsia="Calibri"/>
          <w:szCs w:val="24"/>
        </w:rPr>
        <w:tab/>
      </w:r>
      <w:r w:rsidRPr="00CD44A3">
        <w:rPr>
          <w:rFonts w:eastAsia="Calibri"/>
          <w:szCs w:val="24"/>
        </w:rPr>
        <w:tab/>
      </w:r>
      <w:r w:rsidRPr="00CD44A3">
        <w:rPr>
          <w:rFonts w:eastAsia="Calibri"/>
          <w:szCs w:val="24"/>
        </w:rPr>
        <w:tab/>
      </w:r>
      <w:r w:rsidRPr="00CD44A3">
        <w:rPr>
          <w:rFonts w:eastAsia="Calibri"/>
          <w:szCs w:val="24"/>
        </w:rPr>
        <w:tab/>
        <w:t>Amanda.Maisels@usdoj.gov</w:t>
      </w:r>
    </w:p>
    <w:p w:rsidR="00B76C8F" w:rsidRPr="00CD44A3" w:rsidRDefault="00B76C8F" w:rsidP="00B76C8F">
      <w:pPr>
        <w:rPr>
          <w:rFonts w:eastAsia="Calibri"/>
          <w:szCs w:val="24"/>
        </w:rPr>
      </w:pPr>
      <w:r w:rsidRPr="00CD44A3">
        <w:rPr>
          <w:rFonts w:eastAsia="Calibri"/>
          <w:szCs w:val="24"/>
        </w:rPr>
        <w:tab/>
      </w:r>
      <w:r w:rsidRPr="00CD44A3">
        <w:rPr>
          <w:rFonts w:eastAsia="Calibri"/>
          <w:szCs w:val="24"/>
        </w:rPr>
        <w:tab/>
      </w:r>
      <w:r w:rsidRPr="00CD44A3">
        <w:rPr>
          <w:rFonts w:eastAsia="Calibri"/>
          <w:szCs w:val="24"/>
        </w:rPr>
        <w:tab/>
      </w:r>
      <w:r w:rsidRPr="00CD44A3">
        <w:rPr>
          <w:rFonts w:eastAsia="Calibri"/>
          <w:szCs w:val="24"/>
        </w:rPr>
        <w:tab/>
      </w:r>
      <w:r w:rsidRPr="00CD44A3">
        <w:rPr>
          <w:rFonts w:eastAsia="Calibri"/>
          <w:szCs w:val="24"/>
        </w:rPr>
        <w:tab/>
      </w:r>
      <w:r w:rsidRPr="00CD44A3">
        <w:rPr>
          <w:rFonts w:eastAsia="Calibri"/>
          <w:szCs w:val="24"/>
        </w:rPr>
        <w:tab/>
        <w:t>Joy.Welan@usdoj.gov</w:t>
      </w:r>
    </w:p>
    <w:p w:rsidR="000B6C37" w:rsidRPr="00CD44A3" w:rsidRDefault="00B76C8F" w:rsidP="00BB5BFA">
      <w:pPr>
        <w:ind w:left="3600" w:firstLine="720"/>
      </w:pPr>
      <w:r w:rsidRPr="00CD44A3">
        <w:rPr>
          <w:rFonts w:eastAsia="Calibri"/>
          <w:szCs w:val="24"/>
        </w:rPr>
        <w:t>Nabina.Sinha@usdoj.gov</w:t>
      </w:r>
    </w:p>
    <w:sectPr w:rsidR="000B6C37" w:rsidRPr="00CD44A3" w:rsidSect="00052E33">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240" w:rsidRDefault="009A3240" w:rsidP="00B76C8F">
      <w:r>
        <w:separator/>
      </w:r>
    </w:p>
  </w:endnote>
  <w:endnote w:type="continuationSeparator" w:id="0">
    <w:p w:rsidR="009A3240" w:rsidRDefault="009A3240" w:rsidP="00B76C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E6F" w:rsidRDefault="00276E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E6F" w:rsidRDefault="00276E6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240" w:rsidRDefault="009A3240">
    <w:pPr>
      <w:pStyle w:val="Footer"/>
      <w:jc w:val="center"/>
    </w:pPr>
  </w:p>
  <w:p w:rsidR="009A3240" w:rsidRDefault="009A324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436182"/>
      <w:docPartObj>
        <w:docPartGallery w:val="Page Numbers (Bottom of Page)"/>
        <w:docPartUnique/>
      </w:docPartObj>
    </w:sdtPr>
    <w:sdtContent>
      <w:p w:rsidR="009A3240" w:rsidRDefault="00377A22">
        <w:pPr>
          <w:pStyle w:val="Footer"/>
          <w:jc w:val="center"/>
        </w:pPr>
        <w:fldSimple w:instr=" PAGE   \* MERGEFORMAT ">
          <w:r w:rsidR="00AC4116">
            <w:rPr>
              <w:noProof/>
            </w:rPr>
            <w:t>i</w:t>
          </w:r>
        </w:fldSimple>
      </w:p>
    </w:sdtContent>
  </w:sdt>
  <w:p w:rsidR="009A3240" w:rsidRDefault="009A3240">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436183"/>
      <w:docPartObj>
        <w:docPartGallery w:val="Page Numbers (Bottom of Page)"/>
        <w:docPartUnique/>
      </w:docPartObj>
    </w:sdtPr>
    <w:sdtContent>
      <w:p w:rsidR="009A3240" w:rsidRDefault="00377A22">
        <w:pPr>
          <w:pStyle w:val="Footer"/>
          <w:jc w:val="center"/>
        </w:pPr>
        <w:fldSimple w:instr=" PAGE   \* MERGEFORMAT ">
          <w:r w:rsidR="009A3240">
            <w:rPr>
              <w:noProof/>
            </w:rPr>
            <w:t>i</w:t>
          </w:r>
        </w:fldSimple>
      </w:p>
    </w:sdtContent>
  </w:sdt>
  <w:p w:rsidR="009A3240" w:rsidRDefault="009A32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240" w:rsidRDefault="009A3240" w:rsidP="00B76C8F">
      <w:r>
        <w:separator/>
      </w:r>
    </w:p>
  </w:footnote>
  <w:footnote w:type="continuationSeparator" w:id="0">
    <w:p w:rsidR="009A3240" w:rsidRDefault="009A3240" w:rsidP="00B76C8F">
      <w:r>
        <w:continuationSeparator/>
      </w:r>
    </w:p>
  </w:footnote>
  <w:footnote w:id="1">
    <w:p w:rsidR="009A3240" w:rsidRPr="000E2F12" w:rsidRDefault="009A3240" w:rsidP="00B76C8F">
      <w:pPr>
        <w:pStyle w:val="FootnoteText"/>
        <w:widowControl/>
        <w:rPr>
          <w:sz w:val="22"/>
          <w:szCs w:val="22"/>
        </w:rPr>
      </w:pPr>
      <w:r>
        <w:rPr>
          <w:vertAlign w:val="superscript"/>
        </w:rPr>
        <w:footnoteRef/>
      </w:r>
      <w:r>
        <w:t xml:space="preserve"> </w:t>
      </w:r>
      <w:r>
        <w:rPr>
          <w:sz w:val="22"/>
          <w:szCs w:val="22"/>
        </w:rPr>
        <w:t>For purposes of this summary j</w:t>
      </w:r>
      <w:r w:rsidRPr="000E2F12">
        <w:rPr>
          <w:sz w:val="22"/>
          <w:szCs w:val="22"/>
        </w:rPr>
        <w:t xml:space="preserve">udgment motion, the United States argues that the Zoning Code is facially and intentionally discriminatory.  We reserve the right to argue additional legal theories, such as </w:t>
      </w:r>
      <w:r>
        <w:rPr>
          <w:sz w:val="22"/>
          <w:szCs w:val="22"/>
        </w:rPr>
        <w:t>an “</w:t>
      </w:r>
      <w:r w:rsidRPr="000E2F12">
        <w:rPr>
          <w:sz w:val="22"/>
          <w:szCs w:val="22"/>
        </w:rPr>
        <w:t>as applied</w:t>
      </w:r>
      <w:r>
        <w:rPr>
          <w:sz w:val="22"/>
          <w:szCs w:val="22"/>
        </w:rPr>
        <w:t>” theory,</w:t>
      </w:r>
      <w:r w:rsidRPr="000E2F12">
        <w:rPr>
          <w:sz w:val="22"/>
          <w:szCs w:val="22"/>
        </w:rPr>
        <w:t xml:space="preserve"> if the Court does not resolve the case at this juncture.</w:t>
      </w:r>
    </w:p>
  </w:footnote>
  <w:footnote w:id="2">
    <w:p w:rsidR="009A3240" w:rsidRPr="00CD6073" w:rsidRDefault="009A3240" w:rsidP="00B76C8F">
      <w:pPr>
        <w:pStyle w:val="FootnoteText"/>
        <w:rPr>
          <w:sz w:val="22"/>
          <w:szCs w:val="22"/>
        </w:rPr>
      </w:pPr>
      <w:r w:rsidRPr="00CD6073">
        <w:rPr>
          <w:rStyle w:val="FootnoteReference"/>
          <w:sz w:val="22"/>
          <w:szCs w:val="22"/>
        </w:rPr>
        <w:footnoteRef/>
      </w:r>
      <w:r w:rsidRPr="00CD6073">
        <w:rPr>
          <w:sz w:val="22"/>
          <w:szCs w:val="22"/>
        </w:rPr>
        <w:t xml:space="preserve"> ECF No. 1.</w:t>
      </w:r>
    </w:p>
  </w:footnote>
  <w:footnote w:id="3">
    <w:p w:rsidR="009A3240" w:rsidRPr="00CD6073" w:rsidRDefault="009A3240" w:rsidP="00B76C8F">
      <w:pPr>
        <w:pStyle w:val="FootnoteText"/>
        <w:rPr>
          <w:sz w:val="22"/>
          <w:szCs w:val="22"/>
        </w:rPr>
      </w:pPr>
      <w:r w:rsidRPr="00CD6073">
        <w:rPr>
          <w:rStyle w:val="FootnoteReference"/>
          <w:sz w:val="22"/>
          <w:szCs w:val="22"/>
        </w:rPr>
        <w:footnoteRef/>
      </w:r>
      <w:r w:rsidRPr="00CD6073">
        <w:rPr>
          <w:sz w:val="22"/>
          <w:szCs w:val="22"/>
        </w:rPr>
        <w:t xml:space="preserve"> ECF No. 7.  </w:t>
      </w:r>
    </w:p>
  </w:footnote>
  <w:footnote w:id="4">
    <w:p w:rsidR="009A3240" w:rsidRPr="00CD6073" w:rsidRDefault="009A3240" w:rsidP="00B76C8F">
      <w:pPr>
        <w:pStyle w:val="FootnoteText"/>
        <w:rPr>
          <w:sz w:val="22"/>
          <w:szCs w:val="22"/>
        </w:rPr>
      </w:pPr>
      <w:r w:rsidRPr="00CD6073">
        <w:rPr>
          <w:rStyle w:val="FootnoteReference"/>
          <w:sz w:val="22"/>
          <w:szCs w:val="22"/>
        </w:rPr>
        <w:footnoteRef/>
      </w:r>
      <w:r w:rsidRPr="00CD6073">
        <w:rPr>
          <w:sz w:val="22"/>
          <w:szCs w:val="22"/>
        </w:rPr>
        <w:t xml:space="preserve"> ECF No. 47.</w:t>
      </w:r>
    </w:p>
  </w:footnote>
  <w:footnote w:id="5">
    <w:p w:rsidR="009A3240" w:rsidRPr="00CD6073" w:rsidRDefault="009A3240" w:rsidP="00B76C8F">
      <w:pPr>
        <w:pStyle w:val="FootnoteText"/>
        <w:rPr>
          <w:sz w:val="22"/>
          <w:szCs w:val="22"/>
        </w:rPr>
      </w:pPr>
      <w:r w:rsidRPr="00CD6073">
        <w:rPr>
          <w:rStyle w:val="FootnoteReference"/>
          <w:sz w:val="22"/>
          <w:szCs w:val="22"/>
        </w:rPr>
        <w:footnoteRef/>
      </w:r>
      <w:r w:rsidRPr="00CD6073">
        <w:rPr>
          <w:sz w:val="22"/>
          <w:szCs w:val="22"/>
        </w:rPr>
        <w:t xml:space="preserve"> City 30(b)</w:t>
      </w:r>
      <w:r>
        <w:rPr>
          <w:sz w:val="22"/>
          <w:szCs w:val="22"/>
        </w:rPr>
        <w:t>(6) (David Tanner) Dep. 26:11-27:8</w:t>
      </w:r>
      <w:r w:rsidRPr="00CD6073">
        <w:rPr>
          <w:sz w:val="22"/>
          <w:szCs w:val="22"/>
        </w:rPr>
        <w:t xml:space="preserve"> (July 27</w:t>
      </w:r>
      <w:r>
        <w:rPr>
          <w:sz w:val="22"/>
          <w:szCs w:val="22"/>
        </w:rPr>
        <w:t>-28</w:t>
      </w:r>
      <w:r w:rsidRPr="00CD6073">
        <w:rPr>
          <w:sz w:val="22"/>
          <w:szCs w:val="22"/>
        </w:rPr>
        <w:t>, 2010) (hereinafter “Tanner Dep.”)</w:t>
      </w:r>
      <w:r>
        <w:rPr>
          <w:sz w:val="22"/>
          <w:szCs w:val="22"/>
        </w:rPr>
        <w:t xml:space="preserve"> (Ex. 1).</w:t>
      </w:r>
    </w:p>
  </w:footnote>
  <w:footnote w:id="6">
    <w:p w:rsidR="009A3240" w:rsidRPr="00CD6073" w:rsidRDefault="009A3240" w:rsidP="00B76C8F">
      <w:pPr>
        <w:pStyle w:val="FootnoteText"/>
        <w:rPr>
          <w:sz w:val="22"/>
          <w:szCs w:val="22"/>
        </w:rPr>
      </w:pPr>
      <w:r w:rsidRPr="00CD6073">
        <w:rPr>
          <w:rStyle w:val="FootnoteReference"/>
          <w:sz w:val="22"/>
          <w:szCs w:val="22"/>
        </w:rPr>
        <w:footnoteRef/>
      </w:r>
      <w:r w:rsidRPr="00CD6073">
        <w:rPr>
          <w:sz w:val="22"/>
          <w:szCs w:val="22"/>
        </w:rPr>
        <w:t xml:space="preserve"> </w:t>
      </w:r>
      <w:r w:rsidRPr="00CD6073">
        <w:rPr>
          <w:sz w:val="22"/>
          <w:szCs w:val="22"/>
          <w:u w:val="single"/>
        </w:rPr>
        <w:t>Id.</w:t>
      </w:r>
      <w:r w:rsidRPr="00CD6073">
        <w:rPr>
          <w:sz w:val="22"/>
          <w:szCs w:val="22"/>
        </w:rPr>
        <w:t xml:space="preserve"> 27:9-</w:t>
      </w:r>
      <w:r>
        <w:rPr>
          <w:sz w:val="22"/>
          <w:szCs w:val="22"/>
        </w:rPr>
        <w:t>28:</w:t>
      </w:r>
      <w:r w:rsidRPr="00CD6073">
        <w:rPr>
          <w:sz w:val="22"/>
          <w:szCs w:val="22"/>
        </w:rPr>
        <w:t>23</w:t>
      </w:r>
      <w:r>
        <w:rPr>
          <w:sz w:val="22"/>
          <w:szCs w:val="22"/>
        </w:rPr>
        <w:t>.</w:t>
      </w:r>
    </w:p>
  </w:footnote>
  <w:footnote w:id="7">
    <w:p w:rsidR="009A3240" w:rsidRPr="00CD6073" w:rsidRDefault="009A3240" w:rsidP="00B76C8F">
      <w:pPr>
        <w:pStyle w:val="FootnoteText"/>
        <w:rPr>
          <w:sz w:val="22"/>
          <w:szCs w:val="22"/>
        </w:rPr>
      </w:pPr>
      <w:r w:rsidRPr="00CD6073">
        <w:rPr>
          <w:rStyle w:val="FootnoteReference"/>
          <w:sz w:val="22"/>
          <w:szCs w:val="22"/>
        </w:rPr>
        <w:footnoteRef/>
      </w:r>
      <w:r w:rsidRPr="00CD6073">
        <w:rPr>
          <w:sz w:val="22"/>
          <w:szCs w:val="22"/>
        </w:rPr>
        <w:t xml:space="preserve"> </w:t>
      </w:r>
      <w:r w:rsidRPr="00CD6073">
        <w:rPr>
          <w:sz w:val="22"/>
          <w:szCs w:val="22"/>
          <w:u w:val="single"/>
        </w:rPr>
        <w:t>Id.</w:t>
      </w:r>
      <w:r w:rsidRPr="00CD6073">
        <w:rPr>
          <w:sz w:val="22"/>
          <w:szCs w:val="22"/>
        </w:rPr>
        <w:t xml:space="preserve"> 29:6-14</w:t>
      </w:r>
      <w:r>
        <w:rPr>
          <w:sz w:val="22"/>
          <w:szCs w:val="22"/>
        </w:rPr>
        <w:t>.</w:t>
      </w:r>
      <w:r w:rsidRPr="00CD6073">
        <w:rPr>
          <w:sz w:val="22"/>
          <w:szCs w:val="22"/>
        </w:rPr>
        <w:t xml:space="preserve">  </w:t>
      </w:r>
    </w:p>
  </w:footnote>
  <w:footnote w:id="8">
    <w:p w:rsidR="009A3240" w:rsidRPr="00CD6073" w:rsidRDefault="009A3240" w:rsidP="00B76C8F">
      <w:pPr>
        <w:pStyle w:val="FootnoteText"/>
        <w:rPr>
          <w:sz w:val="22"/>
          <w:szCs w:val="22"/>
        </w:rPr>
      </w:pPr>
      <w:r w:rsidRPr="00CD6073">
        <w:rPr>
          <w:rStyle w:val="FootnoteReference"/>
          <w:sz w:val="22"/>
          <w:szCs w:val="22"/>
        </w:rPr>
        <w:footnoteRef/>
      </w:r>
      <w:r w:rsidRPr="00CD6073">
        <w:rPr>
          <w:sz w:val="22"/>
          <w:szCs w:val="22"/>
        </w:rPr>
        <w:t xml:space="preserve"> </w:t>
      </w:r>
      <w:r w:rsidRPr="00CD6073">
        <w:rPr>
          <w:sz w:val="22"/>
          <w:szCs w:val="22"/>
          <w:u w:val="single"/>
        </w:rPr>
        <w:t>Id</w:t>
      </w:r>
      <w:r>
        <w:rPr>
          <w:sz w:val="22"/>
          <w:szCs w:val="22"/>
        </w:rPr>
        <w:t>. 21:25</w:t>
      </w:r>
      <w:r w:rsidRPr="00CD6073">
        <w:rPr>
          <w:sz w:val="22"/>
          <w:szCs w:val="22"/>
        </w:rPr>
        <w:t>-23:16, 30:25-31:10.</w:t>
      </w:r>
    </w:p>
  </w:footnote>
  <w:footnote w:id="9">
    <w:p w:rsidR="009A3240" w:rsidRPr="00CD6073" w:rsidRDefault="009A3240" w:rsidP="00B76C8F">
      <w:pPr>
        <w:pStyle w:val="FootnoteText"/>
        <w:rPr>
          <w:sz w:val="22"/>
          <w:szCs w:val="22"/>
        </w:rPr>
      </w:pPr>
      <w:r w:rsidRPr="00CD6073">
        <w:rPr>
          <w:rStyle w:val="FootnoteReference"/>
          <w:sz w:val="22"/>
          <w:szCs w:val="22"/>
        </w:rPr>
        <w:footnoteRef/>
      </w:r>
      <w:r w:rsidRPr="00CD6073">
        <w:rPr>
          <w:sz w:val="22"/>
          <w:szCs w:val="22"/>
        </w:rPr>
        <w:t xml:space="preserve"> Zoning Code of Baltimore City §§ 16-203, 16-301, 16-302, 16-401, 16-402 (</w:t>
      </w:r>
      <w:r>
        <w:rPr>
          <w:sz w:val="22"/>
          <w:szCs w:val="22"/>
        </w:rPr>
        <w:t xml:space="preserve">Dec. 31, </w:t>
      </w:r>
      <w:r w:rsidRPr="00CD6073">
        <w:rPr>
          <w:sz w:val="22"/>
          <w:szCs w:val="22"/>
        </w:rPr>
        <w:t xml:space="preserve">2010) (hereinafter “Zoning Code”) (available at </w:t>
      </w:r>
      <w:hyperlink r:id="rId1" w:history="1">
        <w:r w:rsidRPr="00CD6073">
          <w:rPr>
            <w:rStyle w:val="Hyperlink"/>
            <w:sz w:val="22"/>
            <w:szCs w:val="22"/>
          </w:rPr>
          <w:t>http://www.baltimorecity.gov/Portals/0/Charter%20and%20Codes/Code/Art%2000%20-%20Zoning.pdf</w:t>
        </w:r>
      </w:hyperlink>
      <w:r w:rsidRPr="00CD6073">
        <w:rPr>
          <w:sz w:val="22"/>
          <w:szCs w:val="22"/>
        </w:rPr>
        <w:t>)</w:t>
      </w:r>
      <w:r>
        <w:rPr>
          <w:sz w:val="22"/>
          <w:szCs w:val="22"/>
        </w:rPr>
        <w:t xml:space="preserve"> (Ex. 2)</w:t>
      </w:r>
      <w:r w:rsidRPr="00CD6073">
        <w:rPr>
          <w:sz w:val="22"/>
          <w:szCs w:val="22"/>
        </w:rPr>
        <w:t>; Answer ¶ 8</w:t>
      </w:r>
      <w:r>
        <w:rPr>
          <w:sz w:val="22"/>
          <w:szCs w:val="22"/>
        </w:rPr>
        <w:t>, ECF No. 7</w:t>
      </w:r>
      <w:r w:rsidRPr="00CD6073">
        <w:rPr>
          <w:sz w:val="22"/>
          <w:szCs w:val="22"/>
        </w:rPr>
        <w:t xml:space="preserve">; Baltimore City Dep’t of Planning, </w:t>
      </w:r>
      <w:r w:rsidRPr="00CD6073">
        <w:rPr>
          <w:sz w:val="22"/>
          <w:szCs w:val="22"/>
          <w:u w:val="single"/>
        </w:rPr>
        <w:t>Development Guidebook</w:t>
      </w:r>
      <w:r w:rsidRPr="00CD6073">
        <w:rPr>
          <w:sz w:val="22"/>
          <w:szCs w:val="22"/>
        </w:rPr>
        <w:t xml:space="preserve"> at 14-16 (updated Nov. 17, 2010) (hereinafter “Development Guidebook”)</w:t>
      </w:r>
      <w:r>
        <w:rPr>
          <w:sz w:val="22"/>
          <w:szCs w:val="22"/>
        </w:rPr>
        <w:t xml:space="preserve"> (Ex. 3)</w:t>
      </w:r>
      <w:r w:rsidRPr="00CD6073">
        <w:rPr>
          <w:sz w:val="22"/>
          <w:szCs w:val="22"/>
        </w:rPr>
        <w:t>.</w:t>
      </w:r>
    </w:p>
  </w:footnote>
  <w:footnote w:id="10">
    <w:p w:rsidR="009A3240" w:rsidRPr="00CD6073" w:rsidRDefault="009A3240" w:rsidP="00B76C8F">
      <w:pPr>
        <w:pStyle w:val="FootnoteText"/>
        <w:rPr>
          <w:sz w:val="22"/>
          <w:szCs w:val="22"/>
        </w:rPr>
      </w:pPr>
      <w:r w:rsidRPr="00CD6073">
        <w:rPr>
          <w:rStyle w:val="FootnoteReference"/>
          <w:sz w:val="22"/>
          <w:szCs w:val="22"/>
        </w:rPr>
        <w:footnoteRef/>
      </w:r>
      <w:r w:rsidRPr="00CD6073">
        <w:rPr>
          <w:sz w:val="22"/>
          <w:szCs w:val="22"/>
        </w:rPr>
        <w:t xml:space="preserve"> </w:t>
      </w:r>
      <w:r w:rsidRPr="00CD6073">
        <w:rPr>
          <w:sz w:val="22"/>
          <w:szCs w:val="22"/>
          <w:u w:val="single"/>
        </w:rPr>
        <w:t>Development Guidebook</w:t>
      </w:r>
      <w:r w:rsidRPr="00CD6073">
        <w:rPr>
          <w:sz w:val="22"/>
          <w:szCs w:val="22"/>
        </w:rPr>
        <w:t xml:space="preserve"> at 14</w:t>
      </w:r>
      <w:r>
        <w:rPr>
          <w:sz w:val="22"/>
          <w:szCs w:val="22"/>
        </w:rPr>
        <w:t xml:space="preserve"> (Ex. 3)</w:t>
      </w:r>
      <w:r w:rsidRPr="00CD6073">
        <w:rPr>
          <w:sz w:val="22"/>
          <w:szCs w:val="22"/>
        </w:rPr>
        <w:t xml:space="preserve">.  </w:t>
      </w:r>
    </w:p>
  </w:footnote>
  <w:footnote w:id="11">
    <w:p w:rsidR="009A3240" w:rsidRPr="00CD6073" w:rsidRDefault="009A3240" w:rsidP="00B76C8F">
      <w:pPr>
        <w:pStyle w:val="FootnoteText"/>
        <w:rPr>
          <w:sz w:val="22"/>
          <w:szCs w:val="22"/>
        </w:rPr>
      </w:pPr>
      <w:r w:rsidRPr="00CD6073">
        <w:rPr>
          <w:rStyle w:val="FootnoteReference"/>
          <w:sz w:val="22"/>
          <w:szCs w:val="22"/>
        </w:rPr>
        <w:footnoteRef/>
      </w:r>
      <w:r w:rsidRPr="00CD6073">
        <w:rPr>
          <w:sz w:val="22"/>
          <w:szCs w:val="22"/>
        </w:rPr>
        <w:t xml:space="preserve"> Tanner Dep. 32:22-33:20, 35:10-18</w:t>
      </w:r>
      <w:r>
        <w:rPr>
          <w:sz w:val="22"/>
          <w:szCs w:val="22"/>
        </w:rPr>
        <w:t xml:space="preserve"> (Ex. 1)</w:t>
      </w:r>
      <w:r w:rsidRPr="00CD6073">
        <w:rPr>
          <w:sz w:val="22"/>
          <w:szCs w:val="22"/>
        </w:rPr>
        <w:t>.</w:t>
      </w:r>
    </w:p>
  </w:footnote>
  <w:footnote w:id="12">
    <w:p w:rsidR="009A3240" w:rsidRPr="00CD6073" w:rsidRDefault="009A3240" w:rsidP="00B76C8F">
      <w:pPr>
        <w:pStyle w:val="FootnoteText"/>
        <w:rPr>
          <w:sz w:val="22"/>
          <w:szCs w:val="22"/>
        </w:rPr>
      </w:pPr>
      <w:r w:rsidRPr="00CD6073">
        <w:rPr>
          <w:rStyle w:val="FootnoteReference"/>
          <w:sz w:val="22"/>
          <w:szCs w:val="22"/>
        </w:rPr>
        <w:footnoteRef/>
      </w:r>
      <w:r w:rsidRPr="00CD6073">
        <w:rPr>
          <w:sz w:val="22"/>
          <w:szCs w:val="22"/>
        </w:rPr>
        <w:t xml:space="preserve"> State certification is required for all programs providing substance abu</w:t>
      </w:r>
      <w:r>
        <w:rPr>
          <w:sz w:val="22"/>
          <w:szCs w:val="22"/>
        </w:rPr>
        <w:t xml:space="preserve">se treatment and/or prevention.  </w:t>
      </w:r>
      <w:r w:rsidRPr="00CD6073">
        <w:rPr>
          <w:sz w:val="22"/>
          <w:szCs w:val="22"/>
        </w:rPr>
        <w:t xml:space="preserve">Md. Code Regs. (hereinafter “COMAR”) </w:t>
      </w:r>
      <w:r>
        <w:rPr>
          <w:sz w:val="22"/>
          <w:szCs w:val="22"/>
        </w:rPr>
        <w:t>§§ 1</w:t>
      </w:r>
      <w:r w:rsidRPr="00CD6073">
        <w:rPr>
          <w:sz w:val="22"/>
          <w:szCs w:val="22"/>
        </w:rPr>
        <w:t>0.47.04.03</w:t>
      </w:r>
      <w:r>
        <w:rPr>
          <w:sz w:val="22"/>
          <w:szCs w:val="22"/>
        </w:rPr>
        <w:t xml:space="preserve">.  In order to be certified, programs must follow </w:t>
      </w:r>
      <w:r w:rsidRPr="00CD6073">
        <w:rPr>
          <w:sz w:val="22"/>
          <w:szCs w:val="22"/>
        </w:rPr>
        <w:t>requirements relating to staff credentials, treatment plans, and the physical e</w:t>
      </w:r>
      <w:r>
        <w:rPr>
          <w:sz w:val="22"/>
          <w:szCs w:val="22"/>
        </w:rPr>
        <w:t>nvironment, among other things. COMAR  10.47.01.04 - .06, 10.47.02.06.  Certified programs are subject</w:t>
      </w:r>
      <w:r w:rsidRPr="00CD6073">
        <w:rPr>
          <w:sz w:val="22"/>
          <w:szCs w:val="22"/>
        </w:rPr>
        <w:t xml:space="preserve"> to announced and unannounced inspections.</w:t>
      </w:r>
      <w:r>
        <w:rPr>
          <w:sz w:val="22"/>
          <w:szCs w:val="22"/>
        </w:rPr>
        <w:t xml:space="preserve">  COMAR</w:t>
      </w:r>
      <w:r w:rsidRPr="00CD6073">
        <w:rPr>
          <w:sz w:val="22"/>
          <w:szCs w:val="22"/>
        </w:rPr>
        <w:t xml:space="preserve"> </w:t>
      </w:r>
      <w:r w:rsidR="00377A22">
        <w:rPr>
          <w:sz w:val="22"/>
          <w:szCs w:val="22"/>
        </w:rPr>
        <w:fldChar w:fldCharType="begin"/>
      </w:r>
      <w:r>
        <w:instrText xml:space="preserve"> TA \l "</w:instrText>
      </w:r>
      <w:r w:rsidRPr="00487D52">
        <w:instrText>Md. Code Regs. (hereinafter “COMAR”) 10.47.04.03, 10.47.01.04 - .06, 10.47.02.06, 10.47.04.04 - .07</w:instrText>
      </w:r>
      <w:r>
        <w:instrText xml:space="preserve">" \s "WSFTA_2aba0a5ae31c4c2d9cbeb60416c065ed" \c 12 </w:instrText>
      </w:r>
      <w:r w:rsidR="00377A22">
        <w:rPr>
          <w:sz w:val="22"/>
          <w:szCs w:val="22"/>
        </w:rPr>
        <w:fldChar w:fldCharType="end"/>
      </w:r>
      <w:r w:rsidRPr="00CD6073">
        <w:rPr>
          <w:sz w:val="22"/>
          <w:szCs w:val="22"/>
        </w:rPr>
        <w:t xml:space="preserve">10.47.04.04 - .07.  There are approximately 50 </w:t>
      </w:r>
      <w:r>
        <w:rPr>
          <w:sz w:val="22"/>
          <w:szCs w:val="22"/>
        </w:rPr>
        <w:t>certified residential treatment</w:t>
      </w:r>
      <w:r w:rsidRPr="00CD6073">
        <w:rPr>
          <w:sz w:val="22"/>
          <w:szCs w:val="22"/>
        </w:rPr>
        <w:t xml:space="preserve"> programs in the City of Baltimore.  </w:t>
      </w:r>
      <w:r w:rsidRPr="00E32CB8">
        <w:rPr>
          <w:sz w:val="22"/>
          <w:szCs w:val="22"/>
        </w:rPr>
        <w:t>City’s Supplemental Resp. to BCSAD’s Interrog. at Request No. 8, and Ex. A (Sept. 27, 2010) (hereinafter “Interrog. Resp. 9/27/2010”) (Ex. 4).</w:t>
      </w:r>
    </w:p>
  </w:footnote>
  <w:footnote w:id="13">
    <w:p w:rsidR="009A3240" w:rsidRPr="00CD6073" w:rsidRDefault="009A3240" w:rsidP="00B76C8F">
      <w:pPr>
        <w:pStyle w:val="FootnoteText"/>
        <w:rPr>
          <w:sz w:val="22"/>
          <w:szCs w:val="22"/>
        </w:rPr>
      </w:pPr>
      <w:r w:rsidRPr="00CD6073">
        <w:rPr>
          <w:rStyle w:val="FootnoteReference"/>
          <w:sz w:val="22"/>
          <w:szCs w:val="22"/>
        </w:rPr>
        <w:footnoteRef/>
      </w:r>
      <w:r w:rsidRPr="00CD6073">
        <w:rPr>
          <w:sz w:val="22"/>
          <w:szCs w:val="22"/>
        </w:rPr>
        <w:t xml:space="preserve"> </w:t>
      </w:r>
      <w:r w:rsidRPr="00CD6073">
        <w:rPr>
          <w:sz w:val="22"/>
          <w:szCs w:val="22"/>
          <w:u w:val="single"/>
        </w:rPr>
        <w:t>See, e.g.,</w:t>
      </w:r>
      <w:r w:rsidRPr="00CD6073">
        <w:rPr>
          <w:sz w:val="22"/>
          <w:szCs w:val="22"/>
        </w:rPr>
        <w:t xml:space="preserve"> Zoning Code §</w:t>
      </w:r>
      <w:r>
        <w:rPr>
          <w:sz w:val="22"/>
          <w:szCs w:val="22"/>
        </w:rPr>
        <w:t xml:space="preserve"> </w:t>
      </w:r>
      <w:r w:rsidRPr="00CD6073">
        <w:rPr>
          <w:sz w:val="22"/>
          <w:szCs w:val="22"/>
        </w:rPr>
        <w:t>4-1004(3); §</w:t>
      </w:r>
      <w:r>
        <w:rPr>
          <w:sz w:val="22"/>
          <w:szCs w:val="22"/>
        </w:rPr>
        <w:t xml:space="preserve"> </w:t>
      </w:r>
      <w:r w:rsidRPr="00CD6073">
        <w:rPr>
          <w:sz w:val="22"/>
          <w:szCs w:val="22"/>
        </w:rPr>
        <w:t>6-309(7)</w:t>
      </w:r>
      <w:r>
        <w:rPr>
          <w:sz w:val="22"/>
          <w:szCs w:val="22"/>
        </w:rPr>
        <w:t xml:space="preserve"> (Ex. 2)</w:t>
      </w:r>
      <w:r w:rsidRPr="00CD6073">
        <w:rPr>
          <w:sz w:val="22"/>
          <w:szCs w:val="22"/>
        </w:rPr>
        <w:t xml:space="preserve">.  In the past, some residential substance abuse treatment programs were classified as a “substance abuse treatment center,” which no longer exists in the Zoning Code.  </w:t>
      </w:r>
      <w:r w:rsidRPr="00CD6073">
        <w:rPr>
          <w:sz w:val="22"/>
          <w:szCs w:val="22"/>
          <w:u w:val="single"/>
        </w:rPr>
        <w:t>See, e.g.</w:t>
      </w:r>
      <w:r w:rsidRPr="00CD6073">
        <w:rPr>
          <w:sz w:val="22"/>
          <w:szCs w:val="22"/>
        </w:rPr>
        <w:t>, Ordinance (hereinafter “Ord.”)</w:t>
      </w:r>
      <w:r>
        <w:rPr>
          <w:sz w:val="22"/>
          <w:szCs w:val="22"/>
        </w:rPr>
        <w:t xml:space="preserve"> </w:t>
      </w:r>
      <w:r w:rsidRPr="00CD6073">
        <w:rPr>
          <w:sz w:val="22"/>
          <w:szCs w:val="22"/>
        </w:rPr>
        <w:t>01-154 for 2421 McElderry St., MCCB 1708-</w:t>
      </w:r>
      <w:r>
        <w:rPr>
          <w:sz w:val="22"/>
          <w:szCs w:val="22"/>
        </w:rPr>
        <w:t>0</w:t>
      </w:r>
      <w:r w:rsidRPr="00CD6073">
        <w:rPr>
          <w:sz w:val="22"/>
          <w:szCs w:val="22"/>
        </w:rPr>
        <w:t>9</w:t>
      </w:r>
      <w:r>
        <w:rPr>
          <w:sz w:val="22"/>
          <w:szCs w:val="22"/>
        </w:rPr>
        <w:t xml:space="preserve"> (Ex. 5)</w:t>
      </w:r>
      <w:r w:rsidRPr="00CD6073">
        <w:rPr>
          <w:sz w:val="22"/>
          <w:szCs w:val="22"/>
        </w:rPr>
        <w:t>; Zoning Code of Baltimore City (2010) (no “substance abuse treatment center” classification)</w:t>
      </w:r>
      <w:r>
        <w:rPr>
          <w:sz w:val="22"/>
          <w:szCs w:val="22"/>
        </w:rPr>
        <w:t xml:space="preserve"> </w:t>
      </w:r>
      <w:r w:rsidRPr="00CD6073">
        <w:rPr>
          <w:sz w:val="22"/>
          <w:szCs w:val="22"/>
        </w:rPr>
        <w:t xml:space="preserve">(available at </w:t>
      </w:r>
      <w:hyperlink r:id="rId2" w:history="1">
        <w:r w:rsidRPr="00CD6073">
          <w:rPr>
            <w:rStyle w:val="Hyperlink"/>
            <w:sz w:val="22"/>
            <w:szCs w:val="22"/>
          </w:rPr>
          <w:t>http://www.baltimorecity.gov/Portals/0/Charter%20and%20Codes/Code/Art%2000%20-%20Zoning.pdf</w:t>
        </w:r>
      </w:hyperlink>
      <w:r w:rsidRPr="00CD6073">
        <w:rPr>
          <w:sz w:val="22"/>
          <w:szCs w:val="22"/>
        </w:rPr>
        <w:t xml:space="preserve">).  A “substance abuse treatment center” was </w:t>
      </w:r>
      <w:r>
        <w:rPr>
          <w:sz w:val="22"/>
          <w:szCs w:val="22"/>
        </w:rPr>
        <w:t xml:space="preserve">formerly </w:t>
      </w:r>
      <w:r w:rsidRPr="00CD6073">
        <w:rPr>
          <w:sz w:val="22"/>
          <w:szCs w:val="22"/>
        </w:rPr>
        <w:t xml:space="preserve">defined in the Zoning Code as a nonresidential treatment center, and was required to get a CO in all zones.  </w:t>
      </w:r>
      <w:r w:rsidRPr="00CD6073">
        <w:rPr>
          <w:sz w:val="22"/>
          <w:szCs w:val="22"/>
          <w:u w:val="single"/>
        </w:rPr>
        <w:t>See</w:t>
      </w:r>
      <w:r w:rsidRPr="00CD6073">
        <w:rPr>
          <w:sz w:val="22"/>
          <w:szCs w:val="22"/>
        </w:rPr>
        <w:t xml:space="preserve"> Zoning Code of Baltimore City Compact Edition §</w:t>
      </w:r>
      <w:r>
        <w:rPr>
          <w:sz w:val="22"/>
          <w:szCs w:val="22"/>
        </w:rPr>
        <w:t xml:space="preserve"> </w:t>
      </w:r>
      <w:r w:rsidRPr="00CD6073">
        <w:rPr>
          <w:sz w:val="22"/>
          <w:szCs w:val="22"/>
        </w:rPr>
        <w:t>1-194, Table of Zoning Uses (2000)</w:t>
      </w:r>
      <w:r>
        <w:rPr>
          <w:sz w:val="22"/>
          <w:szCs w:val="22"/>
        </w:rPr>
        <w:t xml:space="preserve"> (Ex. 6)</w:t>
      </w:r>
      <w:r w:rsidRPr="00CD6073">
        <w:rPr>
          <w:sz w:val="22"/>
          <w:szCs w:val="22"/>
        </w:rPr>
        <w:t>.</w:t>
      </w:r>
    </w:p>
  </w:footnote>
  <w:footnote w:id="14">
    <w:p w:rsidR="009A3240" w:rsidRDefault="009A3240" w:rsidP="00B76C8F">
      <w:pPr>
        <w:pStyle w:val="FootnoteText"/>
      </w:pPr>
      <w:r w:rsidRPr="00CD6073">
        <w:rPr>
          <w:rStyle w:val="FootnoteReference"/>
          <w:sz w:val="22"/>
          <w:szCs w:val="22"/>
        </w:rPr>
        <w:footnoteRef/>
      </w:r>
      <w:r w:rsidRPr="00CD6073">
        <w:rPr>
          <w:sz w:val="22"/>
          <w:szCs w:val="22"/>
        </w:rPr>
        <w:t xml:space="preserve"> Tanner Dep. 177:6-15, 39:20-40:21, 44:7-22</w:t>
      </w:r>
      <w:r>
        <w:rPr>
          <w:sz w:val="22"/>
          <w:szCs w:val="22"/>
        </w:rPr>
        <w:t xml:space="preserve"> (Ex. 1)</w:t>
      </w:r>
      <w:r w:rsidRPr="00CD6073">
        <w:rPr>
          <w:sz w:val="22"/>
          <w:szCs w:val="22"/>
        </w:rPr>
        <w:t xml:space="preserve">; </w:t>
      </w:r>
      <w:r w:rsidRPr="00CD6073">
        <w:rPr>
          <w:sz w:val="22"/>
          <w:szCs w:val="22"/>
          <w:u w:val="single"/>
        </w:rPr>
        <w:t>See, e.g.,</w:t>
      </w:r>
      <w:r w:rsidRPr="00CD6073">
        <w:rPr>
          <w:sz w:val="22"/>
          <w:szCs w:val="22"/>
        </w:rPr>
        <w:t xml:space="preserve"> Ord</w:t>
      </w:r>
      <w:r>
        <w:rPr>
          <w:sz w:val="22"/>
          <w:szCs w:val="22"/>
        </w:rPr>
        <w:t xml:space="preserve">. </w:t>
      </w:r>
      <w:r w:rsidRPr="00CD6073">
        <w:rPr>
          <w:sz w:val="22"/>
          <w:szCs w:val="22"/>
          <w:lang w:val="en-CA"/>
        </w:rPr>
        <w:t>03-594 for 2926 Harford Rd., MCCB 1595-</w:t>
      </w:r>
      <w:r>
        <w:rPr>
          <w:sz w:val="22"/>
          <w:szCs w:val="22"/>
          <w:lang w:val="en-CA"/>
        </w:rPr>
        <w:t>9</w:t>
      </w:r>
      <w:r w:rsidRPr="00CD6073">
        <w:rPr>
          <w:sz w:val="22"/>
          <w:szCs w:val="22"/>
          <w:lang w:val="en-CA"/>
        </w:rPr>
        <w:t>6</w:t>
      </w:r>
      <w:r>
        <w:rPr>
          <w:sz w:val="22"/>
          <w:szCs w:val="22"/>
          <w:lang w:val="en-CA"/>
        </w:rPr>
        <w:t xml:space="preserve"> (Ex. 7)</w:t>
      </w:r>
      <w:r w:rsidRPr="00CD6073">
        <w:rPr>
          <w:sz w:val="22"/>
          <w:szCs w:val="22"/>
          <w:lang w:val="en-CA"/>
        </w:rPr>
        <w:t>; Ord. 06-207 for 14 S. Broadway, MCCB 2465-</w:t>
      </w:r>
      <w:r>
        <w:rPr>
          <w:sz w:val="22"/>
          <w:szCs w:val="22"/>
          <w:lang w:val="en-CA"/>
        </w:rPr>
        <w:t>6</w:t>
      </w:r>
      <w:r w:rsidRPr="00CD6073">
        <w:rPr>
          <w:sz w:val="22"/>
          <w:szCs w:val="22"/>
          <w:lang w:val="en-CA"/>
        </w:rPr>
        <w:t>6</w:t>
      </w:r>
      <w:r>
        <w:rPr>
          <w:sz w:val="22"/>
          <w:szCs w:val="22"/>
          <w:lang w:val="en-CA"/>
        </w:rPr>
        <w:t xml:space="preserve"> (Ex. 8)</w:t>
      </w:r>
      <w:r w:rsidRPr="00CD6073">
        <w:rPr>
          <w:sz w:val="22"/>
          <w:szCs w:val="22"/>
          <w:lang w:val="en-CA"/>
        </w:rPr>
        <w:t>; Ord. 10-260 for 2525 Maryland Ave., MCCB 19462-</w:t>
      </w:r>
      <w:r>
        <w:rPr>
          <w:sz w:val="22"/>
          <w:szCs w:val="22"/>
          <w:lang w:val="en-CA"/>
        </w:rPr>
        <w:t>6</w:t>
      </w:r>
      <w:r w:rsidRPr="00CD6073">
        <w:rPr>
          <w:sz w:val="22"/>
          <w:szCs w:val="22"/>
          <w:lang w:val="en-CA"/>
        </w:rPr>
        <w:t>3</w:t>
      </w:r>
      <w:r>
        <w:rPr>
          <w:sz w:val="22"/>
          <w:szCs w:val="22"/>
          <w:lang w:val="en-CA"/>
        </w:rPr>
        <w:t xml:space="preserve"> (Ex. 9)</w:t>
      </w:r>
      <w:r w:rsidRPr="00CD6073">
        <w:rPr>
          <w:sz w:val="22"/>
          <w:szCs w:val="22"/>
          <w:lang w:val="en-CA"/>
        </w:rPr>
        <w:t>; Ord. 84-62 for 2521 Maryland Ave., MCCB 20856</w:t>
      </w:r>
      <w:r>
        <w:rPr>
          <w:sz w:val="22"/>
          <w:szCs w:val="22"/>
          <w:lang w:val="en-CA"/>
        </w:rPr>
        <w:t xml:space="preserve"> (Ex. 10)</w:t>
      </w:r>
      <w:r w:rsidRPr="00CD6073">
        <w:rPr>
          <w:sz w:val="22"/>
          <w:szCs w:val="22"/>
          <w:lang w:val="en-CA"/>
        </w:rPr>
        <w:t>; Ord. 74-772 for 2523 Maryland Ave., MCCB 20871-</w:t>
      </w:r>
      <w:r>
        <w:rPr>
          <w:sz w:val="22"/>
          <w:szCs w:val="22"/>
          <w:lang w:val="en-CA"/>
        </w:rPr>
        <w:t>7</w:t>
      </w:r>
      <w:r w:rsidRPr="00CD6073">
        <w:rPr>
          <w:sz w:val="22"/>
          <w:szCs w:val="22"/>
          <w:lang w:val="en-CA"/>
        </w:rPr>
        <w:t>2</w:t>
      </w:r>
      <w:r>
        <w:rPr>
          <w:sz w:val="22"/>
          <w:szCs w:val="22"/>
          <w:lang w:val="en-CA"/>
        </w:rPr>
        <w:t xml:space="preserve"> (Ex. 11)</w:t>
      </w:r>
      <w:r w:rsidRPr="00CD6073">
        <w:rPr>
          <w:sz w:val="22"/>
          <w:szCs w:val="22"/>
          <w:lang w:val="en-CA"/>
        </w:rPr>
        <w:t>; Ord. 71-1096 for 1611 Baker St., MCCB 20854-</w:t>
      </w:r>
      <w:r>
        <w:rPr>
          <w:sz w:val="22"/>
          <w:szCs w:val="22"/>
          <w:lang w:val="en-CA"/>
        </w:rPr>
        <w:t>5</w:t>
      </w:r>
      <w:r w:rsidRPr="00CD6073">
        <w:rPr>
          <w:sz w:val="22"/>
          <w:szCs w:val="22"/>
          <w:lang w:val="en-CA"/>
        </w:rPr>
        <w:t>5</w:t>
      </w:r>
      <w:r>
        <w:rPr>
          <w:sz w:val="22"/>
          <w:szCs w:val="22"/>
          <w:lang w:val="en-CA"/>
        </w:rPr>
        <w:t xml:space="preserve"> (Ex. 12)</w:t>
      </w:r>
      <w:r w:rsidRPr="00CD6073">
        <w:rPr>
          <w:sz w:val="22"/>
          <w:szCs w:val="22"/>
          <w:lang w:val="en-CA"/>
        </w:rPr>
        <w:t>; Ord. 75-916 for 1435 S. Hanover St., MCCB 25609-12</w:t>
      </w:r>
      <w:r>
        <w:rPr>
          <w:sz w:val="22"/>
          <w:szCs w:val="22"/>
          <w:lang w:val="en-CA"/>
        </w:rPr>
        <w:t xml:space="preserve"> (Ex. 13); Ord. </w:t>
      </w:r>
      <w:r w:rsidRPr="00CD6073">
        <w:rPr>
          <w:sz w:val="22"/>
          <w:szCs w:val="22"/>
          <w:lang w:val="en-CA"/>
        </w:rPr>
        <w:t>82-765 for 7 W. Randall St., MCCB 20858-</w:t>
      </w:r>
      <w:r>
        <w:rPr>
          <w:sz w:val="22"/>
          <w:szCs w:val="22"/>
          <w:lang w:val="en-CA"/>
        </w:rPr>
        <w:t>5</w:t>
      </w:r>
      <w:r w:rsidRPr="00CD6073">
        <w:rPr>
          <w:sz w:val="22"/>
          <w:szCs w:val="22"/>
          <w:lang w:val="en-CA"/>
        </w:rPr>
        <w:t>9</w:t>
      </w:r>
      <w:r>
        <w:rPr>
          <w:sz w:val="22"/>
          <w:szCs w:val="22"/>
          <w:lang w:val="en-CA"/>
        </w:rPr>
        <w:t xml:space="preserve"> (Ex. 14)</w:t>
      </w:r>
      <w:r w:rsidRPr="00CD6073">
        <w:rPr>
          <w:sz w:val="22"/>
          <w:szCs w:val="22"/>
          <w:lang w:val="en-CA"/>
        </w:rPr>
        <w:t>.</w:t>
      </w:r>
      <w:r w:rsidRPr="00CD6073">
        <w:rPr>
          <w:sz w:val="22"/>
          <w:szCs w:val="22"/>
        </w:rPr>
        <w:t xml:space="preserve"> </w:t>
      </w:r>
      <w:r>
        <w:t xml:space="preserve"> </w:t>
      </w:r>
    </w:p>
  </w:footnote>
  <w:footnote w:id="15">
    <w:p w:rsidR="009A3240" w:rsidRPr="00CD6073" w:rsidRDefault="009A3240" w:rsidP="00B76C8F">
      <w:pPr>
        <w:pStyle w:val="FootnoteText"/>
        <w:rPr>
          <w:sz w:val="22"/>
          <w:szCs w:val="22"/>
        </w:rPr>
      </w:pPr>
      <w:r w:rsidRPr="00CD6073">
        <w:rPr>
          <w:rStyle w:val="FootnoteReference"/>
          <w:sz w:val="22"/>
          <w:szCs w:val="22"/>
        </w:rPr>
        <w:footnoteRef/>
      </w:r>
      <w:r w:rsidRPr="00CD6073">
        <w:rPr>
          <w:sz w:val="22"/>
          <w:szCs w:val="22"/>
        </w:rPr>
        <w:t xml:space="preserve"> Zoning Code, §§</w:t>
      </w:r>
      <w:r>
        <w:rPr>
          <w:sz w:val="22"/>
          <w:szCs w:val="22"/>
        </w:rPr>
        <w:t xml:space="preserve"> </w:t>
      </w:r>
      <w:r w:rsidRPr="00CD6073">
        <w:rPr>
          <w:sz w:val="22"/>
          <w:szCs w:val="22"/>
        </w:rPr>
        <w:t>4-1004, 4-1104, 4-1204, 4-1304, 5-204, 6-309, 6-409, 6-509, 6-609</w:t>
      </w:r>
      <w:r>
        <w:rPr>
          <w:sz w:val="22"/>
          <w:szCs w:val="22"/>
        </w:rPr>
        <w:t xml:space="preserve"> (Ex. 2)</w:t>
      </w:r>
      <w:r w:rsidRPr="00CD6073">
        <w:rPr>
          <w:sz w:val="22"/>
          <w:szCs w:val="22"/>
        </w:rPr>
        <w:t xml:space="preserve">; Letter from Deepa Bhattacharyya, </w:t>
      </w:r>
      <w:r>
        <w:rPr>
          <w:sz w:val="22"/>
          <w:szCs w:val="22"/>
        </w:rPr>
        <w:t xml:space="preserve">Asst. Solicitor, </w:t>
      </w:r>
      <w:r w:rsidRPr="00CD6073">
        <w:rPr>
          <w:sz w:val="22"/>
          <w:szCs w:val="22"/>
        </w:rPr>
        <w:t>Law Dep’t, to President and Members of C</w:t>
      </w:r>
      <w:r>
        <w:rPr>
          <w:sz w:val="22"/>
          <w:szCs w:val="22"/>
        </w:rPr>
        <w:t>ity Council, at 1</w:t>
      </w:r>
      <w:r w:rsidRPr="00CD6073">
        <w:rPr>
          <w:sz w:val="22"/>
          <w:szCs w:val="22"/>
        </w:rPr>
        <w:t xml:space="preserve"> (Mar. 19, 2008), MCCB </w:t>
      </w:r>
      <w:r>
        <w:rPr>
          <w:sz w:val="22"/>
          <w:szCs w:val="22"/>
        </w:rPr>
        <w:t>9489-92</w:t>
      </w:r>
      <w:r w:rsidRPr="00CD6073">
        <w:rPr>
          <w:sz w:val="22"/>
          <w:szCs w:val="22"/>
        </w:rPr>
        <w:t xml:space="preserve"> </w:t>
      </w:r>
      <w:r>
        <w:rPr>
          <w:sz w:val="22"/>
          <w:szCs w:val="22"/>
        </w:rPr>
        <w:t>(Ex. 15)</w:t>
      </w:r>
      <w:r w:rsidRPr="00CD6073">
        <w:rPr>
          <w:sz w:val="22"/>
          <w:szCs w:val="22"/>
        </w:rPr>
        <w:t xml:space="preserve"> </w:t>
      </w:r>
      <w:r>
        <w:rPr>
          <w:sz w:val="22"/>
          <w:szCs w:val="22"/>
        </w:rPr>
        <w:t xml:space="preserve">(hereinafter “Bhattacharyya Letter 3/19/2008”) </w:t>
      </w:r>
      <w:r w:rsidRPr="00CD6073">
        <w:rPr>
          <w:sz w:val="22"/>
          <w:szCs w:val="22"/>
        </w:rPr>
        <w:t xml:space="preserve">(“for every zoning district in which one of these residential [drug treatment] programs would be permitted to locate, the passage of a City Council ordinance is required”).  </w:t>
      </w:r>
    </w:p>
  </w:footnote>
  <w:footnote w:id="16">
    <w:p w:rsidR="009A3240" w:rsidRPr="003C7B30" w:rsidRDefault="009A3240" w:rsidP="00B76C8F">
      <w:pPr>
        <w:pStyle w:val="FootnoteText"/>
        <w:rPr>
          <w:sz w:val="22"/>
          <w:szCs w:val="22"/>
        </w:rPr>
      </w:pPr>
      <w:r w:rsidRPr="003C7B30">
        <w:rPr>
          <w:rStyle w:val="FootnoteReference"/>
          <w:sz w:val="22"/>
          <w:szCs w:val="22"/>
        </w:rPr>
        <w:footnoteRef/>
      </w:r>
      <w:r w:rsidRPr="003C7B30">
        <w:rPr>
          <w:sz w:val="22"/>
          <w:szCs w:val="22"/>
        </w:rPr>
        <w:t xml:space="preserve"> Zoning Code, §§</w:t>
      </w:r>
      <w:r>
        <w:rPr>
          <w:sz w:val="22"/>
          <w:szCs w:val="22"/>
        </w:rPr>
        <w:t xml:space="preserve"> </w:t>
      </w:r>
      <w:r w:rsidRPr="003C7B30">
        <w:rPr>
          <w:sz w:val="22"/>
          <w:szCs w:val="22"/>
        </w:rPr>
        <w:t>4-1004, 4-1104, 4-1204, 4-1304, 5-204, 6-309, 6-409, 6-509, 6-609</w:t>
      </w:r>
      <w:r>
        <w:rPr>
          <w:sz w:val="22"/>
          <w:szCs w:val="22"/>
        </w:rPr>
        <w:t xml:space="preserve"> (Ex. 2)</w:t>
      </w:r>
      <w:r w:rsidRPr="003C7B30">
        <w:rPr>
          <w:sz w:val="22"/>
          <w:szCs w:val="22"/>
        </w:rPr>
        <w:t>.</w:t>
      </w:r>
    </w:p>
  </w:footnote>
  <w:footnote w:id="17">
    <w:p w:rsidR="009A3240" w:rsidRPr="003C7B30" w:rsidRDefault="009A3240" w:rsidP="00B76C8F">
      <w:pPr>
        <w:pStyle w:val="FootnoteText"/>
        <w:rPr>
          <w:sz w:val="22"/>
          <w:szCs w:val="22"/>
        </w:rPr>
      </w:pPr>
      <w:r w:rsidRPr="003C7B30">
        <w:rPr>
          <w:rStyle w:val="FootnoteReference"/>
          <w:sz w:val="22"/>
          <w:szCs w:val="22"/>
        </w:rPr>
        <w:footnoteRef/>
      </w:r>
      <w:r w:rsidRPr="003C7B30">
        <w:rPr>
          <w:sz w:val="22"/>
          <w:szCs w:val="22"/>
        </w:rPr>
        <w:t xml:space="preserve"> </w:t>
      </w:r>
      <w:r w:rsidRPr="003C7B30">
        <w:rPr>
          <w:sz w:val="22"/>
          <w:szCs w:val="22"/>
          <w:u w:val="single"/>
        </w:rPr>
        <w:t>See</w:t>
      </w:r>
      <w:r w:rsidRPr="003C7B30">
        <w:rPr>
          <w:sz w:val="22"/>
          <w:szCs w:val="22"/>
        </w:rPr>
        <w:t xml:space="preserve"> Zoning Code</w:t>
      </w:r>
      <w:r>
        <w:rPr>
          <w:sz w:val="22"/>
          <w:szCs w:val="22"/>
        </w:rPr>
        <w:t xml:space="preserve"> </w:t>
      </w:r>
      <w:r w:rsidRPr="00CD6073">
        <w:rPr>
          <w:sz w:val="22"/>
          <w:szCs w:val="22"/>
        </w:rPr>
        <w:t xml:space="preserve">(available at </w:t>
      </w:r>
      <w:hyperlink r:id="rId3" w:history="1">
        <w:r w:rsidRPr="00CD6073">
          <w:rPr>
            <w:rStyle w:val="Hyperlink"/>
            <w:sz w:val="22"/>
            <w:szCs w:val="22"/>
          </w:rPr>
          <w:t>http://www.baltimorecity.gov/Portals/0/Charter%20and%20Codes/Code/Art%2000%20-%20Zoning.pdf</w:t>
        </w:r>
      </w:hyperlink>
      <w:r w:rsidRPr="00CD6073">
        <w:rPr>
          <w:sz w:val="22"/>
          <w:szCs w:val="22"/>
        </w:rPr>
        <w:t>)</w:t>
      </w:r>
      <w:r w:rsidRPr="003C7B30">
        <w:rPr>
          <w:sz w:val="22"/>
          <w:szCs w:val="22"/>
        </w:rPr>
        <w:t>.</w:t>
      </w:r>
    </w:p>
  </w:footnote>
  <w:footnote w:id="18">
    <w:p w:rsidR="009A3240" w:rsidRPr="003C7B30" w:rsidRDefault="009A3240" w:rsidP="00B76C8F">
      <w:pPr>
        <w:pStyle w:val="FootnoteText"/>
        <w:rPr>
          <w:sz w:val="22"/>
          <w:szCs w:val="22"/>
        </w:rPr>
      </w:pPr>
      <w:r w:rsidRPr="003C7B30">
        <w:rPr>
          <w:rStyle w:val="FootnoteReference"/>
          <w:sz w:val="22"/>
          <w:szCs w:val="22"/>
        </w:rPr>
        <w:footnoteRef/>
      </w:r>
      <w:r w:rsidRPr="003C7B30">
        <w:rPr>
          <w:sz w:val="22"/>
          <w:szCs w:val="22"/>
        </w:rPr>
        <w:t xml:space="preserve"> Answer ¶7</w:t>
      </w:r>
      <w:r>
        <w:rPr>
          <w:sz w:val="22"/>
          <w:szCs w:val="22"/>
        </w:rPr>
        <w:t>, ECF No. 7</w:t>
      </w:r>
      <w:r w:rsidRPr="003C7B30">
        <w:rPr>
          <w:sz w:val="22"/>
          <w:szCs w:val="22"/>
        </w:rPr>
        <w:t>; Bernard “Jack” Young Dep. 9:9-12</w:t>
      </w:r>
      <w:r>
        <w:rPr>
          <w:sz w:val="22"/>
          <w:szCs w:val="22"/>
        </w:rPr>
        <w:t xml:space="preserve"> (Dec. 13, 2010) (Ex. 16)</w:t>
      </w:r>
      <w:r w:rsidRPr="003C7B30">
        <w:rPr>
          <w:sz w:val="22"/>
          <w:szCs w:val="22"/>
        </w:rPr>
        <w:t xml:space="preserve">.  </w:t>
      </w:r>
    </w:p>
  </w:footnote>
  <w:footnote w:id="19">
    <w:p w:rsidR="009A3240" w:rsidRPr="003C7B30" w:rsidRDefault="009A3240" w:rsidP="00B76C8F">
      <w:pPr>
        <w:pStyle w:val="FootnoteText"/>
        <w:rPr>
          <w:sz w:val="22"/>
          <w:szCs w:val="22"/>
        </w:rPr>
      </w:pPr>
      <w:r w:rsidRPr="003C7B30">
        <w:rPr>
          <w:rStyle w:val="FootnoteReference"/>
          <w:sz w:val="22"/>
          <w:szCs w:val="22"/>
        </w:rPr>
        <w:footnoteRef/>
      </w:r>
      <w:r w:rsidRPr="003C7B30">
        <w:rPr>
          <w:sz w:val="22"/>
          <w:szCs w:val="22"/>
        </w:rPr>
        <w:t xml:space="preserve"> As discussed </w:t>
      </w:r>
      <w:r w:rsidRPr="003C7B30">
        <w:rPr>
          <w:sz w:val="22"/>
          <w:szCs w:val="22"/>
          <w:u w:val="single"/>
        </w:rPr>
        <w:t>infra</w:t>
      </w:r>
      <w:r>
        <w:rPr>
          <w:sz w:val="22"/>
          <w:szCs w:val="22"/>
        </w:rPr>
        <w:t>, in Section III.C</w:t>
      </w:r>
      <w:r w:rsidRPr="003C7B30">
        <w:rPr>
          <w:sz w:val="22"/>
          <w:szCs w:val="22"/>
        </w:rPr>
        <w:t>., City Council Bill 07-0002 would have allowed residential substance abuse treatment programs to locate in certain zones without obtaining a CO.</w:t>
      </w:r>
    </w:p>
  </w:footnote>
  <w:footnote w:id="20">
    <w:p w:rsidR="009A3240" w:rsidRPr="003C7B30" w:rsidRDefault="009A3240" w:rsidP="00B76C8F">
      <w:pPr>
        <w:pStyle w:val="FootnoteText"/>
        <w:rPr>
          <w:sz w:val="22"/>
          <w:szCs w:val="22"/>
        </w:rPr>
      </w:pPr>
      <w:r w:rsidRPr="003C7B30">
        <w:rPr>
          <w:rStyle w:val="FootnoteReference"/>
          <w:sz w:val="22"/>
          <w:szCs w:val="22"/>
        </w:rPr>
        <w:footnoteRef/>
      </w:r>
      <w:r w:rsidRPr="003C7B30">
        <w:rPr>
          <w:sz w:val="22"/>
          <w:szCs w:val="22"/>
        </w:rPr>
        <w:t xml:space="preserve"> Mem. from George A. Nilson, Baltimore City Solicitor, to Mayor Sheila Dixon at 1 (Feb. 12, 2008) (emphasis added), MCCB 9274-75</w:t>
      </w:r>
      <w:r>
        <w:rPr>
          <w:sz w:val="22"/>
          <w:szCs w:val="22"/>
        </w:rPr>
        <w:t xml:space="preserve"> (hereinafter “Nilson Mem. 2/12/2008”) (Ex. 17)</w:t>
      </w:r>
      <w:r w:rsidRPr="003C7B30">
        <w:rPr>
          <w:sz w:val="22"/>
          <w:szCs w:val="22"/>
        </w:rPr>
        <w:t xml:space="preserve">.  </w:t>
      </w:r>
    </w:p>
  </w:footnote>
  <w:footnote w:id="21">
    <w:p w:rsidR="009A3240" w:rsidRPr="003C7B30" w:rsidRDefault="009A3240" w:rsidP="00B76C8F">
      <w:pPr>
        <w:pStyle w:val="FootnoteText"/>
        <w:rPr>
          <w:sz w:val="22"/>
          <w:szCs w:val="22"/>
        </w:rPr>
      </w:pPr>
      <w:r w:rsidRPr="003C7B30">
        <w:rPr>
          <w:rStyle w:val="FootnoteReference"/>
          <w:sz w:val="22"/>
          <w:szCs w:val="22"/>
        </w:rPr>
        <w:footnoteRef/>
      </w:r>
      <w:r w:rsidRPr="003C7B30">
        <w:rPr>
          <w:sz w:val="22"/>
          <w:szCs w:val="22"/>
        </w:rPr>
        <w:t xml:space="preserve"> </w:t>
      </w:r>
      <w:r w:rsidRPr="003C7B30">
        <w:rPr>
          <w:sz w:val="22"/>
          <w:szCs w:val="22"/>
          <w:u w:val="single"/>
        </w:rPr>
        <w:t>Development Guidebook</w:t>
      </w:r>
      <w:r w:rsidRPr="003C7B30">
        <w:rPr>
          <w:sz w:val="22"/>
          <w:szCs w:val="22"/>
        </w:rPr>
        <w:t xml:space="preserve"> at 14, 15</w:t>
      </w:r>
      <w:r>
        <w:rPr>
          <w:sz w:val="22"/>
          <w:szCs w:val="22"/>
        </w:rPr>
        <w:t xml:space="preserve"> (Ex. 3)</w:t>
      </w:r>
      <w:r w:rsidRPr="003C7B30">
        <w:rPr>
          <w:sz w:val="22"/>
          <w:szCs w:val="22"/>
        </w:rPr>
        <w:t>.</w:t>
      </w:r>
    </w:p>
  </w:footnote>
  <w:footnote w:id="22">
    <w:p w:rsidR="009A3240" w:rsidRPr="003C7B30" w:rsidRDefault="009A3240" w:rsidP="00B76C8F">
      <w:pPr>
        <w:pStyle w:val="FootnoteText"/>
        <w:rPr>
          <w:sz w:val="22"/>
          <w:szCs w:val="22"/>
        </w:rPr>
      </w:pPr>
      <w:r w:rsidRPr="003C7B30">
        <w:rPr>
          <w:rStyle w:val="FootnoteReference"/>
          <w:sz w:val="22"/>
          <w:szCs w:val="22"/>
        </w:rPr>
        <w:footnoteRef/>
      </w:r>
      <w:r w:rsidRPr="003C7B30">
        <w:rPr>
          <w:sz w:val="22"/>
          <w:szCs w:val="22"/>
        </w:rPr>
        <w:t xml:space="preserve"> John Hickey Aff.</w:t>
      </w:r>
      <w:r>
        <w:rPr>
          <w:sz w:val="22"/>
          <w:szCs w:val="22"/>
        </w:rPr>
        <w:t xml:space="preserve"> (Sept. 6, 2007), ¶¶ 3, 6, US 3001-</w:t>
      </w:r>
      <w:r w:rsidRPr="003C7B30">
        <w:rPr>
          <w:sz w:val="22"/>
          <w:szCs w:val="22"/>
        </w:rPr>
        <w:t>11</w:t>
      </w:r>
      <w:r>
        <w:rPr>
          <w:sz w:val="22"/>
          <w:szCs w:val="22"/>
        </w:rPr>
        <w:t xml:space="preserve"> (hereinafter “Hickey Aff.”) (Ex. 18)</w:t>
      </w:r>
      <w:r w:rsidRPr="003C7B30">
        <w:rPr>
          <w:sz w:val="22"/>
          <w:szCs w:val="22"/>
        </w:rPr>
        <w:t xml:space="preserve">.  </w:t>
      </w:r>
    </w:p>
  </w:footnote>
  <w:footnote w:id="23">
    <w:p w:rsidR="009A3240" w:rsidRPr="003C7B30" w:rsidRDefault="009A3240" w:rsidP="00B76C8F">
      <w:pPr>
        <w:pStyle w:val="FootnoteText"/>
        <w:rPr>
          <w:sz w:val="22"/>
          <w:szCs w:val="22"/>
        </w:rPr>
      </w:pPr>
      <w:r w:rsidRPr="003C7B30">
        <w:rPr>
          <w:rStyle w:val="FootnoteReference"/>
          <w:sz w:val="22"/>
          <w:szCs w:val="22"/>
        </w:rPr>
        <w:footnoteRef/>
      </w:r>
      <w:r w:rsidRPr="003C7B30">
        <w:rPr>
          <w:sz w:val="22"/>
          <w:szCs w:val="22"/>
        </w:rPr>
        <w:t xml:space="preserve"> </w:t>
      </w:r>
      <w:r>
        <w:rPr>
          <w:sz w:val="22"/>
          <w:szCs w:val="22"/>
          <w:u w:val="single"/>
        </w:rPr>
        <w:t>Id</w:t>
      </w:r>
      <w:r w:rsidRPr="003C7B30">
        <w:rPr>
          <w:sz w:val="22"/>
          <w:szCs w:val="22"/>
        </w:rPr>
        <w:t>.</w:t>
      </w:r>
      <w:r>
        <w:rPr>
          <w:sz w:val="22"/>
          <w:szCs w:val="22"/>
        </w:rPr>
        <w:t xml:space="preserve"> ¶¶ 8-9; Tuerk House 30(b)(6) (Elliot Driscoll</w:t>
      </w:r>
      <w:r w:rsidRPr="003C7B30">
        <w:rPr>
          <w:sz w:val="22"/>
          <w:szCs w:val="22"/>
        </w:rPr>
        <w:t xml:space="preserve">) Dep. 139:20-140:4 (Sept. 7, 2010) (hereinafter </w:t>
      </w:r>
      <w:r>
        <w:rPr>
          <w:sz w:val="22"/>
          <w:szCs w:val="22"/>
        </w:rPr>
        <w:t>“</w:t>
      </w:r>
      <w:r w:rsidRPr="003C7B30">
        <w:rPr>
          <w:sz w:val="22"/>
          <w:szCs w:val="22"/>
        </w:rPr>
        <w:t>Driscoll Dep.</w:t>
      </w:r>
      <w:r>
        <w:rPr>
          <w:sz w:val="22"/>
          <w:szCs w:val="22"/>
        </w:rPr>
        <w:t>”</w:t>
      </w:r>
      <w:r w:rsidRPr="003C7B30">
        <w:rPr>
          <w:sz w:val="22"/>
          <w:szCs w:val="22"/>
        </w:rPr>
        <w:t>)</w:t>
      </w:r>
      <w:r>
        <w:rPr>
          <w:sz w:val="22"/>
          <w:szCs w:val="22"/>
        </w:rPr>
        <w:t xml:space="preserve"> (Ex. 19)</w:t>
      </w:r>
      <w:r w:rsidRPr="003C7B30">
        <w:rPr>
          <w:sz w:val="22"/>
          <w:szCs w:val="22"/>
        </w:rPr>
        <w:t xml:space="preserve">.  </w:t>
      </w:r>
    </w:p>
  </w:footnote>
  <w:footnote w:id="24">
    <w:p w:rsidR="009A3240" w:rsidRPr="003C7B30" w:rsidRDefault="009A3240" w:rsidP="00B76C8F">
      <w:pPr>
        <w:pStyle w:val="FootnoteText"/>
        <w:rPr>
          <w:sz w:val="22"/>
          <w:szCs w:val="22"/>
        </w:rPr>
      </w:pPr>
      <w:r w:rsidRPr="003C7B30">
        <w:rPr>
          <w:rStyle w:val="FootnoteReference"/>
          <w:sz w:val="22"/>
          <w:szCs w:val="22"/>
        </w:rPr>
        <w:footnoteRef/>
      </w:r>
      <w:r w:rsidRPr="003C7B30">
        <w:rPr>
          <w:sz w:val="22"/>
          <w:szCs w:val="22"/>
        </w:rPr>
        <w:t xml:space="preserve"> Hickey Aff. ¶¶ 12-22</w:t>
      </w:r>
      <w:r>
        <w:rPr>
          <w:sz w:val="22"/>
          <w:szCs w:val="22"/>
        </w:rPr>
        <w:t xml:space="preserve"> (Ex. 18)</w:t>
      </w:r>
      <w:r w:rsidRPr="003C7B30">
        <w:rPr>
          <w:sz w:val="22"/>
          <w:szCs w:val="22"/>
        </w:rPr>
        <w:t xml:space="preserve">.  Tuerk House searched for, but was unable to find an alternative property on which to expand, and the valuable property it already owns remains under-used.  </w:t>
      </w:r>
      <w:r w:rsidRPr="003C7B30">
        <w:rPr>
          <w:sz w:val="22"/>
          <w:szCs w:val="22"/>
          <w:u w:val="single"/>
        </w:rPr>
        <w:t>Id.</w:t>
      </w:r>
      <w:r>
        <w:rPr>
          <w:sz w:val="22"/>
          <w:szCs w:val="22"/>
        </w:rPr>
        <w:t xml:space="preserve"> </w:t>
      </w:r>
      <w:r w:rsidRPr="003C7B30">
        <w:rPr>
          <w:sz w:val="22"/>
          <w:szCs w:val="22"/>
        </w:rPr>
        <w:t>¶</w:t>
      </w:r>
      <w:r>
        <w:rPr>
          <w:sz w:val="22"/>
          <w:szCs w:val="22"/>
        </w:rPr>
        <w:t>¶ 22-24, 26.</w:t>
      </w:r>
    </w:p>
  </w:footnote>
  <w:footnote w:id="25">
    <w:p w:rsidR="009A3240" w:rsidRPr="003C7B30" w:rsidRDefault="009A3240" w:rsidP="00B76C8F">
      <w:pPr>
        <w:pStyle w:val="FootnoteText"/>
        <w:rPr>
          <w:sz w:val="22"/>
          <w:szCs w:val="22"/>
        </w:rPr>
      </w:pPr>
      <w:r w:rsidRPr="003C7B30">
        <w:rPr>
          <w:rStyle w:val="FootnoteReference"/>
          <w:sz w:val="22"/>
          <w:szCs w:val="22"/>
        </w:rPr>
        <w:footnoteRef/>
      </w:r>
      <w:r w:rsidRPr="003C7B30">
        <w:rPr>
          <w:sz w:val="22"/>
          <w:szCs w:val="22"/>
        </w:rPr>
        <w:t xml:space="preserve"> William Scott Aff. </w:t>
      </w:r>
      <w:r>
        <w:rPr>
          <w:sz w:val="22"/>
          <w:szCs w:val="22"/>
        </w:rPr>
        <w:t>(Aug. 12, 2010), ¶¶ 2-4, US 4070-</w:t>
      </w:r>
      <w:r w:rsidRPr="003C7B30">
        <w:rPr>
          <w:sz w:val="22"/>
          <w:szCs w:val="22"/>
        </w:rPr>
        <w:t>76</w:t>
      </w:r>
      <w:r>
        <w:rPr>
          <w:sz w:val="22"/>
          <w:szCs w:val="22"/>
        </w:rPr>
        <w:t xml:space="preserve"> (“hereinafter Scott Aff.”) (Ex. 20)</w:t>
      </w:r>
      <w:r w:rsidRPr="003C7B30">
        <w:rPr>
          <w:sz w:val="22"/>
          <w:szCs w:val="22"/>
        </w:rPr>
        <w:t xml:space="preserve">.  </w:t>
      </w:r>
    </w:p>
  </w:footnote>
  <w:footnote w:id="26">
    <w:p w:rsidR="009A3240" w:rsidRPr="003C7B30" w:rsidRDefault="009A3240" w:rsidP="00B76C8F">
      <w:pPr>
        <w:pStyle w:val="FootnoteText"/>
        <w:rPr>
          <w:sz w:val="22"/>
          <w:szCs w:val="22"/>
        </w:rPr>
      </w:pPr>
      <w:r w:rsidRPr="003C7B30">
        <w:rPr>
          <w:rStyle w:val="FootnoteReference"/>
          <w:sz w:val="22"/>
          <w:szCs w:val="22"/>
        </w:rPr>
        <w:footnoteRef/>
      </w:r>
      <w:r w:rsidRPr="003C7B30">
        <w:rPr>
          <w:sz w:val="22"/>
          <w:szCs w:val="22"/>
        </w:rPr>
        <w:t xml:space="preserve"> Powell Recovery 30(b)(6) </w:t>
      </w:r>
      <w:r>
        <w:rPr>
          <w:sz w:val="22"/>
          <w:szCs w:val="22"/>
        </w:rPr>
        <w:t xml:space="preserve">(Bill Scott) Dep. 35:10-36:4, </w:t>
      </w:r>
      <w:r w:rsidRPr="003C7B30">
        <w:rPr>
          <w:sz w:val="22"/>
          <w:szCs w:val="22"/>
        </w:rPr>
        <w:t xml:space="preserve">134:19-136:1, 139:2-10 (Aug. 26, 2010) (hereinafter </w:t>
      </w:r>
      <w:r>
        <w:rPr>
          <w:sz w:val="22"/>
          <w:szCs w:val="22"/>
        </w:rPr>
        <w:t>“</w:t>
      </w:r>
      <w:r w:rsidRPr="003C7B30">
        <w:rPr>
          <w:sz w:val="22"/>
          <w:szCs w:val="22"/>
        </w:rPr>
        <w:t>Scott Dep.</w:t>
      </w:r>
      <w:r>
        <w:rPr>
          <w:sz w:val="22"/>
          <w:szCs w:val="22"/>
        </w:rPr>
        <w:t>”</w:t>
      </w:r>
      <w:r w:rsidRPr="003C7B30">
        <w:rPr>
          <w:sz w:val="22"/>
          <w:szCs w:val="22"/>
        </w:rPr>
        <w:t>)</w:t>
      </w:r>
      <w:r>
        <w:rPr>
          <w:sz w:val="22"/>
          <w:szCs w:val="22"/>
        </w:rPr>
        <w:t xml:space="preserve"> (Ex. 21)</w:t>
      </w:r>
      <w:r w:rsidRPr="003C7B30">
        <w:rPr>
          <w:sz w:val="22"/>
          <w:szCs w:val="22"/>
        </w:rPr>
        <w:t xml:space="preserve">; </w:t>
      </w:r>
      <w:r>
        <w:rPr>
          <w:sz w:val="22"/>
          <w:szCs w:val="22"/>
        </w:rPr>
        <w:t>Scott Aff. ¶¶ 5-6 (Ex. 20)</w:t>
      </w:r>
      <w:r w:rsidRPr="003C7B30">
        <w:rPr>
          <w:sz w:val="22"/>
          <w:szCs w:val="22"/>
        </w:rPr>
        <w:t xml:space="preserve">.  </w:t>
      </w:r>
    </w:p>
  </w:footnote>
  <w:footnote w:id="27">
    <w:p w:rsidR="009A3240" w:rsidRPr="003C7B30" w:rsidRDefault="009A3240" w:rsidP="00B76C8F">
      <w:pPr>
        <w:pStyle w:val="FootnoteText"/>
        <w:rPr>
          <w:sz w:val="22"/>
          <w:szCs w:val="22"/>
        </w:rPr>
      </w:pPr>
      <w:r w:rsidRPr="003C7B30">
        <w:rPr>
          <w:rStyle w:val="FootnoteReference"/>
          <w:sz w:val="22"/>
          <w:szCs w:val="22"/>
        </w:rPr>
        <w:footnoteRef/>
      </w:r>
      <w:r w:rsidRPr="003C7B30">
        <w:rPr>
          <w:sz w:val="22"/>
          <w:szCs w:val="22"/>
        </w:rPr>
        <w:t xml:space="preserve"> Scott Aff. ¶¶ 12-20</w:t>
      </w:r>
      <w:r>
        <w:rPr>
          <w:sz w:val="22"/>
          <w:szCs w:val="22"/>
        </w:rPr>
        <w:t xml:space="preserve"> (Ex. 20)</w:t>
      </w:r>
      <w:r w:rsidRPr="003C7B30">
        <w:rPr>
          <w:sz w:val="22"/>
          <w:szCs w:val="22"/>
        </w:rPr>
        <w:t>; Scott Dep. 86:9-88:13</w:t>
      </w:r>
      <w:r>
        <w:rPr>
          <w:sz w:val="22"/>
          <w:szCs w:val="22"/>
        </w:rPr>
        <w:t xml:space="preserve"> (Ex. 21)</w:t>
      </w:r>
      <w:r w:rsidRPr="003C7B30">
        <w:rPr>
          <w:sz w:val="22"/>
          <w:szCs w:val="22"/>
        </w:rPr>
        <w:t xml:space="preserve">.  </w:t>
      </w:r>
    </w:p>
  </w:footnote>
  <w:footnote w:id="28">
    <w:p w:rsidR="009A3240" w:rsidRDefault="009A3240" w:rsidP="00B76C8F">
      <w:pPr>
        <w:pStyle w:val="FootnoteText"/>
      </w:pPr>
      <w:r w:rsidRPr="003C7B30">
        <w:rPr>
          <w:rStyle w:val="FootnoteReference"/>
          <w:sz w:val="22"/>
          <w:szCs w:val="22"/>
        </w:rPr>
        <w:footnoteRef/>
      </w:r>
      <w:r w:rsidRPr="003C7B30">
        <w:rPr>
          <w:sz w:val="22"/>
          <w:szCs w:val="22"/>
        </w:rPr>
        <w:t xml:space="preserve"> Scott Aff. ¶ 15</w:t>
      </w:r>
      <w:r>
        <w:rPr>
          <w:sz w:val="22"/>
          <w:szCs w:val="22"/>
        </w:rPr>
        <w:t xml:space="preserve"> (Ex. 20)</w:t>
      </w:r>
      <w:r w:rsidRPr="003C7B30">
        <w:rPr>
          <w:sz w:val="22"/>
          <w:szCs w:val="22"/>
        </w:rPr>
        <w:t xml:space="preserve">; Scott Dep. </w:t>
      </w:r>
      <w:r>
        <w:rPr>
          <w:sz w:val="22"/>
          <w:szCs w:val="22"/>
        </w:rPr>
        <w:t>86:9-88:10</w:t>
      </w:r>
      <w:r w:rsidRPr="003C7B30">
        <w:rPr>
          <w:sz w:val="22"/>
          <w:szCs w:val="22"/>
        </w:rPr>
        <w:t>, 138:4-15</w:t>
      </w:r>
      <w:r>
        <w:rPr>
          <w:sz w:val="22"/>
          <w:szCs w:val="22"/>
        </w:rPr>
        <w:t xml:space="preserve"> (Ex. 21)</w:t>
      </w:r>
      <w:r>
        <w:t xml:space="preserve">.  </w:t>
      </w:r>
    </w:p>
  </w:footnote>
  <w:footnote w:id="29">
    <w:p w:rsidR="009A3240" w:rsidRPr="006A2F24" w:rsidRDefault="009A3240" w:rsidP="00B76C8F">
      <w:pPr>
        <w:pStyle w:val="FootnoteText"/>
        <w:rPr>
          <w:sz w:val="22"/>
          <w:szCs w:val="22"/>
        </w:rPr>
      </w:pPr>
      <w:r w:rsidRPr="006A2F24">
        <w:rPr>
          <w:rStyle w:val="FootnoteReference"/>
          <w:sz w:val="22"/>
          <w:szCs w:val="22"/>
        </w:rPr>
        <w:footnoteRef/>
      </w:r>
      <w:r w:rsidRPr="006A2F24">
        <w:rPr>
          <w:sz w:val="22"/>
          <w:szCs w:val="22"/>
        </w:rPr>
        <w:t xml:space="preserve"> </w:t>
      </w:r>
      <w:r w:rsidRPr="003C7B30">
        <w:rPr>
          <w:sz w:val="22"/>
          <w:szCs w:val="22"/>
        </w:rPr>
        <w:t xml:space="preserve">Scott Aff. </w:t>
      </w:r>
      <w:r w:rsidRPr="006A2F24">
        <w:rPr>
          <w:sz w:val="22"/>
          <w:szCs w:val="22"/>
        </w:rPr>
        <w:t>¶ 16</w:t>
      </w:r>
      <w:r>
        <w:rPr>
          <w:sz w:val="22"/>
          <w:szCs w:val="22"/>
        </w:rPr>
        <w:t xml:space="preserve"> (Ex. 20)</w:t>
      </w:r>
      <w:r w:rsidRPr="006A2F24">
        <w:rPr>
          <w:sz w:val="22"/>
          <w:szCs w:val="22"/>
        </w:rPr>
        <w:t xml:space="preserve">; Scott Dep. </w:t>
      </w:r>
      <w:r>
        <w:rPr>
          <w:sz w:val="22"/>
          <w:szCs w:val="22"/>
        </w:rPr>
        <w:t>86:9-88:10</w:t>
      </w:r>
      <w:r w:rsidRPr="006A2F24">
        <w:rPr>
          <w:sz w:val="22"/>
          <w:szCs w:val="22"/>
        </w:rPr>
        <w:t>, 138:4-</w:t>
      </w:r>
      <w:r>
        <w:rPr>
          <w:sz w:val="22"/>
          <w:szCs w:val="22"/>
        </w:rPr>
        <w:t>139:1 (Ex. 21)</w:t>
      </w:r>
      <w:r w:rsidRPr="006A2F24">
        <w:rPr>
          <w:sz w:val="22"/>
          <w:szCs w:val="22"/>
        </w:rPr>
        <w:t>.</w:t>
      </w:r>
    </w:p>
  </w:footnote>
  <w:footnote w:id="30">
    <w:p w:rsidR="009A3240" w:rsidRPr="006A2F24" w:rsidRDefault="009A3240" w:rsidP="00B76C8F">
      <w:pPr>
        <w:pStyle w:val="FootnoteText"/>
        <w:rPr>
          <w:sz w:val="22"/>
          <w:szCs w:val="22"/>
        </w:rPr>
      </w:pPr>
      <w:r w:rsidRPr="006A2F24">
        <w:rPr>
          <w:rStyle w:val="FootnoteReference"/>
          <w:sz w:val="22"/>
          <w:szCs w:val="22"/>
        </w:rPr>
        <w:footnoteRef/>
      </w:r>
      <w:r w:rsidRPr="006A2F24">
        <w:rPr>
          <w:sz w:val="22"/>
          <w:szCs w:val="22"/>
        </w:rPr>
        <w:t xml:space="preserve"> Driscoll Dep. 75:2-5</w:t>
      </w:r>
      <w:r>
        <w:rPr>
          <w:sz w:val="22"/>
          <w:szCs w:val="22"/>
        </w:rPr>
        <w:t xml:space="preserve"> (Ex. 19)</w:t>
      </w:r>
      <w:r w:rsidRPr="006A2F24">
        <w:rPr>
          <w:sz w:val="22"/>
          <w:szCs w:val="22"/>
        </w:rPr>
        <w:t xml:space="preserve">.  </w:t>
      </w:r>
    </w:p>
  </w:footnote>
  <w:footnote w:id="31">
    <w:p w:rsidR="009A3240" w:rsidRPr="006A2F24" w:rsidRDefault="009A3240" w:rsidP="00B76C8F">
      <w:pPr>
        <w:pStyle w:val="FootnoteText"/>
        <w:rPr>
          <w:sz w:val="22"/>
          <w:szCs w:val="22"/>
        </w:rPr>
      </w:pPr>
      <w:r w:rsidRPr="006A2F24">
        <w:rPr>
          <w:rStyle w:val="FootnoteReference"/>
          <w:sz w:val="22"/>
          <w:szCs w:val="22"/>
        </w:rPr>
        <w:footnoteRef/>
      </w:r>
      <w:r>
        <w:rPr>
          <w:sz w:val="22"/>
          <w:szCs w:val="22"/>
        </w:rPr>
        <w:t xml:space="preserve"> </w:t>
      </w:r>
      <w:r>
        <w:rPr>
          <w:sz w:val="22"/>
          <w:szCs w:val="22"/>
          <w:u w:val="single"/>
        </w:rPr>
        <w:t>Id</w:t>
      </w:r>
      <w:r>
        <w:rPr>
          <w:sz w:val="22"/>
          <w:szCs w:val="22"/>
        </w:rPr>
        <w:t>. 74:18</w:t>
      </w:r>
      <w:r w:rsidRPr="006A2F24">
        <w:rPr>
          <w:sz w:val="22"/>
          <w:szCs w:val="22"/>
        </w:rPr>
        <w:t>-76:11, 138:1-15; Email from Elliot Driscoll to Shanno</w:t>
      </w:r>
      <w:r>
        <w:rPr>
          <w:sz w:val="22"/>
          <w:szCs w:val="22"/>
        </w:rPr>
        <w:t>n Snow, Episcopal Housing (Mar.</w:t>
      </w:r>
      <w:r w:rsidRPr="006A2F24">
        <w:rPr>
          <w:sz w:val="22"/>
          <w:szCs w:val="22"/>
        </w:rPr>
        <w:t xml:space="preserve"> 23, 2009), BCSAD 7227</w:t>
      </w:r>
      <w:r>
        <w:rPr>
          <w:sz w:val="22"/>
          <w:szCs w:val="22"/>
        </w:rPr>
        <w:t xml:space="preserve"> (Ex. 22)</w:t>
      </w:r>
      <w:r w:rsidRPr="006A2F24">
        <w:rPr>
          <w:sz w:val="22"/>
          <w:szCs w:val="22"/>
        </w:rPr>
        <w:t xml:space="preserve"> (“Shannon, I spoke with Jack Young, he is only willing to help us if the community board is on board with it.”).  Mr. Young testified that he could not recall the specifics of his conversation with Mr. Driscoll</w:t>
      </w:r>
      <w:r>
        <w:rPr>
          <w:sz w:val="22"/>
          <w:szCs w:val="22"/>
        </w:rPr>
        <w:t xml:space="preserve">.  </w:t>
      </w:r>
      <w:r w:rsidRPr="006A2F24">
        <w:rPr>
          <w:sz w:val="22"/>
          <w:szCs w:val="22"/>
        </w:rPr>
        <w:t>Youn</w:t>
      </w:r>
      <w:r>
        <w:rPr>
          <w:sz w:val="22"/>
          <w:szCs w:val="22"/>
        </w:rPr>
        <w:t xml:space="preserve">g Dep. 30:5-9, 10:6-12 (Ex. 16).  His general assertion </w:t>
      </w:r>
      <w:r w:rsidRPr="006A2F24">
        <w:rPr>
          <w:sz w:val="22"/>
          <w:szCs w:val="22"/>
        </w:rPr>
        <w:t>that he never talks with a drug treatment program seeking to locate about getting the support of th</w:t>
      </w:r>
      <w:r>
        <w:rPr>
          <w:sz w:val="22"/>
          <w:szCs w:val="22"/>
        </w:rPr>
        <w:t>e local community association (</w:t>
      </w:r>
      <w:r>
        <w:rPr>
          <w:sz w:val="22"/>
          <w:szCs w:val="22"/>
          <w:u w:val="single"/>
        </w:rPr>
        <w:t>I</w:t>
      </w:r>
      <w:r w:rsidRPr="006A2F24">
        <w:rPr>
          <w:sz w:val="22"/>
          <w:szCs w:val="22"/>
          <w:u w:val="single"/>
        </w:rPr>
        <w:t>d.</w:t>
      </w:r>
      <w:r w:rsidRPr="006A2F24">
        <w:rPr>
          <w:sz w:val="22"/>
          <w:szCs w:val="22"/>
        </w:rPr>
        <w:t xml:space="preserve"> 15:14-20</w:t>
      </w:r>
      <w:r>
        <w:rPr>
          <w:sz w:val="22"/>
          <w:szCs w:val="22"/>
        </w:rPr>
        <w:t>) is contradicted by other evidence</w:t>
      </w:r>
      <w:r w:rsidRPr="006A2F24">
        <w:rPr>
          <w:sz w:val="22"/>
          <w:szCs w:val="22"/>
        </w:rPr>
        <w:t>.  For example, Dr. Eric Strain of Johns Hopkins testified that Johns Hopkins did not purchase a property at 1200 East Fayette Street to use as supportive housing for women recovering from substance abuse, in significant part, because Councilman Jack Young said that he did not think the community would support it and Young wouldn’t support it.  Johns Hopkins Health System 30(b)(6) (Eric Strain, M</w:t>
      </w:r>
      <w:r>
        <w:rPr>
          <w:sz w:val="22"/>
          <w:szCs w:val="22"/>
        </w:rPr>
        <w:t>.D.) Dep. 23:3-24:19 (Oct. 27, 2</w:t>
      </w:r>
      <w:r w:rsidRPr="006A2F24">
        <w:rPr>
          <w:sz w:val="22"/>
          <w:szCs w:val="22"/>
        </w:rPr>
        <w:t>010) (hereinafter “Strain Dep.”)</w:t>
      </w:r>
      <w:r>
        <w:rPr>
          <w:sz w:val="22"/>
          <w:szCs w:val="22"/>
        </w:rPr>
        <w:t xml:space="preserve"> (Ex. 23)</w:t>
      </w:r>
      <w:r w:rsidRPr="006A2F24">
        <w:rPr>
          <w:sz w:val="22"/>
          <w:szCs w:val="22"/>
        </w:rPr>
        <w:t xml:space="preserve">.  In addition, at the public hearing on City Council Bill 07-0002, which would have amended the zoning code to allow residential substance abuse treatment programs to locate in certain zones as of right, Mr. Young made clear his opposition to the bill, stating: “we’re elected to represent the people who vote for us and when they don’t want something, that’s part of the process.  If they don’t want it in their community and their neighborhood, that’s part of the process.”  </w:t>
      </w:r>
      <w:r w:rsidRPr="00D770AC">
        <w:rPr>
          <w:sz w:val="22"/>
          <w:szCs w:val="22"/>
        </w:rPr>
        <w:t xml:space="preserve">Transcript of Baltimore </w:t>
      </w:r>
      <w:r>
        <w:rPr>
          <w:sz w:val="22"/>
          <w:szCs w:val="22"/>
        </w:rPr>
        <w:t xml:space="preserve">City </w:t>
      </w:r>
      <w:r w:rsidRPr="00D770AC">
        <w:rPr>
          <w:sz w:val="22"/>
          <w:szCs w:val="22"/>
        </w:rPr>
        <w:t>Council Meeting</w:t>
      </w:r>
      <w:r>
        <w:rPr>
          <w:sz w:val="22"/>
          <w:szCs w:val="22"/>
        </w:rPr>
        <w:t xml:space="preserve"> on Bill 07-0002</w:t>
      </w:r>
      <w:r w:rsidRPr="00D770AC">
        <w:rPr>
          <w:sz w:val="22"/>
          <w:szCs w:val="22"/>
        </w:rPr>
        <w:t>, May 7, 2008</w:t>
      </w:r>
      <w:r>
        <w:rPr>
          <w:sz w:val="22"/>
          <w:szCs w:val="22"/>
        </w:rPr>
        <w:t>, US 1409-1716,</w:t>
      </w:r>
      <w:r w:rsidRPr="00D770AC">
        <w:rPr>
          <w:sz w:val="22"/>
          <w:szCs w:val="22"/>
        </w:rPr>
        <w:t xml:space="preserve"> at </w:t>
      </w:r>
      <w:r>
        <w:rPr>
          <w:sz w:val="22"/>
          <w:szCs w:val="22"/>
        </w:rPr>
        <w:t xml:space="preserve">1467 (59:16-21) </w:t>
      </w:r>
      <w:r w:rsidRPr="00D770AC">
        <w:rPr>
          <w:sz w:val="22"/>
          <w:szCs w:val="22"/>
        </w:rPr>
        <w:t>(hereinafter “Council Mtg. Tr.”)</w:t>
      </w:r>
      <w:r>
        <w:rPr>
          <w:sz w:val="22"/>
          <w:szCs w:val="22"/>
        </w:rPr>
        <w:t xml:space="preserve"> (Ex. 24)</w:t>
      </w:r>
      <w:r w:rsidRPr="006A2F24">
        <w:rPr>
          <w:sz w:val="22"/>
          <w:szCs w:val="22"/>
        </w:rPr>
        <w:t xml:space="preserve">.  However, even if the Court were to find that there is a factual dispute as to whether community approval is required for a CO, the CO process is still </w:t>
      </w:r>
      <w:r w:rsidRPr="006A2F24">
        <w:rPr>
          <w:bCs/>
          <w:iCs/>
          <w:sz w:val="22"/>
          <w:szCs w:val="22"/>
        </w:rPr>
        <w:t xml:space="preserve">facially </w:t>
      </w:r>
      <w:r w:rsidRPr="006A2F24">
        <w:rPr>
          <w:sz w:val="22"/>
          <w:szCs w:val="22"/>
        </w:rPr>
        <w:t xml:space="preserve">discriminatory </w:t>
      </w:r>
      <w:r w:rsidRPr="006A2F24">
        <w:rPr>
          <w:bCs/>
          <w:iCs/>
          <w:sz w:val="22"/>
          <w:szCs w:val="22"/>
        </w:rPr>
        <w:t xml:space="preserve">as a matter of law </w:t>
      </w:r>
      <w:r w:rsidRPr="006A2F24">
        <w:rPr>
          <w:sz w:val="22"/>
          <w:szCs w:val="22"/>
        </w:rPr>
        <w:t>because</w:t>
      </w:r>
      <w:r w:rsidRPr="006A2F24">
        <w:rPr>
          <w:bCs/>
          <w:iCs/>
          <w:sz w:val="22"/>
          <w:szCs w:val="22"/>
        </w:rPr>
        <w:t xml:space="preserve"> </w:t>
      </w:r>
      <w:r w:rsidRPr="006A2F24">
        <w:rPr>
          <w:sz w:val="22"/>
          <w:szCs w:val="22"/>
        </w:rPr>
        <w:t xml:space="preserve">it is </w:t>
      </w:r>
      <w:r w:rsidRPr="006A2F24">
        <w:rPr>
          <w:bCs/>
          <w:iCs/>
          <w:sz w:val="22"/>
          <w:szCs w:val="22"/>
        </w:rPr>
        <w:t>a</w:t>
      </w:r>
      <w:r w:rsidRPr="006A2F24">
        <w:rPr>
          <w:b/>
          <w:bCs/>
          <w:i/>
          <w:iCs/>
          <w:sz w:val="22"/>
          <w:szCs w:val="22"/>
        </w:rPr>
        <w:t xml:space="preserve"> </w:t>
      </w:r>
      <w:r w:rsidRPr="006A2F24">
        <w:rPr>
          <w:sz w:val="22"/>
          <w:szCs w:val="22"/>
        </w:rPr>
        <w:t xml:space="preserve">much lengthier and more burdensome process than being permitted as of right, </w:t>
      </w:r>
      <w:r w:rsidRPr="006A2F24">
        <w:rPr>
          <w:bCs/>
          <w:iCs/>
          <w:sz w:val="22"/>
          <w:szCs w:val="22"/>
        </w:rPr>
        <w:t>even if the time and effort needed to obtain community approval is not considered</w:t>
      </w:r>
      <w:r w:rsidRPr="006A2F24">
        <w:rPr>
          <w:sz w:val="22"/>
          <w:szCs w:val="22"/>
        </w:rPr>
        <w:t>.</w:t>
      </w:r>
    </w:p>
  </w:footnote>
  <w:footnote w:id="32">
    <w:p w:rsidR="009A3240" w:rsidRPr="006A2F24" w:rsidRDefault="009A3240" w:rsidP="00B76C8F">
      <w:pPr>
        <w:pStyle w:val="FootnoteText"/>
        <w:rPr>
          <w:sz w:val="22"/>
          <w:szCs w:val="22"/>
        </w:rPr>
      </w:pPr>
      <w:r w:rsidRPr="006A2F24">
        <w:rPr>
          <w:rStyle w:val="FootnoteReference"/>
          <w:sz w:val="22"/>
          <w:szCs w:val="22"/>
        </w:rPr>
        <w:footnoteRef/>
      </w:r>
      <w:r w:rsidRPr="006A2F24">
        <w:rPr>
          <w:sz w:val="22"/>
          <w:szCs w:val="22"/>
        </w:rPr>
        <w:t xml:space="preserve"> Ord. 10-260, MCCB 19462</w:t>
      </w:r>
      <w:r>
        <w:rPr>
          <w:sz w:val="22"/>
          <w:szCs w:val="22"/>
        </w:rPr>
        <w:t>-63 (Ex. 9)</w:t>
      </w:r>
      <w:r w:rsidRPr="006A2F24">
        <w:rPr>
          <w:sz w:val="22"/>
          <w:szCs w:val="22"/>
        </w:rPr>
        <w:t>.</w:t>
      </w:r>
    </w:p>
  </w:footnote>
  <w:footnote w:id="33">
    <w:p w:rsidR="009A3240" w:rsidRDefault="009A3240">
      <w:pPr>
        <w:pStyle w:val="FootnoteText"/>
      </w:pPr>
      <w:r>
        <w:rPr>
          <w:rStyle w:val="FootnoteReference"/>
        </w:rPr>
        <w:footnoteRef/>
      </w:r>
      <w:r w:rsidRPr="006A2F24">
        <w:rPr>
          <w:sz w:val="22"/>
          <w:szCs w:val="22"/>
        </w:rPr>
        <w:t>Johns Hopkins Health System 3</w:t>
      </w:r>
      <w:r>
        <w:rPr>
          <w:sz w:val="22"/>
          <w:szCs w:val="22"/>
        </w:rPr>
        <w:t>0(b)(6) (Stanley Fine) Dep. 12:14-15:5, 16:1-16</w:t>
      </w:r>
      <w:r w:rsidRPr="006A2F24">
        <w:rPr>
          <w:sz w:val="22"/>
          <w:szCs w:val="22"/>
        </w:rPr>
        <w:t xml:space="preserve"> (Oct. 27, 2010) (hereinafter “Fine Dep.”)</w:t>
      </w:r>
      <w:r>
        <w:rPr>
          <w:sz w:val="22"/>
          <w:szCs w:val="22"/>
        </w:rPr>
        <w:t xml:space="preserve"> (Ex. 25)</w:t>
      </w:r>
      <w:r w:rsidRPr="006A2F24">
        <w:rPr>
          <w:sz w:val="22"/>
          <w:szCs w:val="22"/>
        </w:rPr>
        <w:t xml:space="preserve">. </w:t>
      </w:r>
      <w:r>
        <w:t xml:space="preserve"> </w:t>
      </w:r>
    </w:p>
  </w:footnote>
  <w:footnote w:id="34">
    <w:p w:rsidR="009A3240" w:rsidRPr="00693B14" w:rsidRDefault="009A3240" w:rsidP="00B76C8F">
      <w:pPr>
        <w:pStyle w:val="FootnoteText"/>
        <w:rPr>
          <w:sz w:val="22"/>
          <w:szCs w:val="22"/>
          <w:u w:val="single"/>
        </w:rPr>
      </w:pPr>
      <w:r w:rsidRPr="006A2F24">
        <w:rPr>
          <w:rStyle w:val="FootnoteReference"/>
          <w:sz w:val="22"/>
          <w:szCs w:val="22"/>
        </w:rPr>
        <w:footnoteRef/>
      </w:r>
      <w:r w:rsidRPr="006A2F24">
        <w:rPr>
          <w:sz w:val="22"/>
          <w:szCs w:val="22"/>
        </w:rPr>
        <w:t xml:space="preserve"> </w:t>
      </w:r>
      <w:r>
        <w:rPr>
          <w:sz w:val="22"/>
          <w:szCs w:val="22"/>
          <w:u w:val="single"/>
        </w:rPr>
        <w:t>Id.</w:t>
      </w:r>
    </w:p>
  </w:footnote>
  <w:footnote w:id="35">
    <w:p w:rsidR="009A3240" w:rsidRPr="006A2F24" w:rsidRDefault="009A3240" w:rsidP="00B76C8F">
      <w:pPr>
        <w:pStyle w:val="FootnoteText"/>
        <w:rPr>
          <w:sz w:val="22"/>
          <w:szCs w:val="22"/>
        </w:rPr>
      </w:pPr>
      <w:r w:rsidRPr="006A2F24">
        <w:rPr>
          <w:rStyle w:val="FootnoteReference"/>
          <w:sz w:val="22"/>
          <w:szCs w:val="22"/>
        </w:rPr>
        <w:footnoteRef/>
      </w:r>
      <w:r w:rsidRPr="006A2F24">
        <w:rPr>
          <w:sz w:val="22"/>
          <w:szCs w:val="22"/>
        </w:rPr>
        <w:t xml:space="preserve"> </w:t>
      </w:r>
      <w:r>
        <w:rPr>
          <w:sz w:val="22"/>
          <w:szCs w:val="22"/>
          <w:u w:val="single"/>
        </w:rPr>
        <w:t>Id</w:t>
      </w:r>
      <w:r w:rsidRPr="006523A2">
        <w:rPr>
          <w:sz w:val="22"/>
          <w:szCs w:val="22"/>
          <w:u w:val="single"/>
        </w:rPr>
        <w:t>.</w:t>
      </w:r>
      <w:r w:rsidRPr="006A2F24">
        <w:rPr>
          <w:sz w:val="22"/>
          <w:szCs w:val="22"/>
        </w:rPr>
        <w:t xml:space="preserve"> 18:14-24:12; Strain Dep. 14:14-16:3, 19:2-9</w:t>
      </w:r>
      <w:r>
        <w:rPr>
          <w:sz w:val="22"/>
          <w:szCs w:val="22"/>
        </w:rPr>
        <w:t xml:space="preserve"> (Ex. 23)</w:t>
      </w:r>
      <w:r w:rsidRPr="006A2F24">
        <w:rPr>
          <w:sz w:val="22"/>
          <w:szCs w:val="22"/>
        </w:rPr>
        <w:t xml:space="preserve">; Johns Hopkins Health System 30(b)(6) (Jeffrey Koenig) Dep. </w:t>
      </w:r>
      <w:r>
        <w:rPr>
          <w:sz w:val="22"/>
          <w:szCs w:val="22"/>
        </w:rPr>
        <w:t>22:8</w:t>
      </w:r>
      <w:r w:rsidRPr="006A2F24">
        <w:rPr>
          <w:sz w:val="22"/>
          <w:szCs w:val="22"/>
        </w:rPr>
        <w:t>-25:5</w:t>
      </w:r>
      <w:r>
        <w:rPr>
          <w:sz w:val="22"/>
          <w:szCs w:val="22"/>
        </w:rPr>
        <w:t xml:space="preserve"> (Oct. 27, 2010) (hereinafter “Koenig Dep.”) (Ex. 26)</w:t>
      </w:r>
      <w:r w:rsidRPr="006A2F24">
        <w:rPr>
          <w:sz w:val="22"/>
          <w:szCs w:val="22"/>
        </w:rPr>
        <w:t>; Letter from Jeffrey H. Koenig, Director of Leasing, Johns Hopkins Real Estate to Michael McGuines</w:t>
      </w:r>
      <w:r>
        <w:rPr>
          <w:sz w:val="22"/>
          <w:szCs w:val="22"/>
        </w:rPr>
        <w:t>s, SG Housing Corporation (Mar.</w:t>
      </w:r>
      <w:r w:rsidRPr="006A2F24">
        <w:rPr>
          <w:sz w:val="22"/>
          <w:szCs w:val="22"/>
        </w:rPr>
        <w:t xml:space="preserve"> 27, 2008)</w:t>
      </w:r>
      <w:r>
        <w:rPr>
          <w:sz w:val="22"/>
          <w:szCs w:val="22"/>
        </w:rPr>
        <w:t xml:space="preserve"> (Ex. 27)</w:t>
      </w:r>
      <w:r w:rsidRPr="006A2F24">
        <w:rPr>
          <w:sz w:val="22"/>
          <w:szCs w:val="22"/>
        </w:rPr>
        <w:t>.</w:t>
      </w:r>
    </w:p>
  </w:footnote>
  <w:footnote w:id="36">
    <w:p w:rsidR="009A3240" w:rsidRPr="006A2F24" w:rsidRDefault="009A3240" w:rsidP="00B76C8F">
      <w:pPr>
        <w:pStyle w:val="FootnoteText"/>
        <w:rPr>
          <w:sz w:val="22"/>
          <w:szCs w:val="22"/>
        </w:rPr>
      </w:pPr>
      <w:r w:rsidRPr="006A2F24">
        <w:rPr>
          <w:rStyle w:val="FootnoteReference"/>
          <w:sz w:val="22"/>
          <w:szCs w:val="22"/>
        </w:rPr>
        <w:footnoteRef/>
      </w:r>
      <w:r w:rsidRPr="006A2F24">
        <w:rPr>
          <w:sz w:val="22"/>
          <w:szCs w:val="22"/>
        </w:rPr>
        <w:t xml:space="preserve"> Baltimore Station 30(</w:t>
      </w:r>
      <w:r>
        <w:rPr>
          <w:sz w:val="22"/>
          <w:szCs w:val="22"/>
        </w:rPr>
        <w:t>b)(6) (Michael Seipp) Dep. 16:7</w:t>
      </w:r>
      <w:r w:rsidRPr="006A2F24">
        <w:rPr>
          <w:sz w:val="22"/>
          <w:szCs w:val="22"/>
        </w:rPr>
        <w:t>-19:17 (Sept. 30, 2010)</w:t>
      </w:r>
      <w:r>
        <w:rPr>
          <w:sz w:val="22"/>
          <w:szCs w:val="22"/>
        </w:rPr>
        <w:t xml:space="preserve"> (hereinafter “Seipp Dep.”) (Ex. 28)</w:t>
      </w:r>
      <w:r w:rsidRPr="006A2F24">
        <w:rPr>
          <w:sz w:val="22"/>
          <w:szCs w:val="22"/>
        </w:rPr>
        <w:t xml:space="preserve">; Second Genesis 30(b)(6) (Jack Klimp) Dep. </w:t>
      </w:r>
      <w:r>
        <w:rPr>
          <w:sz w:val="22"/>
          <w:szCs w:val="22"/>
        </w:rPr>
        <w:t>151:7-156:5 (Aug. 31, 2010) (hereinafter “Klimp Dep.”) (Ex. 29).</w:t>
      </w:r>
    </w:p>
  </w:footnote>
  <w:footnote w:id="37">
    <w:p w:rsidR="009A3240" w:rsidRDefault="009A3240" w:rsidP="00B76C8F">
      <w:pPr>
        <w:pStyle w:val="FootnoteText"/>
      </w:pPr>
      <w:r>
        <w:rPr>
          <w:rStyle w:val="FootnoteReference"/>
        </w:rPr>
        <w:footnoteRef/>
      </w:r>
      <w:r>
        <w:t xml:space="preserve"> </w:t>
      </w:r>
      <w:r w:rsidRPr="006A2F24">
        <w:rPr>
          <w:sz w:val="22"/>
          <w:szCs w:val="22"/>
        </w:rPr>
        <w:t>Seipp Dep. 19:1-12</w:t>
      </w:r>
      <w:r>
        <w:rPr>
          <w:sz w:val="22"/>
          <w:szCs w:val="22"/>
        </w:rPr>
        <w:t xml:space="preserve"> (Ex. 28)</w:t>
      </w:r>
      <w:r w:rsidRPr="006A2F24">
        <w:rPr>
          <w:sz w:val="22"/>
          <w:szCs w:val="22"/>
        </w:rPr>
        <w:t>.  On February 17, 2011, Second Genesis finalized the sale of the property to Esther’s Place Inc. (a/k/a E &amp; H Enterprises, LLC), which intends to operate an assisted living center for the elderly there.  Agreement of Sale for 2926 Harford Road, US 4213-4239, at 4215, 4231</w:t>
      </w:r>
      <w:r>
        <w:rPr>
          <w:sz w:val="22"/>
          <w:szCs w:val="22"/>
        </w:rPr>
        <w:t xml:space="preserve"> (Ex. 30) (per counsel for Second Genesis, attached pages are no longer confidential or subject to protective order)</w:t>
      </w:r>
      <w:r w:rsidRPr="006A2F24">
        <w:rPr>
          <w:sz w:val="22"/>
          <w:szCs w:val="22"/>
        </w:rPr>
        <w:t xml:space="preserve">.  The sale was contingent on the community association accepting the operation of an assisted living center for the elderly for zoning approval.  </w:t>
      </w:r>
      <w:r w:rsidRPr="006A2F24">
        <w:rPr>
          <w:sz w:val="22"/>
          <w:szCs w:val="22"/>
          <w:u w:val="single"/>
        </w:rPr>
        <w:t>Id.</w:t>
      </w:r>
      <w:r w:rsidRPr="006A2F24">
        <w:rPr>
          <w:sz w:val="22"/>
          <w:szCs w:val="22"/>
        </w:rPr>
        <w:t xml:space="preserve"> at 4231.  From the date that the Johns Hopkins’ contract would have closed in 2008 until the sale of the property to Esther’s Place on February 17, 2011, Second Genesis was forced to maintain the property and pay the associated costs.</w:t>
      </w:r>
    </w:p>
  </w:footnote>
  <w:footnote w:id="38">
    <w:p w:rsidR="009A3240" w:rsidRDefault="009A3240" w:rsidP="00B76C8F">
      <w:pPr>
        <w:pStyle w:val="FootnoteText"/>
      </w:pPr>
      <w:r w:rsidRPr="006A2F24">
        <w:rPr>
          <w:rStyle w:val="FootnoteReference"/>
          <w:sz w:val="22"/>
          <w:szCs w:val="22"/>
        </w:rPr>
        <w:footnoteRef/>
      </w:r>
      <w:r w:rsidRPr="006A2F24">
        <w:rPr>
          <w:sz w:val="22"/>
          <w:szCs w:val="22"/>
        </w:rPr>
        <w:t xml:space="preserve"> Fine</w:t>
      </w:r>
      <w:r>
        <w:rPr>
          <w:sz w:val="22"/>
          <w:szCs w:val="22"/>
        </w:rPr>
        <w:t xml:space="preserve"> Dep. 6:12-22, 32:21-33:1, 26:13</w:t>
      </w:r>
      <w:r w:rsidRPr="006A2F24">
        <w:rPr>
          <w:sz w:val="22"/>
          <w:szCs w:val="22"/>
        </w:rPr>
        <w:t>-27:15</w:t>
      </w:r>
      <w:r>
        <w:rPr>
          <w:sz w:val="22"/>
          <w:szCs w:val="22"/>
        </w:rPr>
        <w:t xml:space="preserve"> (Ex. 25)</w:t>
      </w:r>
      <w:r w:rsidRPr="006A2F24">
        <w:rPr>
          <w:sz w:val="22"/>
          <w:szCs w:val="22"/>
        </w:rPr>
        <w:t>.</w:t>
      </w:r>
      <w:r>
        <w:t xml:space="preserve">  </w:t>
      </w:r>
    </w:p>
  </w:footnote>
  <w:footnote w:id="39">
    <w:p w:rsidR="009A3240" w:rsidRPr="006A2F24" w:rsidRDefault="009A3240" w:rsidP="00B76C8F">
      <w:pPr>
        <w:pStyle w:val="FootnoteText"/>
        <w:rPr>
          <w:sz w:val="22"/>
          <w:szCs w:val="22"/>
        </w:rPr>
      </w:pPr>
      <w:r w:rsidRPr="006A2F24">
        <w:rPr>
          <w:rStyle w:val="FootnoteReference"/>
          <w:sz w:val="22"/>
          <w:szCs w:val="22"/>
        </w:rPr>
        <w:footnoteRef/>
      </w:r>
      <w:r w:rsidRPr="006A2F24">
        <w:rPr>
          <w:sz w:val="22"/>
          <w:szCs w:val="22"/>
        </w:rPr>
        <w:t xml:space="preserve"> </w:t>
      </w:r>
      <w:r w:rsidRPr="006A2F24">
        <w:rPr>
          <w:sz w:val="22"/>
          <w:szCs w:val="22"/>
          <w:u w:val="single"/>
        </w:rPr>
        <w:t>Id.</w:t>
      </w:r>
      <w:r w:rsidRPr="006A2F24">
        <w:rPr>
          <w:sz w:val="22"/>
          <w:szCs w:val="22"/>
        </w:rPr>
        <w:t xml:space="preserve"> 26:</w:t>
      </w:r>
      <w:r>
        <w:rPr>
          <w:sz w:val="22"/>
          <w:szCs w:val="22"/>
        </w:rPr>
        <w:t>18-27:</w:t>
      </w:r>
      <w:r w:rsidRPr="006A2F24">
        <w:rPr>
          <w:sz w:val="22"/>
          <w:szCs w:val="22"/>
        </w:rPr>
        <w:t>15</w:t>
      </w:r>
      <w:r>
        <w:rPr>
          <w:sz w:val="22"/>
          <w:szCs w:val="22"/>
        </w:rPr>
        <w:t>.</w:t>
      </w:r>
    </w:p>
  </w:footnote>
  <w:footnote w:id="40">
    <w:p w:rsidR="009A3240" w:rsidRPr="006A2F24" w:rsidRDefault="009A3240" w:rsidP="00B76C8F">
      <w:pPr>
        <w:pStyle w:val="FootnoteText"/>
        <w:rPr>
          <w:sz w:val="22"/>
          <w:szCs w:val="22"/>
        </w:rPr>
      </w:pPr>
      <w:r w:rsidRPr="006A2F24">
        <w:rPr>
          <w:rStyle w:val="FootnoteReference"/>
          <w:sz w:val="22"/>
          <w:szCs w:val="22"/>
        </w:rPr>
        <w:footnoteRef/>
      </w:r>
      <w:r w:rsidRPr="006A2F24">
        <w:rPr>
          <w:sz w:val="22"/>
          <w:szCs w:val="22"/>
        </w:rPr>
        <w:t xml:space="preserve"> </w:t>
      </w:r>
      <w:r w:rsidRPr="006A2F24">
        <w:rPr>
          <w:sz w:val="22"/>
          <w:szCs w:val="22"/>
          <w:u w:val="single"/>
        </w:rPr>
        <w:t>Id.</w:t>
      </w:r>
      <w:r w:rsidRPr="006A2F24">
        <w:rPr>
          <w:sz w:val="22"/>
          <w:szCs w:val="22"/>
        </w:rPr>
        <w:t xml:space="preserve"> 37:21-38:9</w:t>
      </w:r>
      <w:r>
        <w:rPr>
          <w:sz w:val="22"/>
          <w:szCs w:val="22"/>
        </w:rPr>
        <w:t>.</w:t>
      </w:r>
    </w:p>
  </w:footnote>
  <w:footnote w:id="41">
    <w:p w:rsidR="009A3240" w:rsidRPr="006A2F24" w:rsidRDefault="009A3240" w:rsidP="00B76C8F">
      <w:pPr>
        <w:pStyle w:val="FootnoteText"/>
        <w:rPr>
          <w:sz w:val="22"/>
          <w:szCs w:val="22"/>
        </w:rPr>
      </w:pPr>
      <w:r w:rsidRPr="006A2F24">
        <w:rPr>
          <w:rStyle w:val="FootnoteReference"/>
          <w:sz w:val="22"/>
          <w:szCs w:val="22"/>
        </w:rPr>
        <w:footnoteRef/>
      </w:r>
      <w:r w:rsidRPr="006A2F24">
        <w:rPr>
          <w:sz w:val="22"/>
          <w:szCs w:val="22"/>
        </w:rPr>
        <w:t xml:space="preserve"> Gale Saler Aff. </w:t>
      </w:r>
      <w:r>
        <w:rPr>
          <w:sz w:val="22"/>
          <w:szCs w:val="22"/>
        </w:rPr>
        <w:t xml:space="preserve">(Sept. 18, 2007), </w:t>
      </w:r>
      <w:r w:rsidRPr="006A2F24">
        <w:rPr>
          <w:sz w:val="22"/>
          <w:szCs w:val="22"/>
        </w:rPr>
        <w:t>¶¶ 1,</w:t>
      </w:r>
      <w:r>
        <w:rPr>
          <w:sz w:val="22"/>
          <w:szCs w:val="22"/>
        </w:rPr>
        <w:t xml:space="preserve"> 13-14</w:t>
      </w:r>
      <w:r w:rsidRPr="006A2F24">
        <w:rPr>
          <w:sz w:val="22"/>
          <w:szCs w:val="22"/>
        </w:rPr>
        <w:t>, US 3030-34</w:t>
      </w:r>
      <w:r>
        <w:rPr>
          <w:sz w:val="22"/>
          <w:szCs w:val="22"/>
        </w:rPr>
        <w:t xml:space="preserve"> (hereinafter “Saler Aff.”) (Ex. 31)</w:t>
      </w:r>
      <w:r w:rsidRPr="006A2F24">
        <w:rPr>
          <w:sz w:val="22"/>
          <w:szCs w:val="22"/>
        </w:rPr>
        <w:t>; Gaudenzia 30(b)(6) (Gale Saler) Dep. 22:16-25:16 (Sept. 14, 2010) (hereinafter “Saler Dep.”)</w:t>
      </w:r>
      <w:r>
        <w:rPr>
          <w:sz w:val="22"/>
          <w:szCs w:val="22"/>
        </w:rPr>
        <w:t xml:space="preserve"> (Ex. 32)</w:t>
      </w:r>
      <w:r w:rsidRPr="006A2F24">
        <w:rPr>
          <w:sz w:val="22"/>
          <w:szCs w:val="22"/>
        </w:rPr>
        <w:t>.  Subsequently, Gaudenzia, Inc. sought to open a residential treatment program on Woodland Avenue in Baltimore in 2003 to serve approximately 160 residents.  Saler Aff</w:t>
      </w:r>
      <w:r>
        <w:rPr>
          <w:sz w:val="22"/>
          <w:szCs w:val="22"/>
        </w:rPr>
        <w:t>. ¶¶ 4-5 (Ex. 31)</w:t>
      </w:r>
      <w:r w:rsidRPr="006A2F24">
        <w:rPr>
          <w:sz w:val="22"/>
          <w:szCs w:val="22"/>
        </w:rPr>
        <w:t xml:space="preserve">.  Because of the CO process, Gaudenzia selected the Woodland Avenue site, which was an undesirable location (a dumping ground for parts and cars) in an industrial zone where there was expected to be little opposition to opening a drug treatment program.  </w:t>
      </w:r>
      <w:r w:rsidRPr="006A2F24">
        <w:rPr>
          <w:sz w:val="22"/>
          <w:szCs w:val="22"/>
          <w:u w:val="single"/>
        </w:rPr>
        <w:t>Id.</w:t>
      </w:r>
      <w:r>
        <w:rPr>
          <w:sz w:val="22"/>
          <w:szCs w:val="22"/>
        </w:rPr>
        <w:t>; Saler Dep. 160</w:t>
      </w:r>
      <w:r w:rsidRPr="006A2F24">
        <w:rPr>
          <w:sz w:val="22"/>
          <w:szCs w:val="22"/>
        </w:rPr>
        <w:t>:1</w:t>
      </w:r>
      <w:r>
        <w:rPr>
          <w:sz w:val="22"/>
          <w:szCs w:val="22"/>
        </w:rPr>
        <w:t>3</w:t>
      </w:r>
      <w:r w:rsidRPr="006A2F24">
        <w:rPr>
          <w:sz w:val="22"/>
          <w:szCs w:val="22"/>
        </w:rPr>
        <w:t>-</w:t>
      </w:r>
      <w:r>
        <w:rPr>
          <w:sz w:val="22"/>
          <w:szCs w:val="22"/>
        </w:rPr>
        <w:t>162:</w:t>
      </w:r>
      <w:r w:rsidRPr="006A2F24">
        <w:rPr>
          <w:sz w:val="22"/>
          <w:szCs w:val="22"/>
        </w:rPr>
        <w:t>15</w:t>
      </w:r>
      <w:r>
        <w:rPr>
          <w:sz w:val="22"/>
          <w:szCs w:val="22"/>
        </w:rPr>
        <w:t xml:space="preserve"> (Ex. 32)</w:t>
      </w:r>
      <w:r w:rsidRPr="006A2F24">
        <w:rPr>
          <w:sz w:val="22"/>
          <w:szCs w:val="22"/>
        </w:rPr>
        <w:t xml:space="preserve">.  Were it not for the anticipated difficulty of getting community approval required for the CO process, Gaudenzia would have selected a more residential, attractive site with the amenities found in residential neighborhoods.  </w:t>
      </w:r>
      <w:r w:rsidRPr="00893493">
        <w:rPr>
          <w:sz w:val="22"/>
          <w:szCs w:val="22"/>
        </w:rPr>
        <w:t>Saler Aff.</w:t>
      </w:r>
      <w:r w:rsidRPr="006A2F24">
        <w:rPr>
          <w:sz w:val="22"/>
          <w:szCs w:val="22"/>
        </w:rPr>
        <w:t xml:space="preserve"> ¶ 5</w:t>
      </w:r>
      <w:r>
        <w:rPr>
          <w:sz w:val="22"/>
          <w:szCs w:val="22"/>
        </w:rPr>
        <w:t xml:space="preserve"> (Ex. 31)</w:t>
      </w:r>
      <w:r w:rsidRPr="006A2F24">
        <w:rPr>
          <w:sz w:val="22"/>
          <w:szCs w:val="22"/>
        </w:rPr>
        <w:t xml:space="preserve">.  The entire CO process took over a year.  </w:t>
      </w:r>
      <w:r w:rsidRPr="006A2F24">
        <w:rPr>
          <w:sz w:val="22"/>
          <w:szCs w:val="22"/>
          <w:u w:val="single"/>
        </w:rPr>
        <w:t>Id.</w:t>
      </w:r>
      <w:r>
        <w:rPr>
          <w:sz w:val="22"/>
          <w:szCs w:val="22"/>
        </w:rPr>
        <w:t xml:space="preserve"> ¶</w:t>
      </w:r>
      <w:r w:rsidRPr="006A2F24">
        <w:rPr>
          <w:sz w:val="22"/>
          <w:szCs w:val="22"/>
        </w:rPr>
        <w:t xml:space="preserve"> 11.</w:t>
      </w:r>
    </w:p>
  </w:footnote>
  <w:footnote w:id="42">
    <w:p w:rsidR="009A3240" w:rsidRPr="006A2F24" w:rsidRDefault="009A3240" w:rsidP="00B76C8F">
      <w:pPr>
        <w:ind w:firstLine="720"/>
        <w:rPr>
          <w:sz w:val="22"/>
          <w:szCs w:val="22"/>
        </w:rPr>
      </w:pPr>
      <w:r w:rsidRPr="006A2F24">
        <w:rPr>
          <w:rStyle w:val="FootnoteReference"/>
          <w:sz w:val="22"/>
          <w:szCs w:val="22"/>
        </w:rPr>
        <w:footnoteRef/>
      </w:r>
      <w:r w:rsidRPr="006A2F24">
        <w:rPr>
          <w:sz w:val="22"/>
          <w:szCs w:val="22"/>
        </w:rPr>
        <w:t xml:space="preserve">  Residential substance abuse treatment programs can avoid the CO process altogether by locating as of right, according to the City’s definition of a family, if they do not have more than four residents.  Def.’s Resp. to United States’ Interrog. </w:t>
      </w:r>
      <w:r>
        <w:rPr>
          <w:sz w:val="22"/>
          <w:szCs w:val="22"/>
        </w:rPr>
        <w:t>at #4</w:t>
      </w:r>
      <w:r w:rsidRPr="006A2F24">
        <w:rPr>
          <w:sz w:val="22"/>
          <w:szCs w:val="22"/>
        </w:rPr>
        <w:t xml:space="preserve"> </w:t>
      </w:r>
      <w:r>
        <w:rPr>
          <w:sz w:val="22"/>
          <w:szCs w:val="22"/>
        </w:rPr>
        <w:t>(</w:t>
      </w:r>
      <w:r w:rsidRPr="006A2F24">
        <w:rPr>
          <w:sz w:val="22"/>
          <w:szCs w:val="22"/>
        </w:rPr>
        <w:t>Jan. 6, 2010</w:t>
      </w:r>
      <w:r>
        <w:rPr>
          <w:sz w:val="22"/>
          <w:szCs w:val="22"/>
        </w:rPr>
        <w:t xml:space="preserve">) (Ex. 33). Section </w:t>
      </w:r>
      <w:r w:rsidRPr="006A2F24">
        <w:rPr>
          <w:sz w:val="22"/>
          <w:szCs w:val="22"/>
        </w:rPr>
        <w:t xml:space="preserve">1-142(3) of the Zoning Code defines a “family,” in relevant part, as “a group of not more than 4 people, who need not be related by blood, marriage, or adoption, living together as a single housekeeping unit in a dwelling unit.”  </w:t>
      </w:r>
      <w:r>
        <w:rPr>
          <w:sz w:val="22"/>
          <w:szCs w:val="22"/>
        </w:rPr>
        <w:t xml:space="preserve">(Ex. 2)  </w:t>
      </w:r>
      <w:r w:rsidRPr="006A2F24">
        <w:rPr>
          <w:sz w:val="22"/>
          <w:szCs w:val="22"/>
        </w:rPr>
        <w:t xml:space="preserve">Indeed, RSATPs housing four or fewer people have located in residential districts without any special zoning permission.  </w:t>
      </w:r>
      <w:r w:rsidRPr="006A2F24">
        <w:rPr>
          <w:sz w:val="22"/>
          <w:szCs w:val="22"/>
          <w:u w:val="single"/>
        </w:rPr>
        <w:t>See, e.g.</w:t>
      </w:r>
      <w:r w:rsidRPr="006A2F24">
        <w:rPr>
          <w:sz w:val="22"/>
          <w:szCs w:val="22"/>
        </w:rPr>
        <w:t xml:space="preserve">, Ex. A to </w:t>
      </w:r>
      <w:r>
        <w:rPr>
          <w:sz w:val="22"/>
          <w:szCs w:val="22"/>
        </w:rPr>
        <w:t>Interrog. Resp. 9/28/2010</w:t>
      </w:r>
      <w:r w:rsidRPr="006A2F24">
        <w:rPr>
          <w:sz w:val="22"/>
          <w:szCs w:val="22"/>
        </w:rPr>
        <w:t xml:space="preserve"> at ID# 10, 30</w:t>
      </w:r>
      <w:r>
        <w:rPr>
          <w:sz w:val="22"/>
          <w:szCs w:val="22"/>
        </w:rPr>
        <w:t xml:space="preserve"> (Ex. 4)</w:t>
      </w:r>
      <w:r w:rsidRPr="006A2F24">
        <w:rPr>
          <w:sz w:val="22"/>
          <w:szCs w:val="22"/>
        </w:rPr>
        <w:t xml:space="preserve">.  However, there are both therapeutic and financial reasons why most residential substance abuse treatment providers choose to operate larger programs.  Recovery Network </w:t>
      </w:r>
      <w:r>
        <w:rPr>
          <w:sz w:val="22"/>
          <w:szCs w:val="22"/>
        </w:rPr>
        <w:t xml:space="preserve">30(b)(6) </w:t>
      </w:r>
      <w:r w:rsidRPr="006A2F24">
        <w:rPr>
          <w:sz w:val="22"/>
          <w:szCs w:val="22"/>
        </w:rPr>
        <w:t>(</w:t>
      </w:r>
      <w:r>
        <w:rPr>
          <w:sz w:val="22"/>
          <w:szCs w:val="22"/>
        </w:rPr>
        <w:t xml:space="preserve">Clark </w:t>
      </w:r>
      <w:r w:rsidRPr="006A2F24">
        <w:rPr>
          <w:sz w:val="22"/>
          <w:szCs w:val="22"/>
        </w:rPr>
        <w:t>Hudak)</w:t>
      </w:r>
      <w:r>
        <w:rPr>
          <w:sz w:val="22"/>
          <w:szCs w:val="22"/>
        </w:rPr>
        <w:t xml:space="preserve"> Dep. 80:16-81:20; 144:9-145:8</w:t>
      </w:r>
      <w:r w:rsidRPr="006A2F24">
        <w:rPr>
          <w:sz w:val="22"/>
          <w:szCs w:val="22"/>
        </w:rPr>
        <w:t xml:space="preserve"> (Aug. 26, 2010) </w:t>
      </w:r>
      <w:r>
        <w:rPr>
          <w:sz w:val="22"/>
          <w:szCs w:val="22"/>
        </w:rPr>
        <w:t xml:space="preserve">(hereinafter “Hudak Dep.”) (Ex. 34) </w:t>
      </w:r>
      <w:r w:rsidRPr="006A2F24">
        <w:rPr>
          <w:sz w:val="22"/>
          <w:szCs w:val="22"/>
        </w:rPr>
        <w:t>(cost-effectiveness; therapeutic activities designed for a minimum of eight participants); Scott Dep.</w:t>
      </w:r>
      <w:r>
        <w:rPr>
          <w:sz w:val="22"/>
          <w:szCs w:val="22"/>
        </w:rPr>
        <w:t xml:space="preserve"> 128:9</w:t>
      </w:r>
      <w:r w:rsidRPr="006A2F24">
        <w:rPr>
          <w:sz w:val="22"/>
          <w:szCs w:val="22"/>
        </w:rPr>
        <w:t xml:space="preserve">-130:11 </w:t>
      </w:r>
      <w:r>
        <w:rPr>
          <w:sz w:val="22"/>
          <w:szCs w:val="22"/>
        </w:rPr>
        <w:t>(Ex. 21)</w:t>
      </w:r>
      <w:r w:rsidRPr="006A2F24">
        <w:rPr>
          <w:sz w:val="22"/>
          <w:szCs w:val="22"/>
        </w:rPr>
        <w:t xml:space="preserve"> (financial difficulties associated wit</w:t>
      </w:r>
      <w:r>
        <w:rPr>
          <w:sz w:val="22"/>
          <w:szCs w:val="22"/>
        </w:rPr>
        <w:t>h operating smaller facilities)</w:t>
      </w:r>
      <w:r w:rsidRPr="006A2F24">
        <w:rPr>
          <w:sz w:val="22"/>
          <w:szCs w:val="22"/>
        </w:rPr>
        <w:t>; Saler</w:t>
      </w:r>
      <w:r>
        <w:rPr>
          <w:sz w:val="22"/>
          <w:szCs w:val="22"/>
        </w:rPr>
        <w:t xml:space="preserve"> Dep. 151:5-152:12, 188:7-189:9</w:t>
      </w:r>
      <w:r w:rsidRPr="006A2F24">
        <w:rPr>
          <w:sz w:val="22"/>
          <w:szCs w:val="22"/>
        </w:rPr>
        <w:t xml:space="preserve"> </w:t>
      </w:r>
      <w:r>
        <w:rPr>
          <w:sz w:val="22"/>
          <w:szCs w:val="22"/>
        </w:rPr>
        <w:t>(Ex. 32)</w:t>
      </w:r>
      <w:r w:rsidRPr="006A2F24">
        <w:rPr>
          <w:sz w:val="22"/>
          <w:szCs w:val="22"/>
        </w:rPr>
        <w:t xml:space="preserve"> (greater cost associated with operating smaller facilities, larger facilities are therapeutically beneficial because able to offer more services).  The City does not dispute this.  Information Provided by Baltimore Housing – Office of the Zoning </w:t>
      </w:r>
      <w:r>
        <w:rPr>
          <w:sz w:val="22"/>
          <w:szCs w:val="22"/>
        </w:rPr>
        <w:t>Adm’r</w:t>
      </w:r>
      <w:r w:rsidRPr="006A2F24">
        <w:rPr>
          <w:sz w:val="22"/>
          <w:szCs w:val="22"/>
        </w:rPr>
        <w:t xml:space="preserve">, http://static.baltimorehousing.org/pdf/ra_app_ther.pdf (last visited Jan. 26, 2011) </w:t>
      </w:r>
      <w:r>
        <w:rPr>
          <w:sz w:val="22"/>
          <w:szCs w:val="22"/>
        </w:rPr>
        <w:t>(Ex. 35)</w:t>
      </w:r>
      <w:r w:rsidRPr="006A2F24">
        <w:rPr>
          <w:sz w:val="22"/>
          <w:szCs w:val="22"/>
        </w:rPr>
        <w:t xml:space="preserve"> (acknowledging that allowing more than four people with disabilities to live together may be therapeutically beneficial or financially necessary); Baltimore Housing – Office of the Zoning </w:t>
      </w:r>
      <w:r>
        <w:rPr>
          <w:sz w:val="22"/>
          <w:szCs w:val="22"/>
        </w:rPr>
        <w:t>Adm’r</w:t>
      </w:r>
      <w:r w:rsidRPr="006A2F24">
        <w:rPr>
          <w:sz w:val="22"/>
          <w:szCs w:val="22"/>
        </w:rPr>
        <w:t xml:space="preserve">,  </w:t>
      </w:r>
      <w:r w:rsidRPr="006A2F24">
        <w:rPr>
          <w:sz w:val="22"/>
          <w:szCs w:val="22"/>
          <w:u w:val="single"/>
        </w:rPr>
        <w:t>Frequently Asked Questions - Application Form to Request a Reasonable Accommodation</w:t>
      </w:r>
      <w:r w:rsidRPr="006A2F24">
        <w:rPr>
          <w:sz w:val="22"/>
          <w:szCs w:val="22"/>
        </w:rPr>
        <w:t>, http://static.baltimorehousing.org/pdf/ra_app_faq.pdf (last visited Feb. 10, 2011)</w:t>
      </w:r>
      <w:r>
        <w:rPr>
          <w:sz w:val="22"/>
          <w:szCs w:val="22"/>
        </w:rPr>
        <w:t xml:space="preserve"> (Ex. 36)</w:t>
      </w:r>
      <w:r w:rsidRPr="006A2F24">
        <w:rPr>
          <w:sz w:val="22"/>
          <w:szCs w:val="22"/>
        </w:rPr>
        <w:t>.</w:t>
      </w:r>
    </w:p>
  </w:footnote>
  <w:footnote w:id="43">
    <w:p w:rsidR="009A3240" w:rsidRPr="006A2F24" w:rsidRDefault="009A3240" w:rsidP="00B76C8F">
      <w:pPr>
        <w:pStyle w:val="FootnoteText"/>
        <w:rPr>
          <w:sz w:val="22"/>
          <w:szCs w:val="22"/>
        </w:rPr>
      </w:pPr>
      <w:r w:rsidRPr="006A2F24">
        <w:rPr>
          <w:rStyle w:val="FootnoteReference"/>
          <w:sz w:val="22"/>
          <w:szCs w:val="22"/>
        </w:rPr>
        <w:footnoteRef/>
      </w:r>
      <w:r w:rsidRPr="006A2F24">
        <w:rPr>
          <w:sz w:val="22"/>
          <w:szCs w:val="22"/>
        </w:rPr>
        <w:t xml:space="preserve"> Zoning Code; Tanner Dep. 73:4-74:5</w:t>
      </w:r>
      <w:r>
        <w:rPr>
          <w:sz w:val="22"/>
          <w:szCs w:val="22"/>
        </w:rPr>
        <w:t xml:space="preserve"> (Ex. 1)</w:t>
      </w:r>
      <w:r w:rsidRPr="006A2F24">
        <w:rPr>
          <w:sz w:val="22"/>
          <w:szCs w:val="22"/>
        </w:rPr>
        <w:t xml:space="preserve">; </w:t>
      </w:r>
      <w:r w:rsidRPr="006A2F24">
        <w:rPr>
          <w:sz w:val="22"/>
          <w:szCs w:val="22"/>
          <w:u w:val="single"/>
        </w:rPr>
        <w:t>see, e.g.</w:t>
      </w:r>
      <w:r w:rsidRPr="006A2F24">
        <w:rPr>
          <w:sz w:val="22"/>
          <w:szCs w:val="22"/>
        </w:rPr>
        <w:t xml:space="preserve">, Ex. A to </w:t>
      </w:r>
      <w:r w:rsidRPr="00E32CB8">
        <w:rPr>
          <w:sz w:val="22"/>
          <w:szCs w:val="22"/>
        </w:rPr>
        <w:t>Interrog. Resp. 9/27/2010</w:t>
      </w:r>
      <w:r>
        <w:rPr>
          <w:sz w:val="22"/>
          <w:szCs w:val="22"/>
        </w:rPr>
        <w:t xml:space="preserve">  at ID# </w:t>
      </w:r>
      <w:r w:rsidRPr="006A2F24">
        <w:rPr>
          <w:sz w:val="22"/>
          <w:szCs w:val="22"/>
        </w:rPr>
        <w:t>11, 32 (single-family dwellings); ID# 20, 29, 35, 41 (multiple-family dwellings); ID# 13, 34 (rooming houses); ID# 40, 47 (no zoning approval because state-owned); ID# 42 (planned unit development)</w:t>
      </w:r>
      <w:r>
        <w:rPr>
          <w:sz w:val="22"/>
          <w:szCs w:val="22"/>
        </w:rPr>
        <w:t xml:space="preserve"> (Ex. 4)</w:t>
      </w:r>
      <w:r w:rsidRPr="006A2F24">
        <w:rPr>
          <w:sz w:val="22"/>
          <w:szCs w:val="22"/>
        </w:rPr>
        <w:t xml:space="preserve">.  </w:t>
      </w:r>
    </w:p>
  </w:footnote>
  <w:footnote w:id="44">
    <w:p w:rsidR="009A3240" w:rsidRPr="003F1CE2" w:rsidRDefault="009A3240" w:rsidP="00B76C8F">
      <w:pPr>
        <w:pStyle w:val="FootnoteText"/>
        <w:rPr>
          <w:sz w:val="22"/>
          <w:szCs w:val="22"/>
        </w:rPr>
      </w:pPr>
      <w:r w:rsidRPr="006A2F24">
        <w:rPr>
          <w:rStyle w:val="FootnoteReference"/>
          <w:sz w:val="22"/>
          <w:szCs w:val="22"/>
        </w:rPr>
        <w:footnoteRef/>
      </w:r>
      <w:r w:rsidRPr="006A2F24">
        <w:rPr>
          <w:sz w:val="22"/>
          <w:szCs w:val="22"/>
        </w:rPr>
        <w:t xml:space="preserve"> The City created a wr</w:t>
      </w:r>
      <w:r>
        <w:rPr>
          <w:sz w:val="22"/>
          <w:szCs w:val="22"/>
        </w:rPr>
        <w:t xml:space="preserve">itten “Reasonable Accommodation Policy” in 2007.  </w:t>
      </w:r>
      <w:r w:rsidRPr="006A2F24">
        <w:rPr>
          <w:sz w:val="22"/>
          <w:szCs w:val="22"/>
        </w:rPr>
        <w:t>City of Baltimore, Office of the Zoning Adm’r, Reasonable Accommodations Policy and Procedures, MCCB 7327-48</w:t>
      </w:r>
      <w:r>
        <w:rPr>
          <w:sz w:val="22"/>
          <w:szCs w:val="22"/>
        </w:rPr>
        <w:t xml:space="preserve"> (Ex. 37); City of Baltimore Press Release, </w:t>
      </w:r>
      <w:r>
        <w:rPr>
          <w:sz w:val="22"/>
          <w:szCs w:val="22"/>
          <w:u w:val="single"/>
        </w:rPr>
        <w:t>Mayor Dixon Unveils New City Policy to Promote Better Access to Housing for Persons With Disabilities</w:t>
      </w:r>
      <w:r>
        <w:rPr>
          <w:sz w:val="22"/>
          <w:szCs w:val="22"/>
        </w:rPr>
        <w:t>, Mar. 30, 2007, US 2327-28 (Ex. 38)</w:t>
      </w:r>
      <w:r w:rsidRPr="006A2F24">
        <w:rPr>
          <w:sz w:val="22"/>
          <w:szCs w:val="22"/>
        </w:rPr>
        <w:t>.</w:t>
      </w:r>
      <w:r>
        <w:rPr>
          <w:sz w:val="22"/>
          <w:szCs w:val="22"/>
        </w:rPr>
        <w:t xml:space="preserve">  This policy,</w:t>
      </w:r>
      <w:r w:rsidRPr="006A2F24">
        <w:rPr>
          <w:sz w:val="22"/>
          <w:szCs w:val="22"/>
        </w:rPr>
        <w:t xml:space="preserve"> which is not part of the Zoning Code, allows more than four </w:t>
      </w:r>
      <w:r>
        <w:rPr>
          <w:sz w:val="22"/>
          <w:szCs w:val="22"/>
        </w:rPr>
        <w:t xml:space="preserve">unrelated </w:t>
      </w:r>
      <w:r w:rsidRPr="006A2F24">
        <w:rPr>
          <w:sz w:val="22"/>
          <w:szCs w:val="22"/>
        </w:rPr>
        <w:t xml:space="preserve">persons with disabilities to live together in a single-family dwelling </w:t>
      </w:r>
      <w:r>
        <w:rPr>
          <w:sz w:val="22"/>
          <w:szCs w:val="22"/>
        </w:rPr>
        <w:t>although that</w:t>
      </w:r>
      <w:r w:rsidRPr="006A2F24">
        <w:rPr>
          <w:sz w:val="22"/>
          <w:szCs w:val="22"/>
        </w:rPr>
        <w:t xml:space="preserve"> would otherwise be a violation of the Zoning Code’s definition of “family</w:t>
      </w:r>
      <w:r>
        <w:rPr>
          <w:sz w:val="22"/>
          <w:szCs w:val="22"/>
        </w:rPr>
        <w:t>.</w:t>
      </w:r>
      <w:r w:rsidRPr="006A2F24">
        <w:rPr>
          <w:sz w:val="22"/>
          <w:szCs w:val="22"/>
        </w:rPr>
        <w:t xml:space="preserve">”  </w:t>
      </w:r>
      <w:r>
        <w:rPr>
          <w:sz w:val="22"/>
          <w:szCs w:val="22"/>
          <w:u w:val="single"/>
        </w:rPr>
        <w:t>Id.</w:t>
      </w:r>
      <w:r w:rsidRPr="006A2F24">
        <w:rPr>
          <w:sz w:val="22"/>
          <w:szCs w:val="22"/>
        </w:rPr>
        <w:t xml:space="preserve">  Some RSATPs have</w:t>
      </w:r>
      <w:r w:rsidRPr="005E6880">
        <w:rPr>
          <w:sz w:val="22"/>
          <w:szCs w:val="22"/>
        </w:rPr>
        <w:t xml:space="preserve"> located under the reasonable accommodation policy and thereby avoided having to get a CO.  </w:t>
      </w:r>
      <w:r w:rsidRPr="005E6880">
        <w:rPr>
          <w:sz w:val="22"/>
          <w:szCs w:val="22"/>
          <w:u w:val="single"/>
        </w:rPr>
        <w:t>See</w:t>
      </w:r>
      <w:r>
        <w:rPr>
          <w:sz w:val="22"/>
          <w:szCs w:val="22"/>
          <w:u w:val="single"/>
        </w:rPr>
        <w:t>,</w:t>
      </w:r>
      <w:r w:rsidRPr="005E6880">
        <w:rPr>
          <w:sz w:val="22"/>
          <w:szCs w:val="22"/>
          <w:u w:val="single"/>
        </w:rPr>
        <w:t xml:space="preserve"> e.g</w:t>
      </w:r>
      <w:r w:rsidRPr="00E32CB8">
        <w:rPr>
          <w:sz w:val="22"/>
          <w:szCs w:val="22"/>
          <w:u w:val="single"/>
        </w:rPr>
        <w:t>.</w:t>
      </w:r>
      <w:r>
        <w:rPr>
          <w:sz w:val="22"/>
          <w:szCs w:val="22"/>
        </w:rPr>
        <w:t>,</w:t>
      </w:r>
      <w:r w:rsidRPr="005E6880">
        <w:rPr>
          <w:sz w:val="22"/>
          <w:szCs w:val="22"/>
        </w:rPr>
        <w:t xml:space="preserve"> Ex. A </w:t>
      </w:r>
      <w:r>
        <w:rPr>
          <w:sz w:val="22"/>
          <w:szCs w:val="22"/>
        </w:rPr>
        <w:t xml:space="preserve">to </w:t>
      </w:r>
      <w:r w:rsidRPr="00E32CB8">
        <w:rPr>
          <w:sz w:val="22"/>
          <w:szCs w:val="22"/>
        </w:rPr>
        <w:t>Interrog. Resp. 9/27/2010</w:t>
      </w:r>
      <w:r w:rsidRPr="005E6880">
        <w:rPr>
          <w:sz w:val="22"/>
          <w:szCs w:val="22"/>
        </w:rPr>
        <w:t xml:space="preserve"> at</w:t>
      </w:r>
      <w:r>
        <w:rPr>
          <w:sz w:val="22"/>
          <w:szCs w:val="22"/>
        </w:rPr>
        <w:t xml:space="preserve"> ID# 1, 2 (Ex. 4)</w:t>
      </w:r>
      <w:r w:rsidRPr="003F1CE2">
        <w:rPr>
          <w:sz w:val="22"/>
          <w:szCs w:val="22"/>
        </w:rPr>
        <w:t>.</w:t>
      </w:r>
    </w:p>
  </w:footnote>
  <w:footnote w:id="45">
    <w:p w:rsidR="009A3240" w:rsidRPr="003F1CE2" w:rsidRDefault="009A3240" w:rsidP="00B76C8F">
      <w:pPr>
        <w:pStyle w:val="FootnoteText"/>
        <w:rPr>
          <w:sz w:val="22"/>
          <w:szCs w:val="22"/>
        </w:rPr>
      </w:pPr>
      <w:r w:rsidRPr="003F1CE2">
        <w:rPr>
          <w:rStyle w:val="FootnoteReference"/>
          <w:sz w:val="22"/>
          <w:szCs w:val="22"/>
        </w:rPr>
        <w:footnoteRef/>
      </w:r>
      <w:r w:rsidRPr="003F1CE2">
        <w:rPr>
          <w:sz w:val="22"/>
          <w:szCs w:val="22"/>
        </w:rPr>
        <w:t xml:space="preserve"> Tanner Dep. </w:t>
      </w:r>
      <w:r>
        <w:rPr>
          <w:sz w:val="22"/>
          <w:szCs w:val="22"/>
        </w:rPr>
        <w:t>214:25</w:t>
      </w:r>
      <w:r w:rsidRPr="003F1CE2">
        <w:rPr>
          <w:sz w:val="22"/>
          <w:szCs w:val="22"/>
        </w:rPr>
        <w:t xml:space="preserve">-219:23 </w:t>
      </w:r>
      <w:r>
        <w:rPr>
          <w:sz w:val="22"/>
          <w:szCs w:val="22"/>
        </w:rPr>
        <w:t>(Ex. 1)</w:t>
      </w:r>
      <w:r w:rsidRPr="003F1CE2">
        <w:rPr>
          <w:sz w:val="22"/>
          <w:szCs w:val="22"/>
        </w:rPr>
        <w:t xml:space="preserve"> (three programs were permitted to locate without an ordinance when the treatment component of the programs was not mentioned).  </w:t>
      </w:r>
    </w:p>
  </w:footnote>
  <w:footnote w:id="46">
    <w:p w:rsidR="009A3240" w:rsidRPr="003F1CE2" w:rsidRDefault="009A3240" w:rsidP="00B76C8F">
      <w:pPr>
        <w:pStyle w:val="FootnoteText"/>
        <w:rPr>
          <w:sz w:val="22"/>
          <w:szCs w:val="22"/>
        </w:rPr>
      </w:pPr>
      <w:r w:rsidRPr="003F1CE2">
        <w:rPr>
          <w:rStyle w:val="FootnoteReference"/>
          <w:sz w:val="22"/>
          <w:szCs w:val="22"/>
        </w:rPr>
        <w:footnoteRef/>
      </w:r>
      <w:r w:rsidRPr="003F1CE2">
        <w:rPr>
          <w:sz w:val="22"/>
          <w:szCs w:val="22"/>
        </w:rPr>
        <w:t xml:space="preserve"> Def.’s Resp. to United States’ Third Interrog. </w:t>
      </w:r>
      <w:r>
        <w:rPr>
          <w:sz w:val="22"/>
          <w:szCs w:val="22"/>
        </w:rPr>
        <w:t>at #2, Oct. 4</w:t>
      </w:r>
      <w:r w:rsidRPr="003F1CE2">
        <w:rPr>
          <w:sz w:val="22"/>
          <w:szCs w:val="22"/>
        </w:rPr>
        <w:t>, 2010</w:t>
      </w:r>
      <w:r>
        <w:rPr>
          <w:sz w:val="22"/>
          <w:szCs w:val="22"/>
        </w:rPr>
        <w:t xml:space="preserve"> (Ex. 39)</w:t>
      </w:r>
      <w:r w:rsidRPr="003F1CE2">
        <w:rPr>
          <w:sz w:val="22"/>
          <w:szCs w:val="22"/>
        </w:rPr>
        <w:t>; Tanner Dep. 70:13-71:20</w:t>
      </w:r>
      <w:r>
        <w:rPr>
          <w:sz w:val="22"/>
          <w:szCs w:val="22"/>
        </w:rPr>
        <w:t xml:space="preserve"> (Ex. 1)</w:t>
      </w:r>
      <w:r w:rsidRPr="003F1CE2">
        <w:rPr>
          <w:sz w:val="22"/>
          <w:szCs w:val="22"/>
        </w:rPr>
        <w:t xml:space="preserve">.  </w:t>
      </w:r>
    </w:p>
  </w:footnote>
  <w:footnote w:id="47">
    <w:p w:rsidR="009A3240" w:rsidRPr="003F1CE2" w:rsidRDefault="009A3240" w:rsidP="00B76C8F">
      <w:pPr>
        <w:pStyle w:val="FootnoteText"/>
        <w:rPr>
          <w:sz w:val="22"/>
          <w:szCs w:val="22"/>
        </w:rPr>
      </w:pPr>
      <w:r w:rsidRPr="003F1CE2">
        <w:rPr>
          <w:rStyle w:val="FootnoteReference"/>
          <w:sz w:val="22"/>
          <w:szCs w:val="22"/>
        </w:rPr>
        <w:footnoteRef/>
      </w:r>
      <w:r w:rsidRPr="003F1CE2">
        <w:rPr>
          <w:sz w:val="22"/>
          <w:szCs w:val="22"/>
        </w:rPr>
        <w:t xml:space="preserve"> Tanner Dep. 11:22-11:24, 40:22-41:12, 47:12-48:24, </w:t>
      </w:r>
      <w:r>
        <w:rPr>
          <w:sz w:val="22"/>
          <w:szCs w:val="22"/>
        </w:rPr>
        <w:t>49:25-50:24,</w:t>
      </w:r>
      <w:r w:rsidRPr="003F1CE2">
        <w:rPr>
          <w:sz w:val="22"/>
          <w:szCs w:val="22"/>
        </w:rPr>
        <w:t xml:space="preserve"> </w:t>
      </w:r>
      <w:r>
        <w:rPr>
          <w:sz w:val="22"/>
          <w:szCs w:val="22"/>
        </w:rPr>
        <w:t>90:10-91:6 (Ex. 1)</w:t>
      </w:r>
      <w:r w:rsidRPr="003F1CE2">
        <w:rPr>
          <w:sz w:val="22"/>
          <w:szCs w:val="22"/>
        </w:rPr>
        <w:t xml:space="preserve">; City 30(b)(6) (Geoffrey Veale) Dep. 21:15-25:11 (July </w:t>
      </w:r>
      <w:r>
        <w:rPr>
          <w:sz w:val="22"/>
          <w:szCs w:val="22"/>
        </w:rPr>
        <w:t xml:space="preserve">28, </w:t>
      </w:r>
      <w:r w:rsidRPr="003F1CE2">
        <w:rPr>
          <w:sz w:val="22"/>
          <w:szCs w:val="22"/>
        </w:rPr>
        <w:t>30, 2</w:t>
      </w:r>
      <w:r>
        <w:rPr>
          <w:sz w:val="22"/>
          <w:szCs w:val="22"/>
        </w:rPr>
        <w:t>010) (hereinafter “Veale Dep.”) (Ex. 40)</w:t>
      </w:r>
      <w:r w:rsidRPr="003F1CE2">
        <w:rPr>
          <w:sz w:val="22"/>
          <w:szCs w:val="22"/>
        </w:rPr>
        <w:t xml:space="preserve">.  </w:t>
      </w:r>
    </w:p>
  </w:footnote>
  <w:footnote w:id="48">
    <w:p w:rsidR="009A3240" w:rsidRPr="003F1CE2" w:rsidRDefault="009A3240" w:rsidP="00B76C8F">
      <w:pPr>
        <w:pStyle w:val="FootnoteText"/>
        <w:rPr>
          <w:sz w:val="22"/>
          <w:szCs w:val="22"/>
        </w:rPr>
      </w:pPr>
      <w:r w:rsidRPr="003F1CE2">
        <w:rPr>
          <w:rStyle w:val="FootnoteReference"/>
          <w:sz w:val="22"/>
          <w:szCs w:val="22"/>
        </w:rPr>
        <w:footnoteRef/>
      </w:r>
      <w:r>
        <w:rPr>
          <w:sz w:val="22"/>
          <w:szCs w:val="22"/>
        </w:rPr>
        <w:t xml:space="preserve"> Tanner Dep. 47:12-48:24</w:t>
      </w:r>
      <w:r w:rsidRPr="003F1CE2">
        <w:rPr>
          <w:sz w:val="22"/>
          <w:szCs w:val="22"/>
        </w:rPr>
        <w:t xml:space="preserve"> </w:t>
      </w:r>
      <w:r>
        <w:rPr>
          <w:sz w:val="22"/>
          <w:szCs w:val="22"/>
        </w:rPr>
        <w:t>(Ex. 1)</w:t>
      </w:r>
      <w:r w:rsidRPr="003F1CE2">
        <w:rPr>
          <w:sz w:val="22"/>
          <w:szCs w:val="22"/>
        </w:rPr>
        <w:t xml:space="preserve"> (describing how the Zoning Administrator may try to make an applicant’s use fit under a permitted, rather than a conditional or prohibited, classification).</w:t>
      </w:r>
    </w:p>
  </w:footnote>
  <w:footnote w:id="49">
    <w:p w:rsidR="009A3240" w:rsidRPr="003F1CE2" w:rsidRDefault="009A3240" w:rsidP="00B76C8F">
      <w:pPr>
        <w:pStyle w:val="FootnoteText"/>
        <w:rPr>
          <w:sz w:val="22"/>
          <w:szCs w:val="22"/>
        </w:rPr>
      </w:pPr>
      <w:r w:rsidRPr="003F1CE2">
        <w:rPr>
          <w:rStyle w:val="FootnoteReference"/>
          <w:sz w:val="22"/>
          <w:szCs w:val="22"/>
        </w:rPr>
        <w:footnoteRef/>
      </w:r>
      <w:r w:rsidRPr="003F1CE2">
        <w:rPr>
          <w:sz w:val="22"/>
          <w:szCs w:val="22"/>
        </w:rPr>
        <w:t xml:space="preserve"> </w:t>
      </w:r>
      <w:r w:rsidRPr="00E859ED">
        <w:rPr>
          <w:sz w:val="22"/>
          <w:szCs w:val="22"/>
          <w:u w:val="single"/>
        </w:rPr>
        <w:t>Id.</w:t>
      </w:r>
      <w:r w:rsidRPr="003F1CE2">
        <w:rPr>
          <w:sz w:val="22"/>
          <w:szCs w:val="22"/>
        </w:rPr>
        <w:t xml:space="preserve"> 49:25-50:24.  </w:t>
      </w:r>
    </w:p>
  </w:footnote>
  <w:footnote w:id="50">
    <w:p w:rsidR="009A3240" w:rsidRPr="003F1CE2" w:rsidRDefault="009A3240" w:rsidP="00B76C8F">
      <w:pPr>
        <w:pStyle w:val="FootnoteText"/>
        <w:rPr>
          <w:sz w:val="22"/>
          <w:szCs w:val="22"/>
        </w:rPr>
      </w:pPr>
      <w:r w:rsidRPr="003F1CE2">
        <w:rPr>
          <w:rStyle w:val="FootnoteReference"/>
          <w:sz w:val="22"/>
          <w:szCs w:val="22"/>
        </w:rPr>
        <w:footnoteRef/>
      </w:r>
      <w:r>
        <w:rPr>
          <w:sz w:val="22"/>
          <w:szCs w:val="22"/>
        </w:rPr>
        <w:t xml:space="preserve"> Zoning Code §§ </w:t>
      </w:r>
      <w:r w:rsidRPr="003F1CE2">
        <w:rPr>
          <w:sz w:val="22"/>
          <w:szCs w:val="22"/>
        </w:rPr>
        <w:t>1-185(a)</w:t>
      </w:r>
      <w:r>
        <w:rPr>
          <w:sz w:val="22"/>
          <w:szCs w:val="22"/>
        </w:rPr>
        <w:t>, 4-1103, 4-1201, 4-1203, 5-201, 5-203, 6-306 (Ex. 2)</w:t>
      </w:r>
      <w:r w:rsidRPr="003F1CE2">
        <w:rPr>
          <w:sz w:val="22"/>
          <w:szCs w:val="22"/>
        </w:rPr>
        <w:t xml:space="preserve">.  </w:t>
      </w:r>
    </w:p>
  </w:footnote>
  <w:footnote w:id="51">
    <w:p w:rsidR="009A3240" w:rsidRPr="003F1CE2" w:rsidRDefault="009A3240" w:rsidP="00B76C8F">
      <w:pPr>
        <w:pStyle w:val="FootnoteText"/>
        <w:rPr>
          <w:sz w:val="22"/>
          <w:szCs w:val="22"/>
        </w:rPr>
      </w:pPr>
      <w:r w:rsidRPr="003F1CE2">
        <w:rPr>
          <w:rStyle w:val="FootnoteReference"/>
          <w:sz w:val="22"/>
          <w:szCs w:val="22"/>
        </w:rPr>
        <w:footnoteRef/>
      </w:r>
      <w:r w:rsidRPr="003F1CE2">
        <w:rPr>
          <w:sz w:val="22"/>
          <w:szCs w:val="22"/>
        </w:rPr>
        <w:t xml:space="preserve"> Ex. A to </w:t>
      </w:r>
      <w:r w:rsidRPr="00E32CB8">
        <w:rPr>
          <w:sz w:val="22"/>
          <w:szCs w:val="22"/>
        </w:rPr>
        <w:t>Interrog. Resp. 9/27/2010</w:t>
      </w:r>
      <w:r>
        <w:rPr>
          <w:sz w:val="22"/>
          <w:szCs w:val="22"/>
        </w:rPr>
        <w:t>,</w:t>
      </w:r>
      <w:r w:rsidRPr="003F1CE2">
        <w:rPr>
          <w:sz w:val="22"/>
          <w:szCs w:val="22"/>
        </w:rPr>
        <w:t xml:space="preserve"> at ID# 34</w:t>
      </w:r>
      <w:r>
        <w:rPr>
          <w:sz w:val="22"/>
          <w:szCs w:val="22"/>
        </w:rPr>
        <w:t xml:space="preserve"> (Ex. 4)</w:t>
      </w:r>
      <w:r w:rsidRPr="003F1CE2">
        <w:rPr>
          <w:sz w:val="22"/>
          <w:szCs w:val="22"/>
        </w:rPr>
        <w:t>; Zoning Files</w:t>
      </w:r>
      <w:r>
        <w:rPr>
          <w:sz w:val="22"/>
          <w:szCs w:val="22"/>
        </w:rPr>
        <w:t xml:space="preserve"> for 2122-26 Mura Street</w:t>
      </w:r>
      <w:r w:rsidRPr="003F1CE2">
        <w:rPr>
          <w:sz w:val="22"/>
          <w:szCs w:val="22"/>
        </w:rPr>
        <w:t>, MCCB 20758-20765</w:t>
      </w:r>
      <w:r>
        <w:rPr>
          <w:sz w:val="22"/>
          <w:szCs w:val="22"/>
        </w:rPr>
        <w:t xml:space="preserve"> (Ex. 41)</w:t>
      </w:r>
      <w:r w:rsidRPr="003F1CE2">
        <w:rPr>
          <w:sz w:val="22"/>
          <w:szCs w:val="22"/>
        </w:rPr>
        <w:t>.</w:t>
      </w:r>
    </w:p>
  </w:footnote>
  <w:footnote w:id="52">
    <w:p w:rsidR="009A3240" w:rsidRPr="003F1CE2" w:rsidRDefault="009A3240" w:rsidP="00B76C8F">
      <w:pPr>
        <w:pStyle w:val="FootnoteText"/>
        <w:rPr>
          <w:sz w:val="22"/>
          <w:szCs w:val="22"/>
        </w:rPr>
      </w:pPr>
      <w:r w:rsidRPr="003F1CE2">
        <w:rPr>
          <w:rStyle w:val="FootnoteReference"/>
          <w:sz w:val="22"/>
          <w:szCs w:val="22"/>
        </w:rPr>
        <w:footnoteRef/>
      </w:r>
      <w:r>
        <w:rPr>
          <w:sz w:val="22"/>
          <w:szCs w:val="22"/>
        </w:rPr>
        <w:t xml:space="preserve"> Zoning Code</w:t>
      </w:r>
      <w:r w:rsidRPr="003F1CE2">
        <w:rPr>
          <w:sz w:val="22"/>
          <w:szCs w:val="22"/>
        </w:rPr>
        <w:t xml:space="preserve"> §§ 1-136(c)(3), 1-137</w:t>
      </w:r>
      <w:r>
        <w:rPr>
          <w:sz w:val="22"/>
          <w:szCs w:val="22"/>
        </w:rPr>
        <w:t xml:space="preserve"> (Ex. 2)</w:t>
      </w:r>
      <w:r w:rsidRPr="003F1CE2">
        <w:rPr>
          <w:sz w:val="22"/>
          <w:szCs w:val="22"/>
        </w:rPr>
        <w:t xml:space="preserve">; Ex. A to </w:t>
      </w:r>
      <w:r w:rsidRPr="00E32CB8">
        <w:rPr>
          <w:sz w:val="22"/>
          <w:szCs w:val="22"/>
        </w:rPr>
        <w:t>Interrog. Resp. 9/27/2010</w:t>
      </w:r>
      <w:r w:rsidRPr="003F1CE2">
        <w:rPr>
          <w:sz w:val="22"/>
          <w:szCs w:val="22"/>
        </w:rPr>
        <w:t>, at ID# 29</w:t>
      </w:r>
      <w:r>
        <w:rPr>
          <w:sz w:val="22"/>
          <w:szCs w:val="22"/>
        </w:rPr>
        <w:t xml:space="preserve"> (Ex. 4)</w:t>
      </w:r>
      <w:r w:rsidRPr="003F1CE2">
        <w:rPr>
          <w:sz w:val="22"/>
          <w:szCs w:val="22"/>
        </w:rPr>
        <w:t>; Zoning Summary Card for 13-19 South Fulton Ave., MCCB 20724, 20726</w:t>
      </w:r>
      <w:r>
        <w:rPr>
          <w:sz w:val="22"/>
          <w:szCs w:val="22"/>
        </w:rPr>
        <w:t xml:space="preserve"> (Ex. 42)</w:t>
      </w:r>
      <w:r w:rsidRPr="003F1CE2">
        <w:rPr>
          <w:sz w:val="22"/>
          <w:szCs w:val="22"/>
        </w:rPr>
        <w:t xml:space="preserve">.  </w:t>
      </w:r>
    </w:p>
  </w:footnote>
  <w:footnote w:id="53">
    <w:p w:rsidR="009A3240" w:rsidRPr="003F1CE2" w:rsidRDefault="009A3240" w:rsidP="00B76C8F">
      <w:pPr>
        <w:pStyle w:val="FootnoteText"/>
        <w:rPr>
          <w:sz w:val="22"/>
          <w:szCs w:val="22"/>
        </w:rPr>
      </w:pPr>
      <w:r w:rsidRPr="003F1CE2">
        <w:rPr>
          <w:rStyle w:val="FootnoteReference"/>
          <w:sz w:val="22"/>
          <w:szCs w:val="22"/>
        </w:rPr>
        <w:footnoteRef/>
      </w:r>
      <w:r w:rsidRPr="003F1CE2">
        <w:rPr>
          <w:sz w:val="22"/>
          <w:szCs w:val="22"/>
        </w:rPr>
        <w:t xml:space="preserve"> </w:t>
      </w:r>
      <w:r w:rsidRPr="003F1CE2">
        <w:rPr>
          <w:sz w:val="22"/>
          <w:szCs w:val="22"/>
          <w:u w:val="single"/>
        </w:rPr>
        <w:t>Ord. No. 1295 Reported Favorably, with Amendment, and Ordered Printed for Third Reading</w:t>
      </w:r>
      <w:r w:rsidRPr="003F1CE2">
        <w:rPr>
          <w:sz w:val="22"/>
          <w:szCs w:val="22"/>
        </w:rPr>
        <w:t>, J</w:t>
      </w:r>
      <w:r>
        <w:rPr>
          <w:sz w:val="22"/>
          <w:szCs w:val="22"/>
        </w:rPr>
        <w:t>. of City Council of Baltimore 1126</w:t>
      </w:r>
      <w:r w:rsidRPr="003F1CE2">
        <w:rPr>
          <w:sz w:val="22"/>
          <w:szCs w:val="22"/>
        </w:rPr>
        <w:t xml:space="preserve"> </w:t>
      </w:r>
      <w:r>
        <w:rPr>
          <w:sz w:val="22"/>
          <w:szCs w:val="22"/>
        </w:rPr>
        <w:t>(</w:t>
      </w:r>
      <w:r w:rsidRPr="003F1CE2">
        <w:rPr>
          <w:sz w:val="22"/>
          <w:szCs w:val="22"/>
        </w:rPr>
        <w:t>Jan. 29, 1962</w:t>
      </w:r>
      <w:r>
        <w:rPr>
          <w:sz w:val="22"/>
          <w:szCs w:val="22"/>
        </w:rPr>
        <w:t xml:space="preserve">) </w:t>
      </w:r>
      <w:r w:rsidRPr="003F1CE2">
        <w:rPr>
          <w:sz w:val="22"/>
          <w:szCs w:val="22"/>
        </w:rPr>
        <w:t>US 2632-33</w:t>
      </w:r>
      <w:r>
        <w:rPr>
          <w:sz w:val="22"/>
          <w:szCs w:val="22"/>
        </w:rPr>
        <w:t xml:space="preserve"> (Ex. 43)</w:t>
      </w:r>
      <w:r w:rsidRPr="003F1CE2">
        <w:rPr>
          <w:sz w:val="22"/>
          <w:szCs w:val="22"/>
        </w:rPr>
        <w:t xml:space="preserve">.  </w:t>
      </w:r>
    </w:p>
  </w:footnote>
  <w:footnote w:id="54">
    <w:p w:rsidR="009A3240" w:rsidRPr="003F1CE2" w:rsidRDefault="009A3240" w:rsidP="00B76C8F">
      <w:pPr>
        <w:pStyle w:val="FootnoteText"/>
        <w:rPr>
          <w:sz w:val="22"/>
          <w:szCs w:val="22"/>
        </w:rPr>
      </w:pPr>
      <w:r w:rsidRPr="003F1CE2">
        <w:rPr>
          <w:rStyle w:val="FootnoteReference"/>
          <w:sz w:val="22"/>
          <w:szCs w:val="22"/>
        </w:rPr>
        <w:footnoteRef/>
      </w:r>
      <w:r w:rsidRPr="003F1CE2">
        <w:rPr>
          <w:sz w:val="22"/>
          <w:szCs w:val="22"/>
        </w:rPr>
        <w:t xml:space="preserve"> Richard Frank, </w:t>
      </w:r>
      <w:r w:rsidRPr="003F1CE2">
        <w:rPr>
          <w:sz w:val="22"/>
          <w:szCs w:val="22"/>
          <w:u w:val="single"/>
        </w:rPr>
        <w:t>Council Asked to Reject Alcoholic Home Bill</w:t>
      </w:r>
      <w:r w:rsidRPr="003F1CE2">
        <w:rPr>
          <w:sz w:val="22"/>
          <w:szCs w:val="22"/>
        </w:rPr>
        <w:t>, Baltimore Evening Sun, June 15, 1961</w:t>
      </w:r>
      <w:r>
        <w:rPr>
          <w:sz w:val="22"/>
          <w:szCs w:val="22"/>
        </w:rPr>
        <w:t>,</w:t>
      </w:r>
      <w:r w:rsidRPr="003F1CE2">
        <w:rPr>
          <w:sz w:val="22"/>
          <w:szCs w:val="22"/>
        </w:rPr>
        <w:t xml:space="preserve"> at 18, US 2627</w:t>
      </w:r>
      <w:r>
        <w:rPr>
          <w:sz w:val="22"/>
          <w:szCs w:val="22"/>
        </w:rPr>
        <w:t xml:space="preserve"> (Ex. 44)</w:t>
      </w:r>
      <w:r w:rsidRPr="003F1CE2">
        <w:rPr>
          <w:sz w:val="22"/>
          <w:szCs w:val="22"/>
        </w:rPr>
        <w:t xml:space="preserve">.  </w:t>
      </w:r>
    </w:p>
  </w:footnote>
  <w:footnote w:id="55">
    <w:p w:rsidR="009A3240" w:rsidRPr="003F1CE2" w:rsidRDefault="009A3240" w:rsidP="00B76C8F">
      <w:pPr>
        <w:pStyle w:val="FootnoteText"/>
        <w:rPr>
          <w:sz w:val="22"/>
          <w:szCs w:val="22"/>
        </w:rPr>
      </w:pPr>
      <w:r w:rsidRPr="003F1CE2">
        <w:rPr>
          <w:rStyle w:val="FootnoteReference"/>
          <w:sz w:val="22"/>
          <w:szCs w:val="22"/>
        </w:rPr>
        <w:footnoteRef/>
      </w:r>
      <w:r w:rsidRPr="003F1CE2">
        <w:rPr>
          <w:sz w:val="22"/>
          <w:szCs w:val="22"/>
        </w:rPr>
        <w:t xml:space="preserve"> </w:t>
      </w:r>
      <w:r w:rsidRPr="003F1CE2">
        <w:rPr>
          <w:sz w:val="22"/>
          <w:szCs w:val="22"/>
          <w:u w:val="single"/>
        </w:rPr>
        <w:t>Id</w:t>
      </w:r>
      <w:r w:rsidRPr="009D20E1">
        <w:rPr>
          <w:sz w:val="22"/>
          <w:szCs w:val="22"/>
          <w:u w:val="single"/>
        </w:rPr>
        <w:t>.</w:t>
      </w:r>
      <w:r w:rsidRPr="003F1CE2">
        <w:rPr>
          <w:sz w:val="22"/>
          <w:szCs w:val="22"/>
        </w:rPr>
        <w:t xml:space="preserve">  </w:t>
      </w:r>
    </w:p>
  </w:footnote>
  <w:footnote w:id="56">
    <w:p w:rsidR="009A3240" w:rsidRPr="003F1CE2" w:rsidRDefault="009A3240" w:rsidP="00B76C8F">
      <w:pPr>
        <w:pStyle w:val="FootnoteText"/>
        <w:rPr>
          <w:sz w:val="22"/>
          <w:szCs w:val="22"/>
        </w:rPr>
      </w:pPr>
      <w:r w:rsidRPr="003F1CE2">
        <w:rPr>
          <w:rStyle w:val="FootnoteReference"/>
          <w:sz w:val="22"/>
          <w:szCs w:val="22"/>
        </w:rPr>
        <w:footnoteRef/>
      </w:r>
      <w:r w:rsidRPr="003F1CE2">
        <w:rPr>
          <w:sz w:val="22"/>
          <w:szCs w:val="22"/>
        </w:rPr>
        <w:t xml:space="preserve"> Philip Darling, Dir., Planning Comm’n, </w:t>
      </w:r>
      <w:r w:rsidRPr="003F1CE2">
        <w:rPr>
          <w:sz w:val="22"/>
          <w:szCs w:val="22"/>
          <w:u w:val="single"/>
        </w:rPr>
        <w:t>Ord. No. 161 Disapproved by Planning Commission and Board of Municipal and Zoning Appeals</w:t>
      </w:r>
      <w:r w:rsidRPr="003F1CE2">
        <w:rPr>
          <w:sz w:val="22"/>
          <w:szCs w:val="22"/>
        </w:rPr>
        <w:t xml:space="preserve">, </w:t>
      </w:r>
      <w:r>
        <w:rPr>
          <w:sz w:val="22"/>
          <w:szCs w:val="22"/>
        </w:rPr>
        <w:t>J. of City Council of Baltimore</w:t>
      </w:r>
      <w:r w:rsidRPr="003F1CE2">
        <w:rPr>
          <w:sz w:val="22"/>
          <w:szCs w:val="22"/>
        </w:rPr>
        <w:t xml:space="preserve"> 537</w:t>
      </w:r>
      <w:r>
        <w:rPr>
          <w:sz w:val="22"/>
          <w:szCs w:val="22"/>
        </w:rPr>
        <w:t xml:space="preserve"> (</w:t>
      </w:r>
      <w:r w:rsidRPr="003F1CE2">
        <w:rPr>
          <w:sz w:val="22"/>
          <w:szCs w:val="22"/>
        </w:rPr>
        <w:t>Nov. 16, 1959</w:t>
      </w:r>
      <w:r>
        <w:rPr>
          <w:sz w:val="22"/>
          <w:szCs w:val="22"/>
        </w:rPr>
        <w:t>),</w:t>
      </w:r>
      <w:r w:rsidRPr="003F1CE2">
        <w:rPr>
          <w:sz w:val="22"/>
          <w:szCs w:val="22"/>
        </w:rPr>
        <w:t xml:space="preserve"> US 2629-30</w:t>
      </w:r>
      <w:r>
        <w:rPr>
          <w:sz w:val="22"/>
          <w:szCs w:val="22"/>
        </w:rPr>
        <w:t xml:space="preserve"> (Ex. 45)</w:t>
      </w:r>
      <w:r w:rsidRPr="003F1CE2">
        <w:rPr>
          <w:sz w:val="22"/>
          <w:szCs w:val="22"/>
        </w:rPr>
        <w:t>.</w:t>
      </w:r>
    </w:p>
  </w:footnote>
  <w:footnote w:id="57">
    <w:p w:rsidR="009A3240" w:rsidRPr="003F1CE2" w:rsidRDefault="009A3240" w:rsidP="00B76C8F">
      <w:pPr>
        <w:pStyle w:val="FootnoteText"/>
        <w:rPr>
          <w:sz w:val="22"/>
          <w:szCs w:val="22"/>
        </w:rPr>
      </w:pPr>
      <w:r w:rsidRPr="003F1CE2">
        <w:rPr>
          <w:rStyle w:val="FootnoteReference"/>
          <w:sz w:val="22"/>
          <w:szCs w:val="22"/>
        </w:rPr>
        <w:footnoteRef/>
      </w:r>
      <w:r w:rsidRPr="003F1CE2">
        <w:rPr>
          <w:sz w:val="22"/>
          <w:szCs w:val="22"/>
        </w:rPr>
        <w:t xml:space="preserve"> Arthur D. Pratt, Jr., President, Flynn Christian Fellowship Houses, Inc., </w:t>
      </w:r>
      <w:r w:rsidRPr="003F1CE2">
        <w:rPr>
          <w:sz w:val="22"/>
          <w:szCs w:val="22"/>
          <w:u w:val="single"/>
        </w:rPr>
        <w:t>Letters to the Editor</w:t>
      </w:r>
      <w:r w:rsidRPr="003F1CE2">
        <w:rPr>
          <w:sz w:val="22"/>
          <w:szCs w:val="22"/>
        </w:rPr>
        <w:t>, Baltimore Morning Sun, Oct. 2, 1961, US 2635</w:t>
      </w:r>
      <w:r>
        <w:rPr>
          <w:sz w:val="22"/>
          <w:szCs w:val="22"/>
        </w:rPr>
        <w:t xml:space="preserve"> (Ex. 46)</w:t>
      </w:r>
      <w:r w:rsidRPr="003F1CE2">
        <w:rPr>
          <w:sz w:val="22"/>
          <w:szCs w:val="22"/>
        </w:rPr>
        <w:t xml:space="preserve">.  </w:t>
      </w:r>
    </w:p>
  </w:footnote>
  <w:footnote w:id="58">
    <w:p w:rsidR="009A3240" w:rsidRDefault="009A3240" w:rsidP="00B76C8F">
      <w:pPr>
        <w:pStyle w:val="FootnoteText"/>
      </w:pPr>
      <w:r w:rsidRPr="003F1CE2">
        <w:rPr>
          <w:rStyle w:val="FootnoteReference"/>
          <w:sz w:val="22"/>
          <w:szCs w:val="22"/>
        </w:rPr>
        <w:footnoteRef/>
      </w:r>
      <w:r w:rsidRPr="003F1CE2">
        <w:rPr>
          <w:sz w:val="22"/>
          <w:szCs w:val="22"/>
        </w:rPr>
        <w:t xml:space="preserve"> </w:t>
      </w:r>
      <w:r w:rsidRPr="003F1CE2">
        <w:rPr>
          <w:sz w:val="22"/>
          <w:szCs w:val="22"/>
          <w:u w:val="single"/>
        </w:rPr>
        <w:t>Ord. No. 1295 Reported Favorably, with Amendment, and Ordered Printed for Third Reading</w:t>
      </w:r>
      <w:r w:rsidRPr="003F1CE2">
        <w:rPr>
          <w:sz w:val="22"/>
          <w:szCs w:val="22"/>
        </w:rPr>
        <w:t>, J</w:t>
      </w:r>
      <w:r>
        <w:rPr>
          <w:sz w:val="22"/>
          <w:szCs w:val="22"/>
        </w:rPr>
        <w:t>. of City Council of Baltimore</w:t>
      </w:r>
      <w:r w:rsidRPr="003F1CE2">
        <w:rPr>
          <w:sz w:val="22"/>
          <w:szCs w:val="22"/>
        </w:rPr>
        <w:t xml:space="preserve"> 1126</w:t>
      </w:r>
      <w:r>
        <w:rPr>
          <w:sz w:val="22"/>
          <w:szCs w:val="22"/>
        </w:rPr>
        <w:t xml:space="preserve"> (</w:t>
      </w:r>
      <w:r w:rsidRPr="003F1CE2">
        <w:rPr>
          <w:sz w:val="22"/>
          <w:szCs w:val="22"/>
        </w:rPr>
        <w:t>Jan. 29, 1962</w:t>
      </w:r>
      <w:r>
        <w:rPr>
          <w:sz w:val="22"/>
          <w:szCs w:val="22"/>
        </w:rPr>
        <w:t>),</w:t>
      </w:r>
      <w:r w:rsidRPr="003F1CE2">
        <w:rPr>
          <w:sz w:val="22"/>
          <w:szCs w:val="22"/>
        </w:rPr>
        <w:t xml:space="preserve"> US 2632-33</w:t>
      </w:r>
      <w:r>
        <w:rPr>
          <w:sz w:val="22"/>
          <w:szCs w:val="22"/>
        </w:rPr>
        <w:t xml:space="preserve"> (Ex. 43)</w:t>
      </w:r>
      <w:r w:rsidRPr="003F1CE2">
        <w:rPr>
          <w:sz w:val="22"/>
          <w:szCs w:val="22"/>
        </w:rPr>
        <w:t>.</w:t>
      </w:r>
    </w:p>
  </w:footnote>
  <w:footnote w:id="59">
    <w:p w:rsidR="009A3240" w:rsidRPr="003F1CE2" w:rsidRDefault="009A3240" w:rsidP="00B76C8F">
      <w:pPr>
        <w:pStyle w:val="FootnoteText"/>
        <w:rPr>
          <w:sz w:val="22"/>
          <w:szCs w:val="22"/>
        </w:rPr>
      </w:pPr>
      <w:r w:rsidRPr="003F1CE2">
        <w:rPr>
          <w:rStyle w:val="FootnoteReference"/>
          <w:sz w:val="22"/>
          <w:szCs w:val="22"/>
        </w:rPr>
        <w:footnoteRef/>
      </w:r>
      <w:r w:rsidRPr="003F1CE2">
        <w:rPr>
          <w:sz w:val="22"/>
          <w:szCs w:val="22"/>
        </w:rPr>
        <w:t xml:space="preserve"> Robert Farber, M.D., Comm’r of Health, </w:t>
      </w:r>
      <w:r w:rsidRPr="003F1CE2">
        <w:rPr>
          <w:sz w:val="22"/>
          <w:szCs w:val="22"/>
          <w:u w:val="single"/>
        </w:rPr>
        <w:t>Re: Ordinance Introductory No. 200</w:t>
      </w:r>
      <w:r w:rsidRPr="003F1CE2">
        <w:rPr>
          <w:sz w:val="22"/>
          <w:szCs w:val="22"/>
        </w:rPr>
        <w:t>, J. of City Council of Baltimore 432 (Apr. 17, 1972), US 264</w:t>
      </w:r>
      <w:r>
        <w:rPr>
          <w:sz w:val="22"/>
          <w:szCs w:val="22"/>
        </w:rPr>
        <w:t>2-</w:t>
      </w:r>
      <w:r w:rsidRPr="003F1CE2">
        <w:rPr>
          <w:sz w:val="22"/>
          <w:szCs w:val="22"/>
        </w:rPr>
        <w:t>3</w:t>
      </w:r>
      <w:r>
        <w:rPr>
          <w:sz w:val="22"/>
          <w:szCs w:val="22"/>
        </w:rPr>
        <w:t xml:space="preserve"> (Ex. 47)</w:t>
      </w:r>
      <w:r w:rsidRPr="003F1CE2">
        <w:rPr>
          <w:sz w:val="22"/>
          <w:szCs w:val="22"/>
        </w:rPr>
        <w:t>.</w:t>
      </w:r>
    </w:p>
  </w:footnote>
  <w:footnote w:id="60">
    <w:p w:rsidR="009A3240" w:rsidRPr="003F1CE2" w:rsidRDefault="009A3240" w:rsidP="00B76C8F">
      <w:pPr>
        <w:pStyle w:val="FootnoteText"/>
        <w:rPr>
          <w:sz w:val="22"/>
          <w:szCs w:val="22"/>
        </w:rPr>
      </w:pPr>
      <w:r w:rsidRPr="003F1CE2">
        <w:rPr>
          <w:rStyle w:val="FootnoteReference"/>
          <w:sz w:val="22"/>
          <w:szCs w:val="22"/>
        </w:rPr>
        <w:footnoteRef/>
      </w:r>
      <w:r w:rsidRPr="003F1CE2">
        <w:rPr>
          <w:sz w:val="22"/>
          <w:szCs w:val="22"/>
        </w:rPr>
        <w:t xml:space="preserve"> Answer ¶ 18</w:t>
      </w:r>
      <w:r>
        <w:rPr>
          <w:sz w:val="22"/>
          <w:szCs w:val="22"/>
        </w:rPr>
        <w:t>, ECF No. 7</w:t>
      </w:r>
      <w:r w:rsidRPr="003F1CE2">
        <w:rPr>
          <w:sz w:val="22"/>
          <w:szCs w:val="22"/>
        </w:rPr>
        <w:t xml:space="preserve">.  </w:t>
      </w:r>
    </w:p>
  </w:footnote>
  <w:footnote w:id="61">
    <w:p w:rsidR="009A3240" w:rsidRPr="003F1CE2" w:rsidRDefault="009A3240" w:rsidP="00B76C8F">
      <w:pPr>
        <w:pStyle w:val="FootnoteText"/>
        <w:rPr>
          <w:sz w:val="22"/>
          <w:szCs w:val="22"/>
        </w:rPr>
      </w:pPr>
      <w:r w:rsidRPr="003F1CE2">
        <w:rPr>
          <w:rStyle w:val="FootnoteReference"/>
          <w:sz w:val="22"/>
          <w:szCs w:val="22"/>
        </w:rPr>
        <w:footnoteRef/>
      </w:r>
      <w:r w:rsidRPr="003F1CE2">
        <w:rPr>
          <w:sz w:val="22"/>
          <w:szCs w:val="22"/>
        </w:rPr>
        <w:t xml:space="preserve"> Mem. from Otis Rolley, III, Dir., Dep’t of Planning, to President and Member</w:t>
      </w:r>
      <w:r>
        <w:rPr>
          <w:sz w:val="22"/>
          <w:szCs w:val="22"/>
        </w:rPr>
        <w:t>s</w:t>
      </w:r>
      <w:r w:rsidRPr="003F1CE2">
        <w:rPr>
          <w:sz w:val="22"/>
          <w:szCs w:val="22"/>
        </w:rPr>
        <w:t xml:space="preserve"> of City Council (May 7, 2004), MCCB 2247-50</w:t>
      </w:r>
      <w:r>
        <w:rPr>
          <w:sz w:val="22"/>
          <w:szCs w:val="22"/>
        </w:rPr>
        <w:t xml:space="preserve"> (Ex. 48)</w:t>
      </w:r>
      <w:r w:rsidRPr="003F1CE2">
        <w:rPr>
          <w:sz w:val="22"/>
          <w:szCs w:val="22"/>
        </w:rPr>
        <w:t xml:space="preserve">.  </w:t>
      </w:r>
    </w:p>
  </w:footnote>
  <w:footnote w:id="62">
    <w:p w:rsidR="009A3240" w:rsidRPr="003F1CE2" w:rsidRDefault="009A3240" w:rsidP="00B76C8F">
      <w:pPr>
        <w:pStyle w:val="FootnoteText"/>
        <w:rPr>
          <w:sz w:val="22"/>
          <w:szCs w:val="22"/>
        </w:rPr>
      </w:pPr>
      <w:r w:rsidRPr="003F1CE2">
        <w:rPr>
          <w:rStyle w:val="FootnoteReference"/>
          <w:sz w:val="22"/>
          <w:szCs w:val="22"/>
        </w:rPr>
        <w:footnoteRef/>
      </w:r>
      <w:r w:rsidRPr="003F1CE2">
        <w:rPr>
          <w:sz w:val="22"/>
          <w:szCs w:val="22"/>
        </w:rPr>
        <w:t xml:space="preserve"> </w:t>
      </w:r>
      <w:r w:rsidRPr="003F1CE2">
        <w:rPr>
          <w:sz w:val="22"/>
          <w:szCs w:val="22"/>
          <w:u w:val="single"/>
        </w:rPr>
        <w:t>Id.</w:t>
      </w:r>
      <w:r w:rsidRPr="003F1CE2">
        <w:rPr>
          <w:sz w:val="22"/>
          <w:szCs w:val="22"/>
        </w:rPr>
        <w:t xml:space="preserve">, Staff Report at 1.  </w:t>
      </w:r>
    </w:p>
  </w:footnote>
  <w:footnote w:id="63">
    <w:p w:rsidR="009A3240" w:rsidRPr="003F1CE2" w:rsidRDefault="009A3240" w:rsidP="00B76C8F">
      <w:pPr>
        <w:pStyle w:val="FootnoteText"/>
        <w:rPr>
          <w:sz w:val="22"/>
          <w:szCs w:val="22"/>
        </w:rPr>
      </w:pPr>
      <w:r w:rsidRPr="003F1CE2">
        <w:rPr>
          <w:rStyle w:val="FootnoteReference"/>
          <w:sz w:val="22"/>
          <w:szCs w:val="22"/>
        </w:rPr>
        <w:footnoteRef/>
      </w:r>
      <w:r w:rsidRPr="003F1CE2">
        <w:rPr>
          <w:sz w:val="22"/>
          <w:szCs w:val="22"/>
        </w:rPr>
        <w:t xml:space="preserve"> </w:t>
      </w:r>
      <w:r w:rsidRPr="003F1CE2">
        <w:rPr>
          <w:sz w:val="22"/>
          <w:szCs w:val="22"/>
          <w:u w:val="single"/>
        </w:rPr>
        <w:t>See</w:t>
      </w:r>
      <w:r w:rsidRPr="003F1CE2">
        <w:rPr>
          <w:sz w:val="22"/>
          <w:szCs w:val="22"/>
        </w:rPr>
        <w:t xml:space="preserve"> Mem. from Paul T. Graziano, Comm’r, Dep’t of Hous. and Cmty. Dev., to the President and Members of the City Council (Sept. 8, 2004), MCCB </w:t>
      </w:r>
      <w:r>
        <w:rPr>
          <w:sz w:val="22"/>
          <w:szCs w:val="22"/>
        </w:rPr>
        <w:t>2299-2300 (Ex. 49)</w:t>
      </w:r>
      <w:r w:rsidRPr="003F1CE2">
        <w:rPr>
          <w:sz w:val="22"/>
          <w:szCs w:val="22"/>
        </w:rPr>
        <w:t>; Mem. from John P. Stewart, Exec. Dir., Comm’n on Aging and Retirement Educ. (CARE), to President and Members of the City Council (May 27, 2003), MCCB 2242-</w:t>
      </w:r>
      <w:r>
        <w:rPr>
          <w:sz w:val="22"/>
          <w:szCs w:val="22"/>
        </w:rPr>
        <w:t>4</w:t>
      </w:r>
      <w:r w:rsidRPr="003F1CE2">
        <w:rPr>
          <w:sz w:val="22"/>
          <w:szCs w:val="22"/>
        </w:rPr>
        <w:t>3</w:t>
      </w:r>
      <w:r>
        <w:rPr>
          <w:sz w:val="22"/>
          <w:szCs w:val="22"/>
        </w:rPr>
        <w:t xml:space="preserve"> (Ex. 50)</w:t>
      </w:r>
      <w:r w:rsidRPr="003F1CE2">
        <w:rPr>
          <w:sz w:val="22"/>
          <w:szCs w:val="22"/>
        </w:rPr>
        <w:t>; Mem. from Alfred H. Foxx, Dir., Dep’t of Transp., to President and Members of City Council (May 24, 2004), MCCB 2244</w:t>
      </w:r>
      <w:r>
        <w:rPr>
          <w:sz w:val="22"/>
          <w:szCs w:val="22"/>
        </w:rPr>
        <w:t xml:space="preserve"> (Ex. 51)</w:t>
      </w:r>
      <w:r w:rsidRPr="003F1CE2">
        <w:rPr>
          <w:sz w:val="22"/>
          <w:szCs w:val="22"/>
        </w:rPr>
        <w:t>; Mem. from Dr. Peter L. Beilenson, Comm’r, Health Dep’t, to President and Member of City Council (May 12, 2004), MCCB 2245-</w:t>
      </w:r>
      <w:r>
        <w:rPr>
          <w:sz w:val="22"/>
          <w:szCs w:val="22"/>
        </w:rPr>
        <w:t>4</w:t>
      </w:r>
      <w:r w:rsidRPr="003F1CE2">
        <w:rPr>
          <w:sz w:val="22"/>
          <w:szCs w:val="22"/>
        </w:rPr>
        <w:t>6</w:t>
      </w:r>
      <w:r>
        <w:rPr>
          <w:sz w:val="22"/>
          <w:szCs w:val="22"/>
        </w:rPr>
        <w:t xml:space="preserve"> (Ex. 52)</w:t>
      </w:r>
      <w:r w:rsidRPr="003F1CE2">
        <w:rPr>
          <w:sz w:val="22"/>
          <w:szCs w:val="22"/>
        </w:rPr>
        <w:t>.</w:t>
      </w:r>
    </w:p>
  </w:footnote>
  <w:footnote w:id="64">
    <w:p w:rsidR="009A3240" w:rsidRPr="003F1CE2" w:rsidRDefault="009A3240" w:rsidP="00B76C8F">
      <w:pPr>
        <w:pStyle w:val="FootnoteText"/>
        <w:rPr>
          <w:sz w:val="22"/>
          <w:szCs w:val="22"/>
        </w:rPr>
      </w:pPr>
      <w:r w:rsidRPr="003F1CE2">
        <w:rPr>
          <w:rStyle w:val="FootnoteReference"/>
          <w:sz w:val="22"/>
          <w:szCs w:val="22"/>
        </w:rPr>
        <w:footnoteRef/>
      </w:r>
      <w:r w:rsidRPr="003F1CE2">
        <w:rPr>
          <w:sz w:val="22"/>
          <w:szCs w:val="22"/>
        </w:rPr>
        <w:t xml:space="preserve"> Alec MacGillis and Lynn Anderson, </w:t>
      </w:r>
      <w:r w:rsidRPr="003F1CE2">
        <w:rPr>
          <w:sz w:val="22"/>
          <w:szCs w:val="22"/>
          <w:u w:val="single"/>
        </w:rPr>
        <w:t>O’Malley Says He’ll Back Easing Way for Drug Treatment Centers</w:t>
      </w:r>
      <w:r w:rsidRPr="003F1CE2">
        <w:rPr>
          <w:sz w:val="22"/>
          <w:szCs w:val="22"/>
        </w:rPr>
        <w:t>, Baltimore Sun</w:t>
      </w:r>
      <w:r>
        <w:rPr>
          <w:sz w:val="22"/>
          <w:szCs w:val="22"/>
        </w:rPr>
        <w:t>,</w:t>
      </w:r>
      <w:r w:rsidRPr="003F1CE2">
        <w:rPr>
          <w:sz w:val="22"/>
          <w:szCs w:val="22"/>
        </w:rPr>
        <w:t xml:space="preserve"> May 17, 2005, US 2716-18</w:t>
      </w:r>
      <w:r>
        <w:rPr>
          <w:sz w:val="22"/>
          <w:szCs w:val="22"/>
        </w:rPr>
        <w:t xml:space="preserve"> (Ex. 53)</w:t>
      </w:r>
      <w:r w:rsidRPr="003F1CE2">
        <w:rPr>
          <w:sz w:val="22"/>
          <w:szCs w:val="22"/>
        </w:rPr>
        <w:t xml:space="preserve">; </w:t>
      </w:r>
      <w:r w:rsidRPr="003F1CE2">
        <w:rPr>
          <w:sz w:val="22"/>
          <w:szCs w:val="22"/>
          <w:u w:val="single"/>
        </w:rPr>
        <w:t>see also</w:t>
      </w:r>
      <w:r w:rsidRPr="003F1CE2">
        <w:rPr>
          <w:sz w:val="22"/>
          <w:szCs w:val="22"/>
        </w:rPr>
        <w:t xml:space="preserve"> </w:t>
      </w:r>
      <w:r>
        <w:rPr>
          <w:sz w:val="22"/>
          <w:szCs w:val="22"/>
        </w:rPr>
        <w:t xml:space="preserve">Douglas B. McCoach, III, Dir., </w:t>
      </w:r>
      <w:r w:rsidRPr="003F1CE2">
        <w:rPr>
          <w:sz w:val="22"/>
          <w:szCs w:val="22"/>
        </w:rPr>
        <w:t>Planning Comm’n</w:t>
      </w:r>
      <w:r>
        <w:rPr>
          <w:sz w:val="22"/>
          <w:szCs w:val="22"/>
        </w:rPr>
        <w:t>,</w:t>
      </w:r>
      <w:r w:rsidRPr="003F1CE2">
        <w:rPr>
          <w:sz w:val="22"/>
          <w:szCs w:val="22"/>
        </w:rPr>
        <w:t xml:space="preserve"> Staff Report on 07-0002 </w:t>
      </w:r>
      <w:r>
        <w:rPr>
          <w:sz w:val="22"/>
          <w:szCs w:val="22"/>
        </w:rPr>
        <w:t xml:space="preserve">at 1 </w:t>
      </w:r>
      <w:r w:rsidRPr="003F1CE2">
        <w:rPr>
          <w:sz w:val="22"/>
          <w:szCs w:val="22"/>
        </w:rPr>
        <w:t>(Feb. 21, 2008), MCCB 11493-95</w:t>
      </w:r>
      <w:r>
        <w:rPr>
          <w:sz w:val="22"/>
          <w:szCs w:val="22"/>
        </w:rPr>
        <w:t xml:space="preserve"> (Ex. 54)</w:t>
      </w:r>
      <w:r w:rsidRPr="003F1CE2">
        <w:rPr>
          <w:sz w:val="22"/>
          <w:szCs w:val="22"/>
        </w:rPr>
        <w:t>.</w:t>
      </w:r>
    </w:p>
  </w:footnote>
  <w:footnote w:id="65">
    <w:p w:rsidR="009A3240" w:rsidRPr="008465FC" w:rsidRDefault="009A3240" w:rsidP="00B76C8F">
      <w:pPr>
        <w:pStyle w:val="FootnoteText"/>
        <w:rPr>
          <w:sz w:val="22"/>
          <w:szCs w:val="22"/>
        </w:rPr>
      </w:pPr>
      <w:r w:rsidRPr="008465FC">
        <w:rPr>
          <w:rStyle w:val="FootnoteReference"/>
          <w:sz w:val="22"/>
          <w:szCs w:val="22"/>
        </w:rPr>
        <w:footnoteRef/>
      </w:r>
      <w:r w:rsidRPr="008465FC">
        <w:rPr>
          <w:sz w:val="22"/>
          <w:szCs w:val="22"/>
        </w:rPr>
        <w:t xml:space="preserve"> City of Baltimore Council Bill 05-0221 (First Reader), MCCB 2368-80</w:t>
      </w:r>
      <w:r>
        <w:rPr>
          <w:sz w:val="22"/>
          <w:szCs w:val="22"/>
        </w:rPr>
        <w:t xml:space="preserve"> (Ex. 55)</w:t>
      </w:r>
      <w:r w:rsidRPr="008465FC">
        <w:rPr>
          <w:sz w:val="22"/>
          <w:szCs w:val="22"/>
        </w:rPr>
        <w:t xml:space="preserve">.  </w:t>
      </w:r>
    </w:p>
  </w:footnote>
  <w:footnote w:id="66">
    <w:p w:rsidR="009A3240" w:rsidRPr="008465FC" w:rsidRDefault="009A3240" w:rsidP="00B76C8F">
      <w:pPr>
        <w:pStyle w:val="FootnoteText"/>
        <w:rPr>
          <w:sz w:val="22"/>
          <w:szCs w:val="22"/>
        </w:rPr>
      </w:pPr>
      <w:r w:rsidRPr="008465FC">
        <w:rPr>
          <w:rStyle w:val="FootnoteReference"/>
          <w:sz w:val="22"/>
          <w:szCs w:val="22"/>
        </w:rPr>
        <w:footnoteRef/>
      </w:r>
      <w:r w:rsidRPr="008465FC">
        <w:rPr>
          <w:sz w:val="22"/>
          <w:szCs w:val="22"/>
        </w:rPr>
        <w:t xml:space="preserve"> </w:t>
      </w:r>
      <w:r>
        <w:rPr>
          <w:sz w:val="22"/>
          <w:szCs w:val="22"/>
        </w:rPr>
        <w:t xml:space="preserve">Otis Rolley, III, Dir., </w:t>
      </w:r>
      <w:r w:rsidRPr="008465FC">
        <w:rPr>
          <w:sz w:val="22"/>
          <w:szCs w:val="22"/>
        </w:rPr>
        <w:t>Planning Comm’n</w:t>
      </w:r>
      <w:r>
        <w:rPr>
          <w:sz w:val="22"/>
          <w:szCs w:val="22"/>
        </w:rPr>
        <w:t>,</w:t>
      </w:r>
      <w:r w:rsidRPr="008465FC">
        <w:rPr>
          <w:sz w:val="22"/>
          <w:szCs w:val="22"/>
        </w:rPr>
        <w:t xml:space="preserve"> Staff Report on City Council Bill 05-0221</w:t>
      </w:r>
      <w:r>
        <w:rPr>
          <w:sz w:val="22"/>
          <w:szCs w:val="22"/>
        </w:rPr>
        <w:t xml:space="preserve"> at 1</w:t>
      </w:r>
      <w:r w:rsidRPr="008465FC">
        <w:rPr>
          <w:sz w:val="22"/>
          <w:szCs w:val="22"/>
        </w:rPr>
        <w:t xml:space="preserve"> (Oct. 20, 2005), MCCB 2550-52</w:t>
      </w:r>
      <w:r>
        <w:rPr>
          <w:sz w:val="22"/>
          <w:szCs w:val="22"/>
        </w:rPr>
        <w:t xml:space="preserve"> (Ex. 56)</w:t>
      </w:r>
      <w:r w:rsidRPr="008465FC">
        <w:rPr>
          <w:sz w:val="22"/>
          <w:szCs w:val="22"/>
        </w:rPr>
        <w:t xml:space="preserve">.  </w:t>
      </w:r>
    </w:p>
  </w:footnote>
  <w:footnote w:id="67">
    <w:p w:rsidR="009A3240" w:rsidRPr="008465FC" w:rsidRDefault="009A3240" w:rsidP="00B76C8F">
      <w:pPr>
        <w:pStyle w:val="FootnoteText"/>
        <w:rPr>
          <w:sz w:val="22"/>
          <w:szCs w:val="22"/>
        </w:rPr>
      </w:pPr>
      <w:r w:rsidRPr="008465FC">
        <w:rPr>
          <w:rStyle w:val="FootnoteReference"/>
          <w:sz w:val="22"/>
          <w:szCs w:val="22"/>
        </w:rPr>
        <w:footnoteRef/>
      </w:r>
      <w:r w:rsidRPr="008465FC">
        <w:rPr>
          <w:sz w:val="22"/>
          <w:szCs w:val="22"/>
        </w:rPr>
        <w:t xml:space="preserve"> </w:t>
      </w:r>
      <w:r w:rsidRPr="008465FC">
        <w:rPr>
          <w:sz w:val="22"/>
          <w:szCs w:val="22"/>
          <w:u w:val="single"/>
        </w:rPr>
        <w:t>See</w:t>
      </w:r>
      <w:r w:rsidRPr="008465FC">
        <w:rPr>
          <w:sz w:val="22"/>
          <w:szCs w:val="22"/>
        </w:rPr>
        <w:t xml:space="preserve"> Mem. from Francine J. Childs, Acting Comm’r, Health Dep’t</w:t>
      </w:r>
      <w:r>
        <w:rPr>
          <w:sz w:val="22"/>
          <w:szCs w:val="22"/>
        </w:rPr>
        <w:t>,</w:t>
      </w:r>
      <w:r w:rsidRPr="008465FC">
        <w:rPr>
          <w:sz w:val="22"/>
          <w:szCs w:val="22"/>
        </w:rPr>
        <w:t xml:space="preserve"> to President and Members of City Council (Nov. 2, 2005), MCCB 2357-</w:t>
      </w:r>
      <w:r>
        <w:rPr>
          <w:sz w:val="22"/>
          <w:szCs w:val="22"/>
        </w:rPr>
        <w:t>5</w:t>
      </w:r>
      <w:r w:rsidRPr="008465FC">
        <w:rPr>
          <w:sz w:val="22"/>
          <w:szCs w:val="22"/>
        </w:rPr>
        <w:t>8</w:t>
      </w:r>
      <w:r>
        <w:rPr>
          <w:sz w:val="22"/>
          <w:szCs w:val="22"/>
        </w:rPr>
        <w:t xml:space="preserve"> (Ex. 57)</w:t>
      </w:r>
      <w:r w:rsidRPr="008465FC">
        <w:rPr>
          <w:sz w:val="22"/>
          <w:szCs w:val="22"/>
        </w:rPr>
        <w:t xml:space="preserve">; Mem. from Paul Graziano, </w:t>
      </w:r>
      <w:r>
        <w:rPr>
          <w:sz w:val="22"/>
          <w:szCs w:val="22"/>
        </w:rPr>
        <w:t xml:space="preserve">Comm’r, </w:t>
      </w:r>
      <w:r w:rsidRPr="008465FC">
        <w:rPr>
          <w:sz w:val="22"/>
          <w:szCs w:val="22"/>
        </w:rPr>
        <w:t>Hous.</w:t>
      </w:r>
      <w:r>
        <w:rPr>
          <w:sz w:val="22"/>
          <w:szCs w:val="22"/>
        </w:rPr>
        <w:t xml:space="preserve"> Dep’t</w:t>
      </w:r>
      <w:r w:rsidRPr="008465FC">
        <w:rPr>
          <w:sz w:val="22"/>
          <w:szCs w:val="22"/>
        </w:rPr>
        <w:t>, to President and Members of City Council (Aug. 5, 2005), MCCB 2360</w:t>
      </w:r>
      <w:r>
        <w:rPr>
          <w:sz w:val="22"/>
          <w:szCs w:val="22"/>
        </w:rPr>
        <w:t xml:space="preserve"> (Ex. 58)</w:t>
      </w:r>
      <w:r w:rsidRPr="008465FC">
        <w:rPr>
          <w:sz w:val="22"/>
          <w:szCs w:val="22"/>
        </w:rPr>
        <w:t>; Letter from Errol L. Dutton, Deputy Comm’r, Police Dep’t</w:t>
      </w:r>
      <w:r>
        <w:rPr>
          <w:sz w:val="22"/>
          <w:szCs w:val="22"/>
        </w:rPr>
        <w:t>,</w:t>
      </w:r>
      <w:r w:rsidRPr="008465FC">
        <w:rPr>
          <w:sz w:val="22"/>
          <w:szCs w:val="22"/>
        </w:rPr>
        <w:t xml:space="preserve"> to President and Members of City Council (Aug. 10, 2005), MCCB 2362</w:t>
      </w:r>
      <w:r>
        <w:rPr>
          <w:sz w:val="22"/>
          <w:szCs w:val="22"/>
        </w:rPr>
        <w:t>-63 (hereinafter “Dutton Letter 8/10/2005”) (Ex. 59)</w:t>
      </w:r>
      <w:r w:rsidRPr="008465FC">
        <w:rPr>
          <w:sz w:val="22"/>
          <w:szCs w:val="22"/>
        </w:rPr>
        <w:t xml:space="preserve">.  </w:t>
      </w:r>
    </w:p>
  </w:footnote>
  <w:footnote w:id="68">
    <w:p w:rsidR="009A3240" w:rsidRPr="008465FC" w:rsidRDefault="009A3240" w:rsidP="00B76C8F">
      <w:pPr>
        <w:pStyle w:val="FootnoteText"/>
        <w:rPr>
          <w:sz w:val="22"/>
          <w:szCs w:val="22"/>
        </w:rPr>
      </w:pPr>
      <w:r w:rsidRPr="008465FC">
        <w:rPr>
          <w:rStyle w:val="FootnoteReference"/>
          <w:sz w:val="22"/>
          <w:szCs w:val="22"/>
        </w:rPr>
        <w:footnoteRef/>
      </w:r>
      <w:r w:rsidRPr="008465FC">
        <w:rPr>
          <w:sz w:val="22"/>
          <w:szCs w:val="22"/>
        </w:rPr>
        <w:t xml:space="preserve"> Mem. from Otis Rolley, III, Dir., </w:t>
      </w:r>
      <w:r>
        <w:rPr>
          <w:sz w:val="22"/>
          <w:szCs w:val="22"/>
        </w:rPr>
        <w:t xml:space="preserve">Planning </w:t>
      </w:r>
      <w:r w:rsidRPr="008465FC">
        <w:rPr>
          <w:sz w:val="22"/>
          <w:szCs w:val="22"/>
        </w:rPr>
        <w:t>Dep’t</w:t>
      </w:r>
      <w:r>
        <w:rPr>
          <w:sz w:val="22"/>
          <w:szCs w:val="22"/>
        </w:rPr>
        <w:t>,</w:t>
      </w:r>
      <w:r w:rsidRPr="008465FC">
        <w:rPr>
          <w:sz w:val="22"/>
          <w:szCs w:val="22"/>
        </w:rPr>
        <w:t xml:space="preserve"> to President and Members of City Council (Dec. 7, 2005), MCCB 2548-</w:t>
      </w:r>
      <w:r>
        <w:rPr>
          <w:sz w:val="22"/>
          <w:szCs w:val="22"/>
        </w:rPr>
        <w:t>4</w:t>
      </w:r>
      <w:r w:rsidRPr="008465FC">
        <w:rPr>
          <w:sz w:val="22"/>
          <w:szCs w:val="22"/>
        </w:rPr>
        <w:t>9</w:t>
      </w:r>
      <w:r>
        <w:rPr>
          <w:sz w:val="22"/>
          <w:szCs w:val="22"/>
        </w:rPr>
        <w:t xml:space="preserve"> (Ex. 60)</w:t>
      </w:r>
      <w:r w:rsidRPr="008465FC">
        <w:rPr>
          <w:sz w:val="22"/>
          <w:szCs w:val="22"/>
        </w:rPr>
        <w:t xml:space="preserve">; </w:t>
      </w:r>
      <w:r w:rsidRPr="008465FC">
        <w:rPr>
          <w:sz w:val="22"/>
          <w:szCs w:val="22"/>
          <w:u w:val="single"/>
        </w:rPr>
        <w:t>see also</w:t>
      </w:r>
      <w:r w:rsidRPr="008465FC">
        <w:rPr>
          <w:sz w:val="22"/>
          <w:szCs w:val="22"/>
        </w:rPr>
        <w:t xml:space="preserve"> Letter from Mayor Martin O’Malley to </w:t>
      </w:r>
      <w:r>
        <w:rPr>
          <w:sz w:val="22"/>
          <w:szCs w:val="22"/>
        </w:rPr>
        <w:t>President</w:t>
      </w:r>
      <w:r w:rsidRPr="008465FC">
        <w:rPr>
          <w:sz w:val="22"/>
          <w:szCs w:val="22"/>
        </w:rPr>
        <w:t xml:space="preserve"> and Members of City Council (Dec. 8, 2005), MCCB 2356</w:t>
      </w:r>
      <w:r>
        <w:rPr>
          <w:sz w:val="22"/>
          <w:szCs w:val="22"/>
        </w:rPr>
        <w:t xml:space="preserve"> (Ex. 61)</w:t>
      </w:r>
      <w:r w:rsidRPr="008465FC">
        <w:rPr>
          <w:sz w:val="22"/>
          <w:szCs w:val="22"/>
        </w:rPr>
        <w:t xml:space="preserve">.  </w:t>
      </w:r>
    </w:p>
  </w:footnote>
  <w:footnote w:id="69">
    <w:p w:rsidR="009A3240" w:rsidRPr="008465FC" w:rsidRDefault="009A3240" w:rsidP="00B76C8F">
      <w:pPr>
        <w:pStyle w:val="FootnoteText"/>
        <w:rPr>
          <w:sz w:val="22"/>
          <w:szCs w:val="22"/>
        </w:rPr>
      </w:pPr>
      <w:r w:rsidRPr="008465FC">
        <w:rPr>
          <w:rStyle w:val="FootnoteReference"/>
          <w:sz w:val="22"/>
          <w:szCs w:val="22"/>
        </w:rPr>
        <w:footnoteRef/>
      </w:r>
      <w:r w:rsidRPr="008465FC">
        <w:rPr>
          <w:sz w:val="22"/>
          <w:szCs w:val="22"/>
        </w:rPr>
        <w:t xml:space="preserve"> City of Baltimore Council Bill 05-0220 (First Reader)</w:t>
      </w:r>
      <w:r>
        <w:rPr>
          <w:sz w:val="22"/>
          <w:szCs w:val="22"/>
        </w:rPr>
        <w:t xml:space="preserve"> (July 11, 2005)</w:t>
      </w:r>
      <w:r w:rsidRPr="008465FC">
        <w:rPr>
          <w:sz w:val="22"/>
          <w:szCs w:val="22"/>
        </w:rPr>
        <w:t>, US 2720-23</w:t>
      </w:r>
      <w:r>
        <w:rPr>
          <w:sz w:val="22"/>
          <w:szCs w:val="22"/>
        </w:rPr>
        <w:t xml:space="preserve"> (Ex. 62)</w:t>
      </w:r>
      <w:r w:rsidRPr="008465FC">
        <w:rPr>
          <w:sz w:val="22"/>
          <w:szCs w:val="22"/>
        </w:rPr>
        <w:t xml:space="preserve">.  </w:t>
      </w:r>
    </w:p>
  </w:footnote>
  <w:footnote w:id="70">
    <w:p w:rsidR="009A3240" w:rsidRPr="008465FC" w:rsidRDefault="009A3240" w:rsidP="00B76C8F">
      <w:pPr>
        <w:pStyle w:val="FootnoteText"/>
        <w:rPr>
          <w:sz w:val="22"/>
          <w:szCs w:val="22"/>
        </w:rPr>
      </w:pPr>
      <w:r w:rsidRPr="008465FC">
        <w:rPr>
          <w:rStyle w:val="FootnoteReference"/>
          <w:sz w:val="22"/>
          <w:szCs w:val="22"/>
        </w:rPr>
        <w:footnoteRef/>
      </w:r>
      <w:r w:rsidRPr="008465FC">
        <w:rPr>
          <w:sz w:val="22"/>
          <w:szCs w:val="22"/>
        </w:rPr>
        <w:t xml:space="preserve"> City of Baltimore Ord. 06-342 (Nov. 8, 2006), MCCB 5426-29</w:t>
      </w:r>
      <w:r>
        <w:rPr>
          <w:sz w:val="22"/>
          <w:szCs w:val="22"/>
        </w:rPr>
        <w:t xml:space="preserve"> (Ex. 63)</w:t>
      </w:r>
      <w:r w:rsidRPr="008465FC">
        <w:rPr>
          <w:sz w:val="22"/>
          <w:szCs w:val="22"/>
        </w:rPr>
        <w:t>.</w:t>
      </w:r>
    </w:p>
  </w:footnote>
  <w:footnote w:id="71">
    <w:p w:rsidR="009A3240" w:rsidRPr="008465FC" w:rsidRDefault="009A3240" w:rsidP="00B76C8F">
      <w:pPr>
        <w:pStyle w:val="FootnoteText"/>
        <w:rPr>
          <w:sz w:val="22"/>
          <w:szCs w:val="22"/>
        </w:rPr>
      </w:pPr>
      <w:r w:rsidRPr="008465FC">
        <w:rPr>
          <w:rStyle w:val="FootnoteReference"/>
          <w:sz w:val="22"/>
          <w:szCs w:val="22"/>
        </w:rPr>
        <w:footnoteRef/>
      </w:r>
      <w:r w:rsidRPr="008465FC">
        <w:rPr>
          <w:sz w:val="22"/>
          <w:szCs w:val="22"/>
        </w:rPr>
        <w:t xml:space="preserve"> City of Baltimore Council Bill 07-0002 (First Reader)</w:t>
      </w:r>
      <w:r>
        <w:rPr>
          <w:sz w:val="22"/>
          <w:szCs w:val="22"/>
        </w:rPr>
        <w:t xml:space="preserve"> (Dec. 7, 2007)</w:t>
      </w:r>
      <w:r w:rsidRPr="008465FC">
        <w:rPr>
          <w:sz w:val="22"/>
          <w:szCs w:val="22"/>
        </w:rPr>
        <w:t>, MCCB 6459-71</w:t>
      </w:r>
      <w:r>
        <w:rPr>
          <w:sz w:val="22"/>
          <w:szCs w:val="22"/>
        </w:rPr>
        <w:t xml:space="preserve"> (Ex. 64)</w:t>
      </w:r>
      <w:r w:rsidRPr="008465FC">
        <w:rPr>
          <w:sz w:val="22"/>
          <w:szCs w:val="22"/>
        </w:rPr>
        <w:t xml:space="preserve">.  </w:t>
      </w:r>
    </w:p>
  </w:footnote>
  <w:footnote w:id="72">
    <w:p w:rsidR="009A3240" w:rsidRPr="008465FC" w:rsidRDefault="009A3240" w:rsidP="00B76C8F">
      <w:pPr>
        <w:pStyle w:val="FootnoteText"/>
        <w:rPr>
          <w:sz w:val="22"/>
          <w:szCs w:val="22"/>
        </w:rPr>
      </w:pPr>
      <w:r w:rsidRPr="008465FC">
        <w:rPr>
          <w:rStyle w:val="FootnoteReference"/>
          <w:sz w:val="22"/>
          <w:szCs w:val="22"/>
        </w:rPr>
        <w:footnoteRef/>
      </w:r>
      <w:r w:rsidRPr="008465FC">
        <w:rPr>
          <w:sz w:val="22"/>
          <w:szCs w:val="22"/>
        </w:rPr>
        <w:t xml:space="preserve"> Mem. from George A. Nilson, City Solicitor, Law Dep’t, to Stephanie Rawlings-Blake, President of City Council (Nov. 29, 2007), MCCB 9194-</w:t>
      </w:r>
      <w:r>
        <w:rPr>
          <w:sz w:val="22"/>
          <w:szCs w:val="22"/>
        </w:rPr>
        <w:t>9</w:t>
      </w:r>
      <w:r w:rsidRPr="008465FC">
        <w:rPr>
          <w:sz w:val="22"/>
          <w:szCs w:val="22"/>
        </w:rPr>
        <w:t>5</w:t>
      </w:r>
      <w:r>
        <w:rPr>
          <w:sz w:val="22"/>
          <w:szCs w:val="22"/>
        </w:rPr>
        <w:t xml:space="preserve"> (Ex. 65)</w:t>
      </w:r>
      <w:r w:rsidRPr="008465FC">
        <w:rPr>
          <w:sz w:val="22"/>
          <w:szCs w:val="22"/>
        </w:rPr>
        <w:t xml:space="preserve">.  </w:t>
      </w:r>
    </w:p>
  </w:footnote>
  <w:footnote w:id="73">
    <w:p w:rsidR="009A3240" w:rsidRPr="008465FC" w:rsidRDefault="009A3240" w:rsidP="00B76C8F">
      <w:pPr>
        <w:pStyle w:val="FootnoteText"/>
        <w:rPr>
          <w:sz w:val="22"/>
          <w:szCs w:val="22"/>
        </w:rPr>
      </w:pPr>
      <w:r w:rsidRPr="008465FC">
        <w:rPr>
          <w:rStyle w:val="FootnoteReference"/>
          <w:sz w:val="22"/>
          <w:szCs w:val="22"/>
        </w:rPr>
        <w:footnoteRef/>
      </w:r>
      <w:r w:rsidRPr="008465FC">
        <w:rPr>
          <w:sz w:val="22"/>
          <w:szCs w:val="22"/>
        </w:rPr>
        <w:t xml:space="preserve"> </w:t>
      </w:r>
      <w:r w:rsidRPr="008465FC">
        <w:rPr>
          <w:sz w:val="22"/>
          <w:szCs w:val="22"/>
          <w:u w:val="single"/>
        </w:rPr>
        <w:t>Id.</w:t>
      </w:r>
      <w:r w:rsidRPr="008465FC">
        <w:rPr>
          <w:sz w:val="22"/>
          <w:szCs w:val="22"/>
        </w:rPr>
        <w:t xml:space="preserve">  </w:t>
      </w:r>
    </w:p>
  </w:footnote>
  <w:footnote w:id="74">
    <w:p w:rsidR="009A3240" w:rsidRPr="008465FC" w:rsidRDefault="009A3240" w:rsidP="00B76C8F">
      <w:pPr>
        <w:pStyle w:val="FootnoteText"/>
        <w:rPr>
          <w:sz w:val="22"/>
          <w:szCs w:val="22"/>
        </w:rPr>
      </w:pPr>
      <w:r w:rsidRPr="008465FC">
        <w:rPr>
          <w:rStyle w:val="FootnoteReference"/>
          <w:sz w:val="22"/>
          <w:szCs w:val="22"/>
        </w:rPr>
        <w:footnoteRef/>
      </w:r>
      <w:r w:rsidRPr="008465FC">
        <w:rPr>
          <w:sz w:val="22"/>
          <w:szCs w:val="22"/>
        </w:rPr>
        <w:t xml:space="preserve"> </w:t>
      </w:r>
      <w:r>
        <w:rPr>
          <w:sz w:val="22"/>
          <w:szCs w:val="22"/>
        </w:rPr>
        <w:t>Bhattacharyya Letter 3/19/2008 (Ex. 15), at 2</w:t>
      </w:r>
      <w:r w:rsidRPr="008465FC">
        <w:rPr>
          <w:sz w:val="22"/>
          <w:szCs w:val="22"/>
        </w:rPr>
        <w:t>.</w:t>
      </w:r>
    </w:p>
  </w:footnote>
  <w:footnote w:id="75">
    <w:p w:rsidR="009A3240" w:rsidRPr="008465FC" w:rsidRDefault="009A3240" w:rsidP="00B76C8F">
      <w:pPr>
        <w:pStyle w:val="FootnoteText"/>
        <w:rPr>
          <w:sz w:val="22"/>
          <w:szCs w:val="22"/>
        </w:rPr>
      </w:pPr>
      <w:r w:rsidRPr="008465FC">
        <w:rPr>
          <w:rStyle w:val="FootnoteReference"/>
          <w:sz w:val="22"/>
          <w:szCs w:val="22"/>
        </w:rPr>
        <w:footnoteRef/>
      </w:r>
      <w:r w:rsidRPr="008465FC">
        <w:rPr>
          <w:sz w:val="22"/>
          <w:szCs w:val="22"/>
        </w:rPr>
        <w:t xml:space="preserve"> </w:t>
      </w:r>
      <w:r w:rsidRPr="008465FC">
        <w:rPr>
          <w:sz w:val="22"/>
          <w:szCs w:val="22"/>
          <w:u w:val="single"/>
        </w:rPr>
        <w:t>See</w:t>
      </w:r>
      <w:r w:rsidRPr="008465FC">
        <w:rPr>
          <w:sz w:val="22"/>
          <w:szCs w:val="22"/>
        </w:rPr>
        <w:t xml:space="preserve"> Mem. from Douglas B. McCoach, Dir</w:t>
      </w:r>
      <w:r>
        <w:rPr>
          <w:sz w:val="22"/>
          <w:szCs w:val="22"/>
        </w:rPr>
        <w:t>.</w:t>
      </w:r>
      <w:r w:rsidRPr="008465FC">
        <w:rPr>
          <w:sz w:val="22"/>
          <w:szCs w:val="22"/>
        </w:rPr>
        <w:t xml:space="preserve">, </w:t>
      </w:r>
      <w:r>
        <w:rPr>
          <w:sz w:val="22"/>
          <w:szCs w:val="22"/>
        </w:rPr>
        <w:t xml:space="preserve">Planning </w:t>
      </w:r>
      <w:r w:rsidRPr="008465FC">
        <w:rPr>
          <w:sz w:val="22"/>
          <w:szCs w:val="22"/>
        </w:rPr>
        <w:t>Dep’t</w:t>
      </w:r>
      <w:r>
        <w:rPr>
          <w:sz w:val="22"/>
          <w:szCs w:val="22"/>
        </w:rPr>
        <w:t>,</w:t>
      </w:r>
      <w:r w:rsidRPr="008465FC">
        <w:rPr>
          <w:sz w:val="22"/>
          <w:szCs w:val="22"/>
        </w:rPr>
        <w:t xml:space="preserve"> to President and Members of City Council (Feb. 22, 2008), MCCB 8766</w:t>
      </w:r>
      <w:r>
        <w:rPr>
          <w:sz w:val="22"/>
          <w:szCs w:val="22"/>
        </w:rPr>
        <w:t xml:space="preserve"> (Ex. 66)</w:t>
      </w:r>
      <w:r w:rsidRPr="008465FC">
        <w:rPr>
          <w:sz w:val="22"/>
          <w:szCs w:val="22"/>
        </w:rPr>
        <w:t>; Letter from David C. Tanner, Exec. Dir., Bd. of Mun. and Zoning Appeals, to President and Members of City Council (May 2, 2008), MCCB 8770</w:t>
      </w:r>
      <w:r>
        <w:rPr>
          <w:sz w:val="22"/>
          <w:szCs w:val="22"/>
        </w:rPr>
        <w:t xml:space="preserve"> (Ex. 67)</w:t>
      </w:r>
      <w:r w:rsidRPr="008465FC">
        <w:rPr>
          <w:sz w:val="22"/>
          <w:szCs w:val="22"/>
        </w:rPr>
        <w:t>; Mem. from Paul T. Graziano,</w:t>
      </w:r>
      <w:r w:rsidRPr="00A66D77">
        <w:rPr>
          <w:sz w:val="22"/>
          <w:szCs w:val="22"/>
        </w:rPr>
        <w:t xml:space="preserve"> </w:t>
      </w:r>
      <w:r>
        <w:rPr>
          <w:sz w:val="22"/>
          <w:szCs w:val="22"/>
        </w:rPr>
        <w:t xml:space="preserve">Comm’r, </w:t>
      </w:r>
      <w:r w:rsidRPr="008465FC">
        <w:rPr>
          <w:sz w:val="22"/>
          <w:szCs w:val="22"/>
        </w:rPr>
        <w:t>Hous.</w:t>
      </w:r>
      <w:r>
        <w:rPr>
          <w:sz w:val="22"/>
          <w:szCs w:val="22"/>
        </w:rPr>
        <w:t xml:space="preserve"> Dep’t</w:t>
      </w:r>
      <w:r w:rsidRPr="008465FC">
        <w:rPr>
          <w:sz w:val="22"/>
          <w:szCs w:val="22"/>
        </w:rPr>
        <w:t>, to President and Members of City Council (Apr. 25, 2008), MCCB 8771</w:t>
      </w:r>
      <w:r>
        <w:rPr>
          <w:sz w:val="22"/>
          <w:szCs w:val="22"/>
        </w:rPr>
        <w:t xml:space="preserve"> (hereinafter “Graziano Letter 4/25/2008”) (Ex. 68)</w:t>
      </w:r>
      <w:r w:rsidRPr="008465FC">
        <w:rPr>
          <w:sz w:val="22"/>
          <w:szCs w:val="22"/>
        </w:rPr>
        <w:t>; Mem. from Joshua M. Sharfstein, M.D., Comm’r, Health Dep’t, to President and Members of City Council (Feb. 23, 2008), MCCB 8772-</w:t>
      </w:r>
      <w:r>
        <w:rPr>
          <w:sz w:val="22"/>
          <w:szCs w:val="22"/>
        </w:rPr>
        <w:t>7</w:t>
      </w:r>
      <w:r w:rsidRPr="008465FC">
        <w:rPr>
          <w:sz w:val="22"/>
          <w:szCs w:val="22"/>
        </w:rPr>
        <w:t>3</w:t>
      </w:r>
      <w:r>
        <w:rPr>
          <w:sz w:val="22"/>
          <w:szCs w:val="22"/>
        </w:rPr>
        <w:t xml:space="preserve"> (hereinafter “Sharfstein Mem. 2/23/2008”) (Ex. 69)</w:t>
      </w:r>
      <w:r w:rsidRPr="008465FC">
        <w:rPr>
          <w:sz w:val="22"/>
          <w:szCs w:val="22"/>
        </w:rPr>
        <w:t>; Mem. from James H. Green, Dep. Legal Counsel, Police Dep’t, to President and Members of City Council (Apr. 28, 2008), MCCB 8775</w:t>
      </w:r>
      <w:r>
        <w:rPr>
          <w:sz w:val="22"/>
          <w:szCs w:val="22"/>
        </w:rPr>
        <w:t xml:space="preserve"> (hereinafter “Green Mem. 4/28/2008”) (Ex. 70)</w:t>
      </w:r>
      <w:r w:rsidRPr="008465FC">
        <w:rPr>
          <w:sz w:val="22"/>
          <w:szCs w:val="22"/>
        </w:rPr>
        <w:t xml:space="preserve">; Mem. from Alfred H. Foxx, Dir., </w:t>
      </w:r>
      <w:r>
        <w:rPr>
          <w:sz w:val="22"/>
          <w:szCs w:val="22"/>
        </w:rPr>
        <w:t xml:space="preserve">Transp. </w:t>
      </w:r>
      <w:r w:rsidRPr="008465FC">
        <w:rPr>
          <w:sz w:val="22"/>
          <w:szCs w:val="22"/>
        </w:rPr>
        <w:t>Dep’t, to President and Members of City Council (Mar. 13, 2008), MCCB 8776</w:t>
      </w:r>
      <w:r>
        <w:rPr>
          <w:sz w:val="22"/>
          <w:szCs w:val="22"/>
        </w:rPr>
        <w:t xml:space="preserve"> (Ex. 71)</w:t>
      </w:r>
      <w:r w:rsidRPr="008465FC">
        <w:rPr>
          <w:sz w:val="22"/>
          <w:szCs w:val="22"/>
        </w:rPr>
        <w:t>; Mem. from Peter Little, Exec. Dir., Parking Auth</w:t>
      </w:r>
      <w:r>
        <w:rPr>
          <w:sz w:val="22"/>
          <w:szCs w:val="22"/>
        </w:rPr>
        <w:t>.</w:t>
      </w:r>
      <w:r w:rsidRPr="008465FC">
        <w:rPr>
          <w:sz w:val="22"/>
          <w:szCs w:val="22"/>
        </w:rPr>
        <w:t>, to President and Members of City Council (Dec. 11, 2007), MCCB 8777</w:t>
      </w:r>
      <w:r>
        <w:rPr>
          <w:sz w:val="22"/>
          <w:szCs w:val="22"/>
        </w:rPr>
        <w:t xml:space="preserve"> (Ex. 72)</w:t>
      </w:r>
      <w:r w:rsidRPr="008465FC">
        <w:rPr>
          <w:sz w:val="22"/>
          <w:szCs w:val="22"/>
        </w:rPr>
        <w:t>; Mem. from Adam Brickner, President, B</w:t>
      </w:r>
      <w:r>
        <w:rPr>
          <w:sz w:val="22"/>
          <w:szCs w:val="22"/>
        </w:rPr>
        <w:t>altimore Substance Abuse Sys.</w:t>
      </w:r>
      <w:r w:rsidRPr="008465FC">
        <w:rPr>
          <w:sz w:val="22"/>
          <w:szCs w:val="22"/>
        </w:rPr>
        <w:t>, Inc. to City Council, MCCB 8774</w:t>
      </w:r>
      <w:r>
        <w:rPr>
          <w:sz w:val="22"/>
          <w:szCs w:val="22"/>
        </w:rPr>
        <w:t xml:space="preserve"> (Ex. 73)</w:t>
      </w:r>
      <w:r w:rsidRPr="008465FC">
        <w:rPr>
          <w:sz w:val="22"/>
          <w:szCs w:val="22"/>
        </w:rPr>
        <w:t>.</w:t>
      </w:r>
    </w:p>
  </w:footnote>
  <w:footnote w:id="76">
    <w:p w:rsidR="009A3240" w:rsidRPr="008465FC" w:rsidRDefault="009A3240" w:rsidP="00B76C8F">
      <w:pPr>
        <w:pStyle w:val="FootnoteText"/>
        <w:rPr>
          <w:sz w:val="22"/>
          <w:szCs w:val="22"/>
        </w:rPr>
      </w:pPr>
      <w:r w:rsidRPr="008465FC">
        <w:rPr>
          <w:rStyle w:val="FootnoteReference"/>
          <w:sz w:val="22"/>
          <w:szCs w:val="22"/>
        </w:rPr>
        <w:footnoteRef/>
      </w:r>
      <w:r w:rsidRPr="008465FC">
        <w:rPr>
          <w:sz w:val="22"/>
          <w:szCs w:val="22"/>
        </w:rPr>
        <w:t xml:space="preserve"> Larry E. Greene, City Office of Council Services, Hearing Notes</w:t>
      </w:r>
      <w:r>
        <w:rPr>
          <w:sz w:val="22"/>
          <w:szCs w:val="22"/>
        </w:rPr>
        <w:t>,</w:t>
      </w:r>
      <w:r w:rsidRPr="008465FC">
        <w:rPr>
          <w:sz w:val="22"/>
          <w:szCs w:val="22"/>
        </w:rPr>
        <w:t xml:space="preserve"> Bill 07-0002 (May 12, 2008), MCCB 8782-</w:t>
      </w:r>
      <w:r>
        <w:rPr>
          <w:sz w:val="22"/>
          <w:szCs w:val="22"/>
        </w:rPr>
        <w:t>8</w:t>
      </w:r>
      <w:r w:rsidRPr="008465FC">
        <w:rPr>
          <w:sz w:val="22"/>
          <w:szCs w:val="22"/>
        </w:rPr>
        <w:t>4</w:t>
      </w:r>
      <w:r>
        <w:rPr>
          <w:sz w:val="22"/>
          <w:szCs w:val="22"/>
        </w:rPr>
        <w:t xml:space="preserve"> (hereinafter “Greene Notes 5/12/2008”) (Ex. 74)</w:t>
      </w:r>
      <w:r w:rsidRPr="008465FC">
        <w:rPr>
          <w:sz w:val="22"/>
          <w:szCs w:val="22"/>
        </w:rPr>
        <w:t xml:space="preserve">.  </w:t>
      </w:r>
    </w:p>
  </w:footnote>
  <w:footnote w:id="77">
    <w:p w:rsidR="009A3240" w:rsidRPr="008465FC" w:rsidRDefault="009A3240" w:rsidP="00B76C8F">
      <w:pPr>
        <w:pStyle w:val="FootnoteText"/>
        <w:rPr>
          <w:sz w:val="22"/>
          <w:szCs w:val="22"/>
        </w:rPr>
      </w:pPr>
      <w:r w:rsidRPr="008465FC">
        <w:rPr>
          <w:rStyle w:val="FootnoteReference"/>
          <w:sz w:val="22"/>
          <w:szCs w:val="22"/>
        </w:rPr>
        <w:footnoteRef/>
      </w:r>
      <w:r w:rsidRPr="008465FC">
        <w:rPr>
          <w:sz w:val="22"/>
          <w:szCs w:val="22"/>
        </w:rPr>
        <w:t xml:space="preserve"> </w:t>
      </w:r>
      <w:r w:rsidRPr="00D770AC">
        <w:rPr>
          <w:sz w:val="22"/>
          <w:szCs w:val="22"/>
        </w:rPr>
        <w:t>Council Mtg. Tr.</w:t>
      </w:r>
      <w:r>
        <w:rPr>
          <w:sz w:val="22"/>
          <w:szCs w:val="22"/>
        </w:rPr>
        <w:t xml:space="preserve"> at 1457-58 (49:8-50:10), 1467 (59:16-21) (Ex. 24)</w:t>
      </w:r>
      <w:r w:rsidRPr="008465FC">
        <w:rPr>
          <w:sz w:val="22"/>
          <w:szCs w:val="22"/>
        </w:rPr>
        <w:t xml:space="preserve">.  </w:t>
      </w:r>
    </w:p>
  </w:footnote>
  <w:footnote w:id="78">
    <w:p w:rsidR="009A3240" w:rsidRPr="008465FC" w:rsidRDefault="009A3240" w:rsidP="00B76C8F">
      <w:pPr>
        <w:pStyle w:val="FootnoteText"/>
        <w:rPr>
          <w:sz w:val="22"/>
          <w:szCs w:val="22"/>
        </w:rPr>
      </w:pPr>
      <w:r w:rsidRPr="008465FC">
        <w:rPr>
          <w:rStyle w:val="FootnoteReference"/>
          <w:sz w:val="22"/>
          <w:szCs w:val="22"/>
        </w:rPr>
        <w:footnoteRef/>
      </w:r>
      <w:r w:rsidRPr="008465FC">
        <w:rPr>
          <w:sz w:val="22"/>
          <w:szCs w:val="22"/>
        </w:rPr>
        <w:t xml:space="preserve"> Tanner Dep. 19:1-13</w:t>
      </w:r>
      <w:r>
        <w:rPr>
          <w:sz w:val="22"/>
          <w:szCs w:val="22"/>
        </w:rPr>
        <w:t xml:space="preserve"> (Ex. 1)</w:t>
      </w:r>
      <w:r w:rsidRPr="008465FC">
        <w:rPr>
          <w:sz w:val="22"/>
          <w:szCs w:val="22"/>
        </w:rPr>
        <w:t xml:space="preserve">; </w:t>
      </w:r>
      <w:r w:rsidRPr="008465FC">
        <w:rPr>
          <w:sz w:val="22"/>
          <w:szCs w:val="22"/>
          <w:u w:val="single"/>
        </w:rPr>
        <w:t>see generally</w:t>
      </w:r>
      <w:r w:rsidRPr="008465FC">
        <w:rPr>
          <w:sz w:val="22"/>
          <w:szCs w:val="22"/>
        </w:rPr>
        <w:t xml:space="preserve"> The New Baltimore City Zoning Code, http://www.rewritebaltimore.org/home.html (last visited Feb. 11, 2011).  </w:t>
      </w:r>
    </w:p>
  </w:footnote>
  <w:footnote w:id="79">
    <w:p w:rsidR="009A3240" w:rsidRDefault="009A3240" w:rsidP="00B76C8F">
      <w:pPr>
        <w:pStyle w:val="FootnoteText"/>
      </w:pPr>
      <w:r>
        <w:rPr>
          <w:rStyle w:val="FootnoteReference"/>
        </w:rPr>
        <w:footnoteRef/>
      </w:r>
      <w:r>
        <w:t xml:space="preserve"> </w:t>
      </w:r>
      <w:r w:rsidRPr="00195D52">
        <w:rPr>
          <w:sz w:val="22"/>
          <w:szCs w:val="22"/>
        </w:rPr>
        <w:t>Tanner Dep. 20:10-21:7</w:t>
      </w:r>
      <w:r>
        <w:rPr>
          <w:sz w:val="22"/>
          <w:szCs w:val="22"/>
        </w:rPr>
        <w:t xml:space="preserve"> (Ex. 1)</w:t>
      </w:r>
      <w:r w:rsidRPr="00195D52">
        <w:rPr>
          <w:sz w:val="22"/>
          <w:szCs w:val="22"/>
        </w:rPr>
        <w:t>; Baltimore Zoning Code</w:t>
      </w:r>
      <w:r>
        <w:rPr>
          <w:sz w:val="22"/>
          <w:szCs w:val="22"/>
        </w:rPr>
        <w:t xml:space="preserve"> Preliminary Annotated Outline (May 2009), MCCB 16987-17029, </w:t>
      </w:r>
      <w:r w:rsidRPr="00195D52">
        <w:rPr>
          <w:sz w:val="22"/>
          <w:szCs w:val="22"/>
        </w:rPr>
        <w:t>at 8, § 5.4</w:t>
      </w:r>
      <w:r>
        <w:rPr>
          <w:sz w:val="22"/>
          <w:szCs w:val="22"/>
        </w:rPr>
        <w:t xml:space="preserve"> (Ex. 75)</w:t>
      </w:r>
      <w:r w:rsidRPr="00195D52">
        <w:rPr>
          <w:sz w:val="22"/>
          <w:szCs w:val="22"/>
        </w:rPr>
        <w:t xml:space="preserve">.  </w:t>
      </w:r>
    </w:p>
  </w:footnote>
  <w:footnote w:id="80">
    <w:p w:rsidR="009A3240" w:rsidRPr="008465FC" w:rsidRDefault="009A3240" w:rsidP="00B76C8F">
      <w:pPr>
        <w:pStyle w:val="FootnoteText"/>
        <w:rPr>
          <w:sz w:val="22"/>
          <w:szCs w:val="22"/>
        </w:rPr>
      </w:pPr>
      <w:r w:rsidRPr="008465FC">
        <w:rPr>
          <w:rStyle w:val="FootnoteReference"/>
          <w:sz w:val="22"/>
          <w:szCs w:val="22"/>
        </w:rPr>
        <w:footnoteRef/>
      </w:r>
      <w:r w:rsidRPr="008465FC">
        <w:rPr>
          <w:sz w:val="22"/>
          <w:szCs w:val="22"/>
        </w:rPr>
        <w:t xml:space="preserve"> </w:t>
      </w:r>
      <w:r w:rsidRPr="008465FC">
        <w:rPr>
          <w:sz w:val="22"/>
          <w:szCs w:val="22"/>
          <w:u w:val="single"/>
        </w:rPr>
        <w:t>Id.</w:t>
      </w:r>
      <w:r w:rsidRPr="008465FC">
        <w:rPr>
          <w:sz w:val="22"/>
          <w:szCs w:val="22"/>
        </w:rPr>
        <w:t xml:space="preserve">; </w:t>
      </w:r>
      <w:r w:rsidRPr="00D770AC">
        <w:rPr>
          <w:sz w:val="22"/>
          <w:szCs w:val="22"/>
        </w:rPr>
        <w:t>Baltimore Zoning Code Draft 1.0</w:t>
      </w:r>
      <w:r>
        <w:rPr>
          <w:sz w:val="22"/>
          <w:szCs w:val="22"/>
        </w:rPr>
        <w:t xml:space="preserve"> (Apr. 2010), </w:t>
      </w:r>
      <w:r w:rsidRPr="008465FC">
        <w:rPr>
          <w:sz w:val="22"/>
          <w:szCs w:val="22"/>
        </w:rPr>
        <w:t>§§ 4-402 to 4-403</w:t>
      </w:r>
      <w:r w:rsidRPr="00D770AC">
        <w:rPr>
          <w:sz w:val="22"/>
          <w:szCs w:val="22"/>
        </w:rPr>
        <w:t xml:space="preserve">, http://baltimorecity-consult.limehouse.com/portal/zoning-apr-draft?tab=files </w:t>
      </w:r>
      <w:r>
        <w:rPr>
          <w:sz w:val="22"/>
          <w:szCs w:val="22"/>
        </w:rPr>
        <w:t>(follow Baltimore Zoning Code Draft.pdf hyperlink) (last visited March 10, 2011) (hereinafter “Zoning Code Draft”) (Ex. 76)</w:t>
      </w:r>
      <w:r w:rsidRPr="008465FC">
        <w:rPr>
          <w:sz w:val="22"/>
          <w:szCs w:val="22"/>
        </w:rPr>
        <w:t xml:space="preserve">.  </w:t>
      </w:r>
    </w:p>
  </w:footnote>
  <w:footnote w:id="81">
    <w:p w:rsidR="009A3240" w:rsidRPr="008465FC" w:rsidRDefault="009A3240" w:rsidP="00B76C8F">
      <w:pPr>
        <w:pStyle w:val="FootnoteText"/>
        <w:rPr>
          <w:sz w:val="22"/>
          <w:szCs w:val="22"/>
        </w:rPr>
      </w:pPr>
      <w:r w:rsidRPr="008465FC">
        <w:rPr>
          <w:rStyle w:val="FootnoteReference"/>
          <w:sz w:val="22"/>
          <w:szCs w:val="22"/>
        </w:rPr>
        <w:footnoteRef/>
      </w:r>
      <w:r w:rsidRPr="008465FC">
        <w:rPr>
          <w:sz w:val="22"/>
          <w:szCs w:val="22"/>
        </w:rPr>
        <w:t xml:space="preserve"> </w:t>
      </w:r>
      <w:r w:rsidRPr="008465FC">
        <w:rPr>
          <w:sz w:val="22"/>
          <w:szCs w:val="22"/>
          <w:u w:val="single"/>
        </w:rPr>
        <w:t>See</w:t>
      </w:r>
      <w:r w:rsidRPr="008465FC">
        <w:rPr>
          <w:sz w:val="22"/>
          <w:szCs w:val="22"/>
        </w:rPr>
        <w:t xml:space="preserve"> Zoning Code Draft, Title 1-13</w:t>
      </w:r>
      <w:r>
        <w:rPr>
          <w:sz w:val="22"/>
          <w:szCs w:val="22"/>
        </w:rPr>
        <w:t xml:space="preserve"> (Ex. 76)</w:t>
      </w:r>
      <w:r w:rsidRPr="008465FC">
        <w:rPr>
          <w:sz w:val="22"/>
          <w:szCs w:val="22"/>
        </w:rPr>
        <w:t xml:space="preserve">.  </w:t>
      </w:r>
    </w:p>
  </w:footnote>
  <w:footnote w:id="82">
    <w:p w:rsidR="009A3240" w:rsidRPr="008465FC" w:rsidRDefault="009A3240" w:rsidP="00B76C8F">
      <w:pPr>
        <w:pStyle w:val="FootnoteText"/>
        <w:rPr>
          <w:sz w:val="22"/>
          <w:szCs w:val="22"/>
        </w:rPr>
      </w:pPr>
      <w:r w:rsidRPr="008465FC">
        <w:rPr>
          <w:rStyle w:val="FootnoteReference"/>
          <w:sz w:val="22"/>
          <w:szCs w:val="22"/>
        </w:rPr>
        <w:footnoteRef/>
      </w:r>
      <w:r w:rsidRPr="008465FC">
        <w:rPr>
          <w:sz w:val="22"/>
          <w:szCs w:val="22"/>
        </w:rPr>
        <w:t xml:space="preserve"> </w:t>
      </w:r>
      <w:r>
        <w:rPr>
          <w:sz w:val="22"/>
          <w:szCs w:val="22"/>
          <w:u w:val="single"/>
        </w:rPr>
        <w:t>Id.</w:t>
      </w:r>
      <w:r w:rsidRPr="008465FC">
        <w:rPr>
          <w:sz w:val="22"/>
          <w:szCs w:val="22"/>
        </w:rPr>
        <w:t>, Tables 8-1 (single-family residential districts), 9-1 (multiple-family residential districts), 10-1 (commercial districts), 12-1 (office-residential districts), 12-3 (transit-oriented development districts).</w:t>
      </w:r>
    </w:p>
  </w:footnote>
  <w:footnote w:id="83">
    <w:p w:rsidR="009A3240" w:rsidRPr="008465FC" w:rsidRDefault="009A3240" w:rsidP="00B76C8F">
      <w:pPr>
        <w:pStyle w:val="FootnoteText"/>
        <w:rPr>
          <w:sz w:val="22"/>
          <w:szCs w:val="22"/>
        </w:rPr>
      </w:pPr>
      <w:r w:rsidRPr="008465FC">
        <w:rPr>
          <w:rStyle w:val="FootnoteReference"/>
          <w:sz w:val="22"/>
          <w:szCs w:val="22"/>
        </w:rPr>
        <w:footnoteRef/>
      </w:r>
      <w:r>
        <w:rPr>
          <w:sz w:val="22"/>
          <w:szCs w:val="22"/>
        </w:rPr>
        <w:t xml:space="preserve"> Tanner Dep. 20:22-23:9 (Ex. 1)</w:t>
      </w:r>
      <w:r w:rsidRPr="008465FC">
        <w:rPr>
          <w:sz w:val="22"/>
          <w:szCs w:val="22"/>
        </w:rPr>
        <w:t>.</w:t>
      </w:r>
    </w:p>
  </w:footnote>
  <w:footnote w:id="84">
    <w:p w:rsidR="009A3240" w:rsidRPr="008465FC" w:rsidRDefault="009A3240" w:rsidP="00B76C8F">
      <w:pPr>
        <w:pStyle w:val="FootnoteText"/>
        <w:rPr>
          <w:sz w:val="22"/>
          <w:szCs w:val="22"/>
        </w:rPr>
      </w:pPr>
      <w:r w:rsidRPr="008465FC">
        <w:rPr>
          <w:rStyle w:val="FootnoteReference"/>
          <w:sz w:val="22"/>
          <w:szCs w:val="22"/>
        </w:rPr>
        <w:footnoteRef/>
      </w:r>
      <w:r w:rsidRPr="008465FC">
        <w:rPr>
          <w:sz w:val="22"/>
          <w:szCs w:val="22"/>
        </w:rPr>
        <w:t xml:space="preserve"> </w:t>
      </w:r>
      <w:r w:rsidRPr="008465FC">
        <w:rPr>
          <w:sz w:val="22"/>
          <w:szCs w:val="22"/>
          <w:u w:val="single"/>
        </w:rPr>
        <w:t>Id</w:t>
      </w:r>
      <w:r w:rsidRPr="00240D17">
        <w:rPr>
          <w:sz w:val="22"/>
          <w:szCs w:val="22"/>
          <w:u w:val="single"/>
        </w:rPr>
        <w:t>.</w:t>
      </w:r>
      <w:r w:rsidRPr="008465FC">
        <w:rPr>
          <w:sz w:val="22"/>
          <w:szCs w:val="22"/>
        </w:rPr>
        <w:t xml:space="preserve">  </w:t>
      </w:r>
    </w:p>
  </w:footnote>
  <w:footnote w:id="85">
    <w:p w:rsidR="009A3240" w:rsidRPr="008465FC" w:rsidRDefault="009A3240" w:rsidP="00B76C8F">
      <w:pPr>
        <w:pStyle w:val="FootnoteText"/>
        <w:rPr>
          <w:sz w:val="22"/>
          <w:szCs w:val="22"/>
        </w:rPr>
      </w:pPr>
      <w:r w:rsidRPr="008465FC">
        <w:rPr>
          <w:rStyle w:val="FootnoteReference"/>
          <w:sz w:val="22"/>
          <w:szCs w:val="22"/>
        </w:rPr>
        <w:footnoteRef/>
      </w:r>
      <w:r w:rsidRPr="008465FC">
        <w:rPr>
          <w:sz w:val="22"/>
          <w:szCs w:val="22"/>
        </w:rPr>
        <w:t xml:space="preserve"> </w:t>
      </w:r>
      <w:r w:rsidRPr="008465FC">
        <w:rPr>
          <w:sz w:val="22"/>
          <w:szCs w:val="22"/>
          <w:u w:val="single"/>
        </w:rPr>
        <w:t>Id.</w:t>
      </w:r>
      <w:r>
        <w:rPr>
          <w:sz w:val="22"/>
          <w:szCs w:val="22"/>
        </w:rPr>
        <w:t xml:space="preserve"> 22:21</w:t>
      </w:r>
      <w:r w:rsidRPr="008465FC">
        <w:rPr>
          <w:sz w:val="22"/>
          <w:szCs w:val="22"/>
        </w:rPr>
        <w:t xml:space="preserve">-23:16.  </w:t>
      </w:r>
    </w:p>
  </w:footnote>
  <w:footnote w:id="86">
    <w:p w:rsidR="009A3240" w:rsidRPr="008465FC" w:rsidRDefault="009A3240" w:rsidP="00B76C8F">
      <w:pPr>
        <w:pStyle w:val="FootnoteText"/>
        <w:rPr>
          <w:sz w:val="22"/>
          <w:szCs w:val="22"/>
        </w:rPr>
      </w:pPr>
      <w:r w:rsidRPr="008465FC">
        <w:rPr>
          <w:rStyle w:val="FootnoteReference"/>
          <w:sz w:val="22"/>
          <w:szCs w:val="22"/>
        </w:rPr>
        <w:footnoteRef/>
      </w:r>
      <w:r w:rsidRPr="008465FC">
        <w:rPr>
          <w:sz w:val="22"/>
          <w:szCs w:val="22"/>
        </w:rPr>
        <w:t xml:space="preserve"> </w:t>
      </w:r>
      <w:r>
        <w:rPr>
          <w:sz w:val="22"/>
          <w:szCs w:val="22"/>
          <w:u w:val="single"/>
        </w:rPr>
        <w:t>Se</w:t>
      </w:r>
      <w:r w:rsidRPr="00240D17">
        <w:rPr>
          <w:sz w:val="22"/>
          <w:szCs w:val="22"/>
          <w:u w:val="single"/>
        </w:rPr>
        <w:t>e</w:t>
      </w:r>
      <w:r w:rsidRPr="00240D17">
        <w:rPr>
          <w:sz w:val="22"/>
          <w:szCs w:val="22"/>
        </w:rPr>
        <w:t xml:space="preserve"> </w:t>
      </w:r>
      <w:r w:rsidRPr="00240D17">
        <w:rPr>
          <w:sz w:val="22"/>
          <w:szCs w:val="22"/>
          <w:u w:val="single"/>
        </w:rPr>
        <w:t>i</w:t>
      </w:r>
      <w:r>
        <w:rPr>
          <w:sz w:val="22"/>
          <w:szCs w:val="22"/>
          <w:u w:val="single"/>
        </w:rPr>
        <w:t>d.</w:t>
      </w:r>
    </w:p>
  </w:footnote>
  <w:footnote w:id="87">
    <w:p w:rsidR="009A3240" w:rsidRPr="008465FC" w:rsidRDefault="009A3240" w:rsidP="00B76C8F">
      <w:pPr>
        <w:pStyle w:val="FootnoteText"/>
        <w:rPr>
          <w:sz w:val="22"/>
          <w:szCs w:val="22"/>
        </w:rPr>
      </w:pPr>
      <w:r w:rsidRPr="008465FC">
        <w:rPr>
          <w:rStyle w:val="FootnoteReference"/>
          <w:sz w:val="22"/>
          <w:szCs w:val="22"/>
        </w:rPr>
        <w:footnoteRef/>
      </w:r>
      <w:r w:rsidRPr="008465FC">
        <w:rPr>
          <w:sz w:val="22"/>
          <w:szCs w:val="22"/>
        </w:rPr>
        <w:t xml:space="preserve"> </w:t>
      </w:r>
      <w:r>
        <w:rPr>
          <w:sz w:val="22"/>
          <w:szCs w:val="22"/>
        </w:rPr>
        <w:t xml:space="preserve">City 30(b)(6) </w:t>
      </w:r>
      <w:r w:rsidRPr="008465FC">
        <w:rPr>
          <w:sz w:val="22"/>
          <w:szCs w:val="22"/>
        </w:rPr>
        <w:t>(</w:t>
      </w:r>
      <w:r>
        <w:rPr>
          <w:sz w:val="22"/>
          <w:szCs w:val="22"/>
        </w:rPr>
        <w:t xml:space="preserve">John </w:t>
      </w:r>
      <w:r w:rsidRPr="008465FC">
        <w:rPr>
          <w:sz w:val="22"/>
          <w:szCs w:val="22"/>
        </w:rPr>
        <w:t xml:space="preserve">Skinner) Dep. </w:t>
      </w:r>
      <w:r>
        <w:rPr>
          <w:sz w:val="22"/>
          <w:szCs w:val="22"/>
        </w:rPr>
        <w:t>20:22</w:t>
      </w:r>
      <w:r w:rsidRPr="008465FC">
        <w:rPr>
          <w:sz w:val="22"/>
          <w:szCs w:val="22"/>
        </w:rPr>
        <w:t>-22:15 (July 27, 2010)</w:t>
      </w:r>
      <w:r>
        <w:rPr>
          <w:sz w:val="22"/>
          <w:szCs w:val="22"/>
        </w:rPr>
        <w:t xml:space="preserve"> (hereinafter “Skinner Dep.”) (Ex. 77)</w:t>
      </w:r>
      <w:r w:rsidRPr="008465FC">
        <w:rPr>
          <w:sz w:val="22"/>
          <w:szCs w:val="22"/>
        </w:rPr>
        <w:t xml:space="preserve">.  </w:t>
      </w:r>
    </w:p>
  </w:footnote>
  <w:footnote w:id="88">
    <w:p w:rsidR="009A3240" w:rsidRPr="008465FC" w:rsidRDefault="009A3240" w:rsidP="00B76C8F">
      <w:pPr>
        <w:pStyle w:val="FootnoteText"/>
        <w:rPr>
          <w:sz w:val="22"/>
          <w:szCs w:val="22"/>
        </w:rPr>
      </w:pPr>
      <w:r w:rsidRPr="008465FC">
        <w:rPr>
          <w:rStyle w:val="FootnoteReference"/>
          <w:sz w:val="22"/>
          <w:szCs w:val="22"/>
        </w:rPr>
        <w:footnoteRef/>
      </w:r>
      <w:r w:rsidRPr="008465FC">
        <w:rPr>
          <w:sz w:val="22"/>
          <w:szCs w:val="22"/>
        </w:rPr>
        <w:t xml:space="preserve"> </w:t>
      </w:r>
      <w:r w:rsidRPr="008465FC">
        <w:rPr>
          <w:sz w:val="22"/>
          <w:szCs w:val="22"/>
          <w:u w:val="single"/>
        </w:rPr>
        <w:t>Id.</w:t>
      </w:r>
    </w:p>
  </w:footnote>
  <w:footnote w:id="89">
    <w:p w:rsidR="009A3240" w:rsidRPr="008465FC" w:rsidRDefault="009A3240" w:rsidP="00B76C8F">
      <w:pPr>
        <w:pStyle w:val="FootnoteText"/>
        <w:rPr>
          <w:sz w:val="22"/>
          <w:szCs w:val="22"/>
        </w:rPr>
      </w:pPr>
      <w:r w:rsidRPr="008465FC">
        <w:rPr>
          <w:rStyle w:val="FootnoteReference"/>
          <w:sz w:val="22"/>
          <w:szCs w:val="22"/>
        </w:rPr>
        <w:footnoteRef/>
      </w:r>
      <w:r w:rsidRPr="008465FC">
        <w:rPr>
          <w:sz w:val="22"/>
          <w:szCs w:val="22"/>
        </w:rPr>
        <w:t xml:space="preserve"> </w:t>
      </w:r>
      <w:r>
        <w:rPr>
          <w:sz w:val="22"/>
          <w:szCs w:val="22"/>
        </w:rPr>
        <w:t>Sharfstein Mem. 2/23/2008 (Ex. 69)</w:t>
      </w:r>
      <w:r w:rsidRPr="008465FC">
        <w:rPr>
          <w:sz w:val="22"/>
          <w:szCs w:val="22"/>
        </w:rPr>
        <w:t>.</w:t>
      </w:r>
    </w:p>
  </w:footnote>
  <w:footnote w:id="90">
    <w:p w:rsidR="009A3240" w:rsidRPr="002869A1" w:rsidRDefault="009A3240" w:rsidP="00B76C8F">
      <w:pPr>
        <w:pStyle w:val="FootnoteText"/>
        <w:rPr>
          <w:sz w:val="22"/>
          <w:szCs w:val="22"/>
        </w:rPr>
      </w:pPr>
      <w:r w:rsidRPr="002F6721">
        <w:rPr>
          <w:rStyle w:val="FootnoteReference"/>
          <w:sz w:val="22"/>
          <w:szCs w:val="22"/>
        </w:rPr>
        <w:footnoteRef/>
      </w:r>
      <w:r w:rsidRPr="002F6721">
        <w:rPr>
          <w:sz w:val="22"/>
          <w:szCs w:val="22"/>
        </w:rPr>
        <w:t xml:space="preserve"> </w:t>
      </w:r>
      <w:r>
        <w:rPr>
          <w:sz w:val="22"/>
          <w:szCs w:val="22"/>
        </w:rPr>
        <w:t>Dutton Letter 8/10/2005 (Ex. 59)</w:t>
      </w:r>
      <w:r w:rsidRPr="002869A1">
        <w:rPr>
          <w:sz w:val="22"/>
          <w:szCs w:val="22"/>
        </w:rPr>
        <w:t xml:space="preserve">; </w:t>
      </w:r>
      <w:r>
        <w:rPr>
          <w:sz w:val="22"/>
          <w:szCs w:val="22"/>
        </w:rPr>
        <w:t>Green Mem. 4/28/2008 (Ex. 70).</w:t>
      </w:r>
      <w:r w:rsidRPr="002869A1">
        <w:rPr>
          <w:sz w:val="22"/>
          <w:szCs w:val="22"/>
        </w:rPr>
        <w:t xml:space="preserve">  </w:t>
      </w:r>
    </w:p>
  </w:footnote>
  <w:footnote w:id="91">
    <w:p w:rsidR="009A3240" w:rsidRPr="002869A1" w:rsidRDefault="009A3240" w:rsidP="00B76C8F">
      <w:pPr>
        <w:pStyle w:val="FootnoteText"/>
        <w:rPr>
          <w:sz w:val="22"/>
          <w:szCs w:val="22"/>
        </w:rPr>
      </w:pPr>
      <w:r w:rsidRPr="002869A1">
        <w:rPr>
          <w:rStyle w:val="FootnoteReference"/>
          <w:sz w:val="22"/>
          <w:szCs w:val="22"/>
        </w:rPr>
        <w:footnoteRef/>
      </w:r>
      <w:r w:rsidRPr="002869A1">
        <w:rPr>
          <w:sz w:val="22"/>
          <w:szCs w:val="22"/>
        </w:rPr>
        <w:t xml:space="preserve"> </w:t>
      </w:r>
      <w:r>
        <w:rPr>
          <w:sz w:val="22"/>
          <w:szCs w:val="22"/>
        </w:rPr>
        <w:t>Dutton Letter 8/10/2005 (Ex. 59).</w:t>
      </w:r>
    </w:p>
  </w:footnote>
  <w:footnote w:id="92">
    <w:p w:rsidR="009A3240" w:rsidRPr="002869A1" w:rsidRDefault="009A3240" w:rsidP="00B76C8F">
      <w:pPr>
        <w:pStyle w:val="FootnoteText"/>
        <w:rPr>
          <w:sz w:val="22"/>
          <w:szCs w:val="22"/>
        </w:rPr>
      </w:pPr>
      <w:r w:rsidRPr="002869A1">
        <w:rPr>
          <w:rStyle w:val="FootnoteReference"/>
          <w:sz w:val="22"/>
          <w:szCs w:val="22"/>
        </w:rPr>
        <w:footnoteRef/>
      </w:r>
      <w:r w:rsidRPr="002869A1">
        <w:rPr>
          <w:sz w:val="22"/>
          <w:szCs w:val="22"/>
        </w:rPr>
        <w:t xml:space="preserve"> Skinner Dep. 22:24-23:11</w:t>
      </w:r>
      <w:r>
        <w:rPr>
          <w:sz w:val="22"/>
          <w:szCs w:val="22"/>
        </w:rPr>
        <w:t xml:space="preserve"> (Ex. 77)</w:t>
      </w:r>
      <w:r w:rsidRPr="002869A1">
        <w:rPr>
          <w:sz w:val="22"/>
          <w:szCs w:val="22"/>
        </w:rPr>
        <w:t xml:space="preserve">.  </w:t>
      </w:r>
    </w:p>
  </w:footnote>
  <w:footnote w:id="93">
    <w:p w:rsidR="009A3240" w:rsidRPr="002869A1" w:rsidRDefault="009A3240" w:rsidP="00B76C8F">
      <w:pPr>
        <w:pStyle w:val="FootnoteText"/>
        <w:rPr>
          <w:sz w:val="22"/>
          <w:szCs w:val="22"/>
        </w:rPr>
      </w:pPr>
      <w:r w:rsidRPr="002869A1">
        <w:rPr>
          <w:rStyle w:val="FootnoteReference"/>
          <w:sz w:val="22"/>
          <w:szCs w:val="22"/>
        </w:rPr>
        <w:footnoteRef/>
      </w:r>
      <w:r w:rsidRPr="002869A1">
        <w:rPr>
          <w:sz w:val="22"/>
          <w:szCs w:val="22"/>
        </w:rPr>
        <w:t xml:space="preserve"> </w:t>
      </w:r>
      <w:r>
        <w:rPr>
          <w:sz w:val="22"/>
          <w:szCs w:val="22"/>
        </w:rPr>
        <w:t>Dutton Letter 8/10/2005 (Ex. 59)</w:t>
      </w:r>
      <w:r w:rsidRPr="002869A1">
        <w:rPr>
          <w:sz w:val="22"/>
          <w:szCs w:val="22"/>
        </w:rPr>
        <w:t xml:space="preserve">; </w:t>
      </w:r>
      <w:r>
        <w:rPr>
          <w:sz w:val="22"/>
          <w:szCs w:val="22"/>
          <w:u w:val="single"/>
        </w:rPr>
        <w:t>see also</w:t>
      </w:r>
      <w:r>
        <w:rPr>
          <w:sz w:val="22"/>
          <w:szCs w:val="22"/>
        </w:rPr>
        <w:t xml:space="preserve"> </w:t>
      </w:r>
      <w:r w:rsidRPr="002869A1">
        <w:rPr>
          <w:sz w:val="22"/>
          <w:szCs w:val="22"/>
        </w:rPr>
        <w:t>Letter from Kenneth L. Blackwell, Dep. Comm’r,</w:t>
      </w:r>
      <w:r>
        <w:rPr>
          <w:sz w:val="22"/>
          <w:szCs w:val="22"/>
        </w:rPr>
        <w:t xml:space="preserve"> Police Dep’t,</w:t>
      </w:r>
      <w:r w:rsidRPr="002869A1">
        <w:rPr>
          <w:sz w:val="22"/>
          <w:szCs w:val="22"/>
        </w:rPr>
        <w:t xml:space="preserve"> to President and Members of City Council (Dec. 22, 2003), MCCB 2149</w:t>
      </w:r>
      <w:r>
        <w:rPr>
          <w:sz w:val="22"/>
          <w:szCs w:val="22"/>
        </w:rPr>
        <w:t xml:space="preserve"> (Ex. 78); </w:t>
      </w:r>
      <w:r w:rsidRPr="002869A1">
        <w:rPr>
          <w:sz w:val="22"/>
          <w:szCs w:val="22"/>
        </w:rPr>
        <w:t>Letter from Kenneth L. Blackwell, Dep. Comm’r,</w:t>
      </w:r>
      <w:r>
        <w:rPr>
          <w:sz w:val="22"/>
          <w:szCs w:val="22"/>
        </w:rPr>
        <w:t xml:space="preserve"> Police Dep’t, to President</w:t>
      </w:r>
      <w:r w:rsidRPr="002869A1">
        <w:rPr>
          <w:sz w:val="22"/>
          <w:szCs w:val="22"/>
        </w:rPr>
        <w:t xml:space="preserve"> and Members of City Council (Aug. 27, 2003), MCCB 2087</w:t>
      </w:r>
      <w:r>
        <w:rPr>
          <w:sz w:val="22"/>
          <w:szCs w:val="22"/>
        </w:rPr>
        <w:t xml:space="preserve"> (Ex. 79)</w:t>
      </w:r>
      <w:r w:rsidRPr="002869A1">
        <w:rPr>
          <w:sz w:val="22"/>
          <w:szCs w:val="22"/>
        </w:rPr>
        <w:t xml:space="preserve">; Letter from Kenneth Blackwell, Acting Dep. Comm’r, </w:t>
      </w:r>
      <w:r>
        <w:rPr>
          <w:sz w:val="22"/>
          <w:szCs w:val="22"/>
        </w:rPr>
        <w:t xml:space="preserve">Police Dep’t, </w:t>
      </w:r>
      <w:r w:rsidRPr="002869A1">
        <w:rPr>
          <w:sz w:val="22"/>
          <w:szCs w:val="22"/>
        </w:rPr>
        <w:t xml:space="preserve">to President and </w:t>
      </w:r>
      <w:r>
        <w:rPr>
          <w:sz w:val="22"/>
          <w:szCs w:val="22"/>
        </w:rPr>
        <w:t xml:space="preserve">Members of </w:t>
      </w:r>
      <w:r w:rsidRPr="002869A1">
        <w:rPr>
          <w:sz w:val="22"/>
          <w:szCs w:val="22"/>
        </w:rPr>
        <w:t>City Council (Mar. 13, 2002), MCCB 1979</w:t>
      </w:r>
      <w:r>
        <w:rPr>
          <w:sz w:val="22"/>
          <w:szCs w:val="22"/>
        </w:rPr>
        <w:t xml:space="preserve"> (Ex. 80)</w:t>
      </w:r>
      <w:r w:rsidRPr="002869A1">
        <w:rPr>
          <w:sz w:val="22"/>
          <w:szCs w:val="22"/>
        </w:rPr>
        <w:t>.</w:t>
      </w:r>
    </w:p>
  </w:footnote>
  <w:footnote w:id="94">
    <w:p w:rsidR="009A3240" w:rsidRPr="002869A1" w:rsidRDefault="009A3240" w:rsidP="00B76C8F">
      <w:pPr>
        <w:pStyle w:val="FootnoteText"/>
        <w:rPr>
          <w:sz w:val="22"/>
          <w:szCs w:val="22"/>
        </w:rPr>
      </w:pPr>
      <w:r w:rsidRPr="002869A1">
        <w:rPr>
          <w:rStyle w:val="FootnoteReference"/>
          <w:sz w:val="22"/>
          <w:szCs w:val="22"/>
        </w:rPr>
        <w:footnoteRef/>
      </w:r>
      <w:r w:rsidRPr="002869A1">
        <w:rPr>
          <w:sz w:val="22"/>
          <w:szCs w:val="22"/>
        </w:rPr>
        <w:t xml:space="preserve"> </w:t>
      </w:r>
      <w:r w:rsidR="00377A22">
        <w:rPr>
          <w:sz w:val="22"/>
          <w:szCs w:val="22"/>
        </w:rPr>
        <w:fldChar w:fldCharType="begin"/>
      </w:r>
      <w:r>
        <w:instrText xml:space="preserve"> TA \l "</w:instrText>
      </w:r>
      <w:r w:rsidRPr="00487D52">
        <w:instrText>Fed. R. Civ. P. 56(a)</w:instrText>
      </w:r>
      <w:r>
        <w:instrText xml:space="preserve">" \s "WSFTA_d58101463a3f4ae381dbf29c5f5ed18e" \c 9 </w:instrText>
      </w:r>
      <w:r w:rsidR="00377A22">
        <w:rPr>
          <w:sz w:val="22"/>
          <w:szCs w:val="22"/>
        </w:rPr>
        <w:fldChar w:fldCharType="end"/>
      </w:r>
      <w:r w:rsidRPr="002869A1">
        <w:rPr>
          <w:sz w:val="22"/>
          <w:szCs w:val="22"/>
        </w:rPr>
        <w:t xml:space="preserve">Fed. R. Civ. P. 56(a); </w:t>
      </w:r>
      <w:r w:rsidR="00377A22">
        <w:rPr>
          <w:sz w:val="22"/>
          <w:szCs w:val="22"/>
        </w:rPr>
        <w:fldChar w:fldCharType="begin"/>
      </w:r>
      <w:r>
        <w:instrText xml:space="preserve"> TA \l "</w:instrText>
      </w:r>
      <w:r w:rsidRPr="00487D52">
        <w:rPr>
          <w:u w:val="single"/>
        </w:rPr>
        <w:instrText>Celotex Corp. v. Catrett</w:instrText>
      </w:r>
      <w:r w:rsidRPr="00487D52">
        <w:instrText>,</w:instrText>
      </w:r>
      <w:r w:rsidRPr="00487D52">
        <w:br/>
        <w:instrText>477 U.S. 317 (1986)</w:instrText>
      </w:r>
      <w:r>
        <w:instrText xml:space="preserve">" \s "WSFTA_55dc85aef7074e1e9285f2923c473b65" \c 3 </w:instrText>
      </w:r>
      <w:r w:rsidR="00377A22">
        <w:rPr>
          <w:sz w:val="22"/>
          <w:szCs w:val="22"/>
        </w:rPr>
        <w:fldChar w:fldCharType="end"/>
      </w:r>
      <w:r w:rsidRPr="002869A1">
        <w:rPr>
          <w:sz w:val="22"/>
          <w:szCs w:val="22"/>
          <w:u w:val="single"/>
        </w:rPr>
        <w:t>Celotex Corp. v. Catrett</w:t>
      </w:r>
      <w:r w:rsidRPr="002869A1">
        <w:rPr>
          <w:sz w:val="22"/>
          <w:szCs w:val="22"/>
        </w:rPr>
        <w:t xml:space="preserve">, 477 U.S. 317, 322 (1986).  </w:t>
      </w:r>
    </w:p>
  </w:footnote>
  <w:footnote w:id="95">
    <w:p w:rsidR="009A3240" w:rsidRPr="002869A1" w:rsidRDefault="009A3240" w:rsidP="00B76C8F">
      <w:pPr>
        <w:pStyle w:val="FootnoteText"/>
        <w:rPr>
          <w:sz w:val="22"/>
          <w:szCs w:val="22"/>
        </w:rPr>
      </w:pPr>
      <w:r w:rsidRPr="002869A1">
        <w:rPr>
          <w:rStyle w:val="FootnoteReference"/>
          <w:sz w:val="22"/>
          <w:szCs w:val="22"/>
        </w:rPr>
        <w:footnoteRef/>
      </w:r>
      <w:r w:rsidRPr="002869A1">
        <w:rPr>
          <w:sz w:val="22"/>
          <w:szCs w:val="22"/>
        </w:rPr>
        <w:t xml:space="preserve"> </w:t>
      </w:r>
      <w:r w:rsidR="00377A22">
        <w:rPr>
          <w:sz w:val="22"/>
          <w:szCs w:val="22"/>
        </w:rPr>
        <w:fldChar w:fldCharType="begin"/>
      </w:r>
      <w:r>
        <w:instrText xml:space="preserve"> TA \l "</w:instrText>
      </w:r>
      <w:r w:rsidRPr="00487D52">
        <w:rPr>
          <w:u w:val="single"/>
        </w:rPr>
        <w:instrText>Perini Corp. v. Perini Constr., Inc.</w:instrText>
      </w:r>
      <w:r w:rsidRPr="00487D52">
        <w:instrText>,</w:instrText>
      </w:r>
      <w:r w:rsidRPr="00487D52">
        <w:br/>
        <w:instrText>915 F.2d 121 (4th Cir. 1990)</w:instrText>
      </w:r>
      <w:r>
        <w:instrText xml:space="preserve">" \s "WSFTA_15f240d1ff7d40b99581ff80af746d6a" \c 3 </w:instrText>
      </w:r>
      <w:r w:rsidR="00377A22">
        <w:rPr>
          <w:sz w:val="22"/>
          <w:szCs w:val="22"/>
        </w:rPr>
        <w:fldChar w:fldCharType="end"/>
      </w:r>
      <w:r w:rsidRPr="002869A1">
        <w:rPr>
          <w:sz w:val="22"/>
          <w:szCs w:val="22"/>
          <w:u w:val="single"/>
        </w:rPr>
        <w:t>Perini Corp. v. Perini Constr., Inc.</w:t>
      </w:r>
      <w:r w:rsidRPr="002869A1">
        <w:rPr>
          <w:sz w:val="22"/>
          <w:szCs w:val="22"/>
        </w:rPr>
        <w:t xml:space="preserve">, 915 F.2d 121, 124 (4th Cir. 1990).  </w:t>
      </w:r>
    </w:p>
  </w:footnote>
  <w:footnote w:id="96">
    <w:p w:rsidR="009A3240" w:rsidRPr="002869A1" w:rsidRDefault="009A3240" w:rsidP="00F32DDD">
      <w:pPr>
        <w:pStyle w:val="FootnoteText"/>
        <w:rPr>
          <w:sz w:val="22"/>
          <w:szCs w:val="22"/>
        </w:rPr>
      </w:pPr>
      <w:r w:rsidRPr="002869A1">
        <w:rPr>
          <w:rStyle w:val="FootnoteReference"/>
          <w:sz w:val="22"/>
          <w:szCs w:val="22"/>
        </w:rPr>
        <w:footnoteRef/>
      </w:r>
      <w:r w:rsidRPr="002869A1">
        <w:rPr>
          <w:sz w:val="22"/>
          <w:szCs w:val="22"/>
        </w:rPr>
        <w:t xml:space="preserve"> </w:t>
      </w:r>
      <w:r w:rsidR="00377A22">
        <w:rPr>
          <w:sz w:val="22"/>
          <w:szCs w:val="22"/>
        </w:rPr>
        <w:fldChar w:fldCharType="begin"/>
      </w:r>
      <w:r>
        <w:instrText xml:space="preserve"> TA \l "" \s "WSFTA_30c04813417c4604be3b75c6b0a34bc0" \c 3 </w:instrText>
      </w:r>
      <w:r w:rsidR="00377A22">
        <w:rPr>
          <w:sz w:val="22"/>
          <w:szCs w:val="22"/>
        </w:rPr>
        <w:fldChar w:fldCharType="end"/>
      </w:r>
      <w:r w:rsidRPr="002869A1">
        <w:rPr>
          <w:sz w:val="22"/>
          <w:szCs w:val="22"/>
          <w:u w:val="single"/>
        </w:rPr>
        <w:t>Anderson v. Liberty Lobby, Inc.</w:t>
      </w:r>
      <w:r w:rsidRPr="002869A1">
        <w:rPr>
          <w:sz w:val="22"/>
          <w:szCs w:val="22"/>
        </w:rPr>
        <w:t xml:space="preserve">, 477 U.S. 242, </w:t>
      </w:r>
      <w:r>
        <w:rPr>
          <w:sz w:val="22"/>
          <w:szCs w:val="22"/>
        </w:rPr>
        <w:t>248</w:t>
      </w:r>
      <w:r w:rsidRPr="002869A1">
        <w:rPr>
          <w:sz w:val="22"/>
          <w:szCs w:val="22"/>
        </w:rPr>
        <w:t xml:space="preserve"> (1986).  </w:t>
      </w:r>
    </w:p>
  </w:footnote>
  <w:footnote w:id="97">
    <w:p w:rsidR="009A3240" w:rsidRPr="002869A1" w:rsidRDefault="009A3240" w:rsidP="00B76C8F">
      <w:pPr>
        <w:pStyle w:val="FootnoteText"/>
        <w:rPr>
          <w:sz w:val="22"/>
          <w:szCs w:val="22"/>
        </w:rPr>
      </w:pPr>
      <w:r w:rsidRPr="002869A1">
        <w:rPr>
          <w:rStyle w:val="FootnoteReference"/>
          <w:sz w:val="22"/>
          <w:szCs w:val="22"/>
        </w:rPr>
        <w:footnoteRef/>
      </w:r>
      <w:r w:rsidRPr="002869A1">
        <w:rPr>
          <w:sz w:val="22"/>
          <w:szCs w:val="22"/>
        </w:rPr>
        <w:t xml:space="preserve"> </w:t>
      </w:r>
      <w:r w:rsidR="00377A22">
        <w:rPr>
          <w:sz w:val="22"/>
          <w:szCs w:val="22"/>
        </w:rPr>
        <w:fldChar w:fldCharType="begin"/>
      </w:r>
      <w:r>
        <w:instrText xml:space="preserve"> TA \l "</w:instrText>
      </w:r>
      <w:r w:rsidRPr="00487D52">
        <w:rPr>
          <w:u w:val="single"/>
        </w:rPr>
        <w:instrText>Barwick v. Celotex Corp.</w:instrText>
      </w:r>
      <w:r w:rsidRPr="00487D52">
        <w:instrText>,</w:instrText>
      </w:r>
      <w:r w:rsidRPr="00487D52">
        <w:br/>
        <w:instrText>736 F.2d 946 (4th Cir. 1984)</w:instrText>
      </w:r>
      <w:r>
        <w:instrText xml:space="preserve">" \s "WSFTA_6c50db68349e4152902d8e7f48905268" \c 3 </w:instrText>
      </w:r>
      <w:r w:rsidR="00377A22">
        <w:rPr>
          <w:sz w:val="22"/>
          <w:szCs w:val="22"/>
        </w:rPr>
        <w:fldChar w:fldCharType="end"/>
      </w:r>
      <w:r w:rsidRPr="002869A1">
        <w:rPr>
          <w:sz w:val="22"/>
          <w:szCs w:val="22"/>
          <w:u w:val="single"/>
        </w:rPr>
        <w:t>Barwick v. Celotex Corp.</w:t>
      </w:r>
      <w:r w:rsidRPr="002869A1">
        <w:rPr>
          <w:sz w:val="22"/>
          <w:szCs w:val="22"/>
        </w:rPr>
        <w:t xml:space="preserve">, 736 F.2d 946, 958-59 (4th Cir. 1984) (quoting </w:t>
      </w:r>
      <w:r w:rsidR="00377A22">
        <w:rPr>
          <w:sz w:val="22"/>
          <w:szCs w:val="22"/>
        </w:rPr>
        <w:fldChar w:fldCharType="begin"/>
      </w:r>
      <w:r>
        <w:instrText xml:space="preserve"> TA \l "</w:instrText>
      </w:r>
      <w:r w:rsidRPr="00487D52">
        <w:rPr>
          <w:u w:val="single"/>
        </w:rPr>
        <w:instrText>Seago v. North Carolina Theatres, Inc.</w:instrText>
      </w:r>
      <w:r w:rsidRPr="00487D52">
        <w:instrText>,</w:instrText>
      </w:r>
      <w:r w:rsidRPr="00487D52">
        <w:br/>
        <w:instrText xml:space="preserve">42 F.R.D. 627(E.D.N.C. 1966), </w:instrText>
      </w:r>
      <w:r>
        <w:instrText xml:space="preserve">" \s "WSFTA_bea4597c15b34ef89d289c4c02187d1d" \c 3 </w:instrText>
      </w:r>
      <w:r w:rsidR="00377A22">
        <w:rPr>
          <w:sz w:val="22"/>
          <w:szCs w:val="22"/>
        </w:rPr>
        <w:fldChar w:fldCharType="end"/>
      </w:r>
      <w:r w:rsidRPr="002869A1">
        <w:rPr>
          <w:sz w:val="22"/>
          <w:szCs w:val="22"/>
          <w:u w:val="single"/>
        </w:rPr>
        <w:t>Seago v. North Carolina Theatres, Inc.</w:t>
      </w:r>
      <w:r w:rsidRPr="002869A1">
        <w:rPr>
          <w:sz w:val="22"/>
          <w:szCs w:val="22"/>
        </w:rPr>
        <w:t xml:space="preserve">, 42 F.R.D. 627, 632 (E.D.N.C. 1966), </w:t>
      </w:r>
      <w:r w:rsidRPr="002869A1">
        <w:rPr>
          <w:iCs/>
          <w:sz w:val="22"/>
          <w:szCs w:val="22"/>
          <w:u w:val="single"/>
        </w:rPr>
        <w:t>aff’d</w:t>
      </w:r>
      <w:r w:rsidRPr="002869A1">
        <w:rPr>
          <w:iCs/>
          <w:sz w:val="22"/>
          <w:szCs w:val="22"/>
        </w:rPr>
        <w:t>,</w:t>
      </w:r>
      <w:r w:rsidRPr="002869A1">
        <w:rPr>
          <w:sz w:val="22"/>
          <w:szCs w:val="22"/>
        </w:rPr>
        <w:t xml:space="preserve"> 388 F.2d 987 (4th Cir. 1967)).</w:t>
      </w:r>
    </w:p>
  </w:footnote>
  <w:footnote w:id="98">
    <w:p w:rsidR="009A3240" w:rsidRPr="002869A1" w:rsidRDefault="009A3240" w:rsidP="00B76C8F">
      <w:pPr>
        <w:pStyle w:val="FootnoteText"/>
        <w:rPr>
          <w:sz w:val="22"/>
          <w:szCs w:val="22"/>
        </w:rPr>
      </w:pPr>
      <w:r w:rsidRPr="002869A1">
        <w:rPr>
          <w:rStyle w:val="FootnoteReference"/>
          <w:sz w:val="22"/>
          <w:szCs w:val="22"/>
        </w:rPr>
        <w:footnoteRef/>
      </w:r>
      <w:r w:rsidRPr="002869A1">
        <w:rPr>
          <w:sz w:val="22"/>
          <w:szCs w:val="22"/>
        </w:rPr>
        <w:t xml:space="preserve"> </w:t>
      </w:r>
      <w:r w:rsidR="00377A22">
        <w:rPr>
          <w:sz w:val="22"/>
          <w:szCs w:val="22"/>
        </w:rPr>
        <w:fldChar w:fldCharType="begin"/>
      </w:r>
      <w:r>
        <w:instrText xml:space="preserve"> TA \l "</w:instrText>
      </w:r>
      <w:r w:rsidRPr="00487D52">
        <w:rPr>
          <w:u w:val="single"/>
        </w:rPr>
        <w:instrText>Anderson v. Liberty Lobby, Inc.</w:instrText>
      </w:r>
      <w:r w:rsidRPr="00487D52">
        <w:instrText>,</w:instrText>
      </w:r>
      <w:r w:rsidRPr="00487D52">
        <w:br/>
        <w:instrText>477 U.S. 242 (1986)</w:instrText>
      </w:r>
      <w:r>
        <w:instrText xml:space="preserve">" \s "WSFTA_30c04813417c4604be3b75c6b0a34bc0" \c 3 </w:instrText>
      </w:r>
      <w:r w:rsidR="00377A22">
        <w:rPr>
          <w:sz w:val="22"/>
          <w:szCs w:val="22"/>
        </w:rPr>
        <w:fldChar w:fldCharType="end"/>
      </w:r>
      <w:r w:rsidRPr="002869A1">
        <w:rPr>
          <w:sz w:val="22"/>
          <w:szCs w:val="22"/>
          <w:u w:val="single"/>
        </w:rPr>
        <w:t>Anderson</w:t>
      </w:r>
      <w:r w:rsidRPr="002869A1">
        <w:rPr>
          <w:sz w:val="22"/>
          <w:szCs w:val="22"/>
        </w:rPr>
        <w:t xml:space="preserve">, 477 U.S. </w:t>
      </w:r>
      <w:r>
        <w:rPr>
          <w:sz w:val="22"/>
          <w:szCs w:val="22"/>
        </w:rPr>
        <w:t>at 249-50</w:t>
      </w:r>
      <w:r w:rsidRPr="002869A1">
        <w:rPr>
          <w:sz w:val="22"/>
          <w:szCs w:val="22"/>
        </w:rPr>
        <w:t xml:space="preserve"> (citations omitted).  </w:t>
      </w:r>
    </w:p>
  </w:footnote>
  <w:footnote w:id="99">
    <w:p w:rsidR="009A3240" w:rsidRPr="002869A1" w:rsidRDefault="009A3240" w:rsidP="00B76C8F">
      <w:pPr>
        <w:pStyle w:val="FootnoteText"/>
        <w:rPr>
          <w:sz w:val="22"/>
          <w:szCs w:val="22"/>
        </w:rPr>
      </w:pPr>
      <w:r w:rsidRPr="002869A1">
        <w:rPr>
          <w:rStyle w:val="FootnoteReference"/>
          <w:sz w:val="22"/>
          <w:szCs w:val="22"/>
        </w:rPr>
        <w:footnoteRef/>
      </w:r>
      <w:r w:rsidRPr="002869A1">
        <w:rPr>
          <w:sz w:val="22"/>
          <w:szCs w:val="22"/>
        </w:rPr>
        <w:t xml:space="preserve"> </w:t>
      </w:r>
      <w:r w:rsidR="00377A22">
        <w:rPr>
          <w:sz w:val="22"/>
          <w:szCs w:val="22"/>
        </w:rPr>
        <w:fldChar w:fldCharType="begin"/>
      </w:r>
      <w:r>
        <w:instrText xml:space="preserve"> TA \l "</w:instrText>
      </w:r>
      <w:r w:rsidRPr="00487D52">
        <w:rPr>
          <w:u w:val="single"/>
        </w:rPr>
        <w:instrText>Teamsters Joint Council No. 83 v. Centra, Inc.</w:instrText>
      </w:r>
      <w:r w:rsidRPr="00487D52">
        <w:instrText>,</w:instrText>
      </w:r>
      <w:r w:rsidRPr="00487D52">
        <w:br/>
        <w:instrText>947 F.2d 115 (4th Cir. 1991)</w:instrText>
      </w:r>
      <w:r>
        <w:instrText xml:space="preserve">" \s "WSFTA_d0a2f4feec2b42ae945d99ef891c7e32" \c 3 </w:instrText>
      </w:r>
      <w:r w:rsidR="00377A22">
        <w:rPr>
          <w:sz w:val="22"/>
          <w:szCs w:val="22"/>
        </w:rPr>
        <w:fldChar w:fldCharType="end"/>
      </w:r>
      <w:r w:rsidRPr="002869A1">
        <w:rPr>
          <w:sz w:val="22"/>
          <w:szCs w:val="22"/>
          <w:u w:val="single"/>
        </w:rPr>
        <w:t>Teamsters Joint Council No. 83 v. Centra, Inc.</w:t>
      </w:r>
      <w:r w:rsidRPr="002869A1">
        <w:rPr>
          <w:sz w:val="22"/>
          <w:szCs w:val="22"/>
        </w:rPr>
        <w:t xml:space="preserve">, 947 F.2d 115, 119 (4th Cir. 1991).  </w:t>
      </w:r>
    </w:p>
  </w:footnote>
  <w:footnote w:id="100">
    <w:p w:rsidR="009A3240" w:rsidRPr="002869A1" w:rsidRDefault="009A3240" w:rsidP="00B76C8F">
      <w:pPr>
        <w:pStyle w:val="FootnoteText"/>
        <w:rPr>
          <w:sz w:val="22"/>
          <w:szCs w:val="22"/>
        </w:rPr>
      </w:pPr>
      <w:r w:rsidRPr="002869A1">
        <w:rPr>
          <w:rStyle w:val="FootnoteReference"/>
          <w:sz w:val="22"/>
          <w:szCs w:val="22"/>
        </w:rPr>
        <w:footnoteRef/>
      </w:r>
      <w:r w:rsidRPr="002869A1">
        <w:rPr>
          <w:sz w:val="22"/>
          <w:szCs w:val="22"/>
        </w:rPr>
        <w:t xml:space="preserve"> </w:t>
      </w:r>
      <w:r w:rsidR="00377A22">
        <w:rPr>
          <w:sz w:val="22"/>
          <w:szCs w:val="22"/>
        </w:rPr>
        <w:fldChar w:fldCharType="begin"/>
      </w:r>
      <w:r>
        <w:instrText xml:space="preserve"> TA \l "" \s "WSFTA_55dc85aef7074e1e9285f2923c473b65" \c 3 </w:instrText>
      </w:r>
      <w:r w:rsidR="00377A22">
        <w:rPr>
          <w:sz w:val="22"/>
          <w:szCs w:val="22"/>
        </w:rPr>
        <w:fldChar w:fldCharType="end"/>
      </w:r>
      <w:r>
        <w:rPr>
          <w:sz w:val="22"/>
          <w:szCs w:val="22"/>
          <w:u w:val="single"/>
        </w:rPr>
        <w:t>Celotex Corp.</w:t>
      </w:r>
      <w:r w:rsidRPr="002869A1">
        <w:rPr>
          <w:sz w:val="22"/>
          <w:szCs w:val="22"/>
        </w:rPr>
        <w:t xml:space="preserve">, 477 U.S. </w:t>
      </w:r>
      <w:r>
        <w:rPr>
          <w:sz w:val="22"/>
          <w:szCs w:val="22"/>
        </w:rPr>
        <w:t>at</w:t>
      </w:r>
      <w:r w:rsidRPr="002869A1">
        <w:rPr>
          <w:sz w:val="22"/>
          <w:szCs w:val="22"/>
        </w:rPr>
        <w:t xml:space="preserve"> 327.</w:t>
      </w:r>
    </w:p>
  </w:footnote>
  <w:footnote w:id="101">
    <w:p w:rsidR="009A3240" w:rsidRPr="002869A1" w:rsidRDefault="009A3240" w:rsidP="00B76C8F">
      <w:pPr>
        <w:pStyle w:val="FootnoteText"/>
        <w:rPr>
          <w:sz w:val="22"/>
          <w:szCs w:val="22"/>
        </w:rPr>
      </w:pPr>
      <w:r w:rsidRPr="002869A1">
        <w:rPr>
          <w:rStyle w:val="FootnoteReference"/>
          <w:sz w:val="22"/>
          <w:szCs w:val="22"/>
        </w:rPr>
        <w:footnoteRef/>
      </w:r>
      <w:r w:rsidRPr="002869A1">
        <w:rPr>
          <w:sz w:val="22"/>
          <w:szCs w:val="22"/>
        </w:rPr>
        <w:t xml:space="preserve"> </w:t>
      </w:r>
      <w:r w:rsidR="00377A22">
        <w:rPr>
          <w:sz w:val="22"/>
          <w:szCs w:val="22"/>
        </w:rPr>
        <w:fldChar w:fldCharType="begin"/>
      </w:r>
      <w:r>
        <w:instrText xml:space="preserve"> TA \l "" \s "WSFTA_048938ad3f1f499985f0ce8d6c0d09c7" \c 6 </w:instrText>
      </w:r>
      <w:r w:rsidR="00377A22">
        <w:rPr>
          <w:sz w:val="22"/>
          <w:szCs w:val="22"/>
        </w:rPr>
        <w:fldChar w:fldCharType="end"/>
      </w:r>
      <w:r w:rsidRPr="002869A1">
        <w:rPr>
          <w:sz w:val="22"/>
          <w:szCs w:val="22"/>
        </w:rPr>
        <w:t xml:space="preserve">42 U.S.C. § 12132; </w:t>
      </w:r>
      <w:r w:rsidR="00377A22">
        <w:rPr>
          <w:sz w:val="22"/>
          <w:szCs w:val="22"/>
        </w:rPr>
        <w:fldChar w:fldCharType="begin"/>
      </w:r>
      <w:r>
        <w:instrText xml:space="preserve"> TA \l "</w:instrText>
      </w:r>
      <w:r w:rsidRPr="00487D52">
        <w:instrText>28 C.F.R. § 35.130</w:instrText>
      </w:r>
      <w:r>
        <w:instrText xml:space="preserve">" \s "WSFTA_8cc2b7c12b544a4a80c0e1d9078b2356" \c 12 </w:instrText>
      </w:r>
      <w:r w:rsidR="00377A22">
        <w:rPr>
          <w:sz w:val="22"/>
          <w:szCs w:val="22"/>
        </w:rPr>
        <w:fldChar w:fldCharType="end"/>
      </w:r>
      <w:r w:rsidRPr="002869A1">
        <w:rPr>
          <w:sz w:val="22"/>
          <w:szCs w:val="22"/>
        </w:rPr>
        <w:t xml:space="preserve">28 C.F.R. § 35.130; </w:t>
      </w:r>
      <w:r w:rsidRPr="002869A1">
        <w:rPr>
          <w:sz w:val="22"/>
          <w:szCs w:val="22"/>
          <w:u w:val="single"/>
        </w:rPr>
        <w:t xml:space="preserve">Reg’l Econ. Cmty. </w:t>
      </w:r>
      <w:r w:rsidR="00377A22">
        <w:rPr>
          <w:sz w:val="22"/>
          <w:szCs w:val="22"/>
          <w:u w:val="single"/>
        </w:rPr>
        <w:fldChar w:fldCharType="begin"/>
      </w:r>
      <w:r>
        <w:instrText xml:space="preserve"> TA \l "</w:instrText>
      </w:r>
      <w:r w:rsidRPr="00487D52">
        <w:rPr>
          <w:u w:val="single"/>
        </w:rPr>
        <w:instrText>Action Program, Inc. v. City of Middletown</w:instrText>
      </w:r>
      <w:r w:rsidRPr="00487D52">
        <w:instrText>,</w:instrText>
      </w:r>
      <w:r w:rsidRPr="00487D52">
        <w:br/>
        <w:instrText>294 F.3d 35 (2d Cir. 2002)</w:instrText>
      </w:r>
      <w:r>
        <w:instrText xml:space="preserve">" \s "WSFTA_d7686192b63b4361bb95207999d1c520" \c 3 </w:instrText>
      </w:r>
      <w:r w:rsidR="00377A22">
        <w:rPr>
          <w:sz w:val="22"/>
          <w:szCs w:val="22"/>
          <w:u w:val="single"/>
        </w:rPr>
        <w:fldChar w:fldCharType="end"/>
      </w:r>
      <w:r w:rsidRPr="002869A1">
        <w:rPr>
          <w:sz w:val="22"/>
          <w:szCs w:val="22"/>
          <w:u w:val="single"/>
        </w:rPr>
        <w:t>Action Program, Inc. v. City of Middletown</w:t>
      </w:r>
      <w:r w:rsidRPr="002869A1">
        <w:rPr>
          <w:sz w:val="22"/>
          <w:szCs w:val="22"/>
        </w:rPr>
        <w:t>, 294 F.3d 35, 45-</w:t>
      </w:r>
      <w:r>
        <w:rPr>
          <w:sz w:val="22"/>
          <w:szCs w:val="22"/>
        </w:rPr>
        <w:t>4</w:t>
      </w:r>
      <w:r w:rsidRPr="002869A1">
        <w:rPr>
          <w:sz w:val="22"/>
          <w:szCs w:val="22"/>
        </w:rPr>
        <w:t>6 (2d Cir. 2002) (hereinafter “RECAP”)</w:t>
      </w:r>
      <w:r>
        <w:rPr>
          <w:sz w:val="22"/>
          <w:szCs w:val="22"/>
        </w:rPr>
        <w:t xml:space="preserve">; </w:t>
      </w:r>
      <w:r w:rsidRPr="002869A1">
        <w:rPr>
          <w:sz w:val="22"/>
          <w:szCs w:val="22"/>
          <w:u w:val="single"/>
        </w:rPr>
        <w:t>Bay Area Addiction Research and Treatment, Inc. v. City of Antioch</w:t>
      </w:r>
      <w:r>
        <w:rPr>
          <w:sz w:val="22"/>
          <w:szCs w:val="22"/>
        </w:rPr>
        <w:t>, 179 F.3d 725, 730</w:t>
      </w:r>
      <w:r w:rsidRPr="002869A1">
        <w:rPr>
          <w:sz w:val="22"/>
          <w:szCs w:val="22"/>
        </w:rPr>
        <w:t xml:space="preserve"> (9th Cir. 1999)</w:t>
      </w:r>
      <w:r>
        <w:rPr>
          <w:sz w:val="22"/>
          <w:szCs w:val="22"/>
        </w:rPr>
        <w:t xml:space="preserve">; </w:t>
      </w:r>
      <w:r w:rsidR="00377A22">
        <w:rPr>
          <w:sz w:val="22"/>
          <w:szCs w:val="22"/>
        </w:rPr>
        <w:fldChar w:fldCharType="begin"/>
      </w:r>
      <w:r>
        <w:instrText xml:space="preserve"> TA \l "</w:instrText>
      </w:r>
      <w:r w:rsidRPr="00487D52">
        <w:rPr>
          <w:u w:val="single"/>
        </w:rPr>
        <w:instrText>Innovative Health Sys., Inc. v. City of White Plains</w:instrText>
      </w:r>
      <w:r w:rsidRPr="00487D52">
        <w:instrText>,</w:instrText>
      </w:r>
      <w:r w:rsidRPr="00487D52">
        <w:br/>
        <w:instrText>117 F.3d 37 (2d Cir. 1997)</w:instrText>
      </w:r>
      <w:r>
        <w:instrText xml:space="preserve">" \s "WSFTA_0f1e19778aa249408a01673f4b40d651" \c 3 </w:instrText>
      </w:r>
      <w:r w:rsidR="00377A22">
        <w:rPr>
          <w:sz w:val="22"/>
          <w:szCs w:val="22"/>
        </w:rPr>
        <w:fldChar w:fldCharType="end"/>
      </w:r>
      <w:r w:rsidRPr="002869A1">
        <w:rPr>
          <w:sz w:val="22"/>
          <w:szCs w:val="22"/>
          <w:u w:val="single"/>
        </w:rPr>
        <w:t>Innovative Health Sys., Inc. v. City of White Plains</w:t>
      </w:r>
      <w:r w:rsidRPr="002869A1">
        <w:rPr>
          <w:sz w:val="22"/>
          <w:szCs w:val="22"/>
        </w:rPr>
        <w:t xml:space="preserve">, 117 F.3d 37, </w:t>
      </w:r>
      <w:r>
        <w:rPr>
          <w:sz w:val="22"/>
          <w:szCs w:val="22"/>
        </w:rPr>
        <w:t>44-46 (2d Cir. 1997)</w:t>
      </w:r>
      <w:r w:rsidRPr="002869A1">
        <w:rPr>
          <w:sz w:val="22"/>
          <w:szCs w:val="22"/>
        </w:rPr>
        <w:t xml:space="preserve">; </w:t>
      </w:r>
      <w:r w:rsidR="00377A22">
        <w:rPr>
          <w:sz w:val="22"/>
          <w:szCs w:val="22"/>
        </w:rPr>
        <w:fldChar w:fldCharType="begin"/>
      </w:r>
      <w:r>
        <w:instrText xml:space="preserve"> TA \l "</w:instrText>
      </w:r>
      <w:r w:rsidRPr="00487D52">
        <w:rPr>
          <w:u w:val="single"/>
        </w:rPr>
        <w:instrText xml:space="preserve">Start, Inc. v. </w:instrText>
      </w:r>
      <w:r w:rsidRPr="00487D52">
        <w:instrText>,</w:instrText>
      </w:r>
      <w:r w:rsidRPr="00487D52">
        <w:br/>
        <w:instrText>Baltimore Cnty., 295 F.Supp.2d 569 (D. Md. 2003)</w:instrText>
      </w:r>
      <w:r>
        <w:instrText xml:space="preserve">" \s "WSFTA_afd46f4fde354bb0a4ead1900e1f40e1" \c 3 </w:instrText>
      </w:r>
      <w:r w:rsidR="00377A22">
        <w:rPr>
          <w:sz w:val="22"/>
          <w:szCs w:val="22"/>
        </w:rPr>
        <w:fldChar w:fldCharType="end"/>
      </w:r>
      <w:r w:rsidRPr="002869A1">
        <w:rPr>
          <w:sz w:val="22"/>
          <w:szCs w:val="22"/>
          <w:u w:val="single"/>
        </w:rPr>
        <w:t>Start, Inc. v. Baltimore Cnty.</w:t>
      </w:r>
      <w:r w:rsidRPr="002869A1">
        <w:rPr>
          <w:sz w:val="22"/>
          <w:szCs w:val="22"/>
        </w:rPr>
        <w:t>, 295 F.</w:t>
      </w:r>
      <w:r>
        <w:rPr>
          <w:sz w:val="22"/>
          <w:szCs w:val="22"/>
        </w:rPr>
        <w:t xml:space="preserve"> </w:t>
      </w:r>
      <w:r w:rsidRPr="002869A1">
        <w:rPr>
          <w:sz w:val="22"/>
          <w:szCs w:val="22"/>
        </w:rPr>
        <w:t>Supp.</w:t>
      </w:r>
      <w:r>
        <w:rPr>
          <w:sz w:val="22"/>
          <w:szCs w:val="22"/>
        </w:rPr>
        <w:t xml:space="preserve"> </w:t>
      </w:r>
      <w:r w:rsidRPr="002869A1">
        <w:rPr>
          <w:sz w:val="22"/>
          <w:szCs w:val="22"/>
        </w:rPr>
        <w:t xml:space="preserve">2d 569, 576 (D. Md. 2003).  </w:t>
      </w:r>
    </w:p>
  </w:footnote>
  <w:footnote w:id="102">
    <w:p w:rsidR="009A3240" w:rsidRPr="002869A1" w:rsidRDefault="009A3240" w:rsidP="00B76C8F">
      <w:pPr>
        <w:pStyle w:val="FootnoteText"/>
        <w:rPr>
          <w:sz w:val="22"/>
          <w:szCs w:val="22"/>
        </w:rPr>
      </w:pPr>
      <w:r w:rsidRPr="002869A1">
        <w:rPr>
          <w:rStyle w:val="FootnoteReference"/>
          <w:sz w:val="22"/>
          <w:szCs w:val="22"/>
        </w:rPr>
        <w:footnoteRef/>
      </w:r>
      <w:r w:rsidRPr="002869A1">
        <w:rPr>
          <w:sz w:val="22"/>
          <w:szCs w:val="22"/>
        </w:rPr>
        <w:t xml:space="preserve"> </w:t>
      </w:r>
      <w:r w:rsidR="00377A22">
        <w:rPr>
          <w:sz w:val="22"/>
          <w:szCs w:val="22"/>
        </w:rPr>
        <w:fldChar w:fldCharType="begin"/>
      </w:r>
      <w:r>
        <w:instrText xml:space="preserve"> TA \l "" \s "WSFTA_048938ad3f1f499985f0ce8d6c0d09c7" \c 6 </w:instrText>
      </w:r>
      <w:r w:rsidR="00377A22">
        <w:rPr>
          <w:sz w:val="22"/>
          <w:szCs w:val="22"/>
        </w:rPr>
        <w:fldChar w:fldCharType="end"/>
      </w:r>
      <w:r w:rsidRPr="002869A1">
        <w:rPr>
          <w:sz w:val="22"/>
          <w:szCs w:val="22"/>
        </w:rPr>
        <w:t xml:space="preserve">42 U.S.C. § 12132; </w:t>
      </w:r>
      <w:r w:rsidR="00377A22">
        <w:rPr>
          <w:sz w:val="22"/>
          <w:szCs w:val="22"/>
        </w:rPr>
        <w:fldChar w:fldCharType="begin"/>
      </w:r>
      <w:r>
        <w:instrText xml:space="preserve"> TA \l "</w:instrText>
      </w:r>
      <w:r w:rsidRPr="00487D52">
        <w:instrText>28 C.F.R. § 35.130(a)</w:instrText>
      </w:r>
      <w:r>
        <w:instrText xml:space="preserve">" \s "WSFTA_0490312da6ff44d4af14359a0e7019d8" \c 12 </w:instrText>
      </w:r>
      <w:r w:rsidR="00377A22">
        <w:rPr>
          <w:sz w:val="22"/>
          <w:szCs w:val="22"/>
        </w:rPr>
        <w:fldChar w:fldCharType="end"/>
      </w:r>
      <w:r w:rsidRPr="002869A1">
        <w:rPr>
          <w:sz w:val="22"/>
          <w:szCs w:val="22"/>
        </w:rPr>
        <w:t xml:space="preserve">28 C.F.R. § 35.130(a).  </w:t>
      </w:r>
    </w:p>
  </w:footnote>
  <w:footnote w:id="103">
    <w:p w:rsidR="009A3240" w:rsidRPr="002869A1" w:rsidRDefault="009A3240" w:rsidP="00B76C8F">
      <w:pPr>
        <w:pStyle w:val="FootnoteText"/>
        <w:rPr>
          <w:sz w:val="22"/>
          <w:szCs w:val="22"/>
        </w:rPr>
      </w:pPr>
      <w:r w:rsidRPr="002869A1">
        <w:rPr>
          <w:rStyle w:val="FootnoteReference"/>
          <w:sz w:val="22"/>
          <w:szCs w:val="22"/>
        </w:rPr>
        <w:footnoteRef/>
      </w:r>
      <w:r w:rsidRPr="002869A1">
        <w:rPr>
          <w:sz w:val="22"/>
          <w:szCs w:val="22"/>
        </w:rPr>
        <w:t xml:space="preserve"> </w:t>
      </w:r>
      <w:r w:rsidR="00377A22">
        <w:rPr>
          <w:sz w:val="22"/>
          <w:szCs w:val="22"/>
        </w:rPr>
        <w:fldChar w:fldCharType="begin"/>
      </w:r>
      <w:r>
        <w:instrText xml:space="preserve"> TA \l "</w:instrText>
      </w:r>
      <w:r w:rsidRPr="00487D52">
        <w:instrText>29 C.F.R. Part 35 App. A Section 35.104 (2009)</w:instrText>
      </w:r>
      <w:r>
        <w:instrText xml:space="preserve">" \s "WSFTA_2e85045896c14b5f9eb28f24484ca0cd" \c 12 </w:instrText>
      </w:r>
      <w:r w:rsidR="00377A22">
        <w:rPr>
          <w:sz w:val="22"/>
          <w:szCs w:val="22"/>
        </w:rPr>
        <w:fldChar w:fldCharType="end"/>
      </w:r>
      <w:r>
        <w:rPr>
          <w:sz w:val="22"/>
          <w:szCs w:val="22"/>
        </w:rPr>
        <w:t>28 C.F.R. pt. 35 app. A, Section</w:t>
      </w:r>
      <w:r w:rsidRPr="002869A1">
        <w:rPr>
          <w:sz w:val="22"/>
          <w:szCs w:val="22"/>
        </w:rPr>
        <w:t xml:space="preserve"> 35.104 (2009); </w:t>
      </w:r>
      <w:r w:rsidR="00377A22">
        <w:rPr>
          <w:sz w:val="22"/>
          <w:szCs w:val="22"/>
        </w:rPr>
        <w:fldChar w:fldCharType="begin"/>
      </w:r>
      <w:r>
        <w:instrText xml:space="preserve"> TA \l "</w:instrText>
      </w:r>
      <w:r w:rsidRPr="00487D52">
        <w:instrText>29 C.F.R. §35.139</w:instrText>
      </w:r>
      <w:r>
        <w:instrText xml:space="preserve">" \s "WSFTA_4f4b6fa0ba90429cae8aa75b034688f2" \c 12 </w:instrText>
      </w:r>
      <w:r w:rsidR="00377A22">
        <w:rPr>
          <w:sz w:val="22"/>
          <w:szCs w:val="22"/>
        </w:rPr>
        <w:fldChar w:fldCharType="end"/>
      </w:r>
      <w:r>
        <w:rPr>
          <w:sz w:val="22"/>
          <w:szCs w:val="22"/>
        </w:rPr>
        <w:t>28</w:t>
      </w:r>
      <w:r w:rsidRPr="002869A1">
        <w:rPr>
          <w:sz w:val="22"/>
          <w:szCs w:val="22"/>
        </w:rPr>
        <w:t xml:space="preserve"> C.F.R. §</w:t>
      </w:r>
      <w:r>
        <w:rPr>
          <w:sz w:val="22"/>
          <w:szCs w:val="22"/>
        </w:rPr>
        <w:t xml:space="preserve"> </w:t>
      </w:r>
      <w:r w:rsidRPr="002869A1">
        <w:rPr>
          <w:sz w:val="22"/>
          <w:szCs w:val="22"/>
        </w:rPr>
        <w:t xml:space="preserve">35.139 (eff. Mar. 15, 2011); </w:t>
      </w:r>
      <w:r w:rsidR="00377A22">
        <w:rPr>
          <w:sz w:val="22"/>
          <w:szCs w:val="22"/>
        </w:rPr>
        <w:fldChar w:fldCharType="begin"/>
      </w:r>
      <w:r>
        <w:instrText xml:space="preserve"> TA \l "" \s "WSFTA_80d4770cf6244eddb3df9f15b6ffe02f" \c 3 </w:instrText>
      </w:r>
      <w:r w:rsidR="00377A22">
        <w:rPr>
          <w:sz w:val="22"/>
          <w:szCs w:val="22"/>
        </w:rPr>
        <w:fldChar w:fldCharType="end"/>
      </w:r>
      <w:r w:rsidRPr="002869A1">
        <w:rPr>
          <w:sz w:val="22"/>
          <w:szCs w:val="22"/>
          <w:u w:val="single"/>
        </w:rPr>
        <w:t>Bay Area</w:t>
      </w:r>
      <w:r w:rsidRPr="002869A1">
        <w:rPr>
          <w:sz w:val="22"/>
          <w:szCs w:val="22"/>
        </w:rPr>
        <w:t xml:space="preserve">, 179 F.3d </w:t>
      </w:r>
      <w:r>
        <w:rPr>
          <w:sz w:val="22"/>
          <w:szCs w:val="22"/>
        </w:rPr>
        <w:t xml:space="preserve"> at 73</w:t>
      </w:r>
      <w:r w:rsidRPr="002869A1">
        <w:rPr>
          <w:sz w:val="22"/>
          <w:szCs w:val="22"/>
        </w:rPr>
        <w:t>5.</w:t>
      </w:r>
    </w:p>
  </w:footnote>
  <w:footnote w:id="104">
    <w:p w:rsidR="009A3240" w:rsidRPr="002869A1" w:rsidRDefault="009A3240" w:rsidP="00B76C8F">
      <w:pPr>
        <w:pStyle w:val="FootnoteText"/>
        <w:rPr>
          <w:sz w:val="22"/>
          <w:szCs w:val="22"/>
        </w:rPr>
      </w:pPr>
      <w:r w:rsidRPr="002869A1">
        <w:rPr>
          <w:rStyle w:val="FootnoteReference"/>
          <w:sz w:val="22"/>
          <w:szCs w:val="22"/>
        </w:rPr>
        <w:footnoteRef/>
      </w:r>
      <w:r w:rsidRPr="002869A1">
        <w:rPr>
          <w:sz w:val="22"/>
          <w:szCs w:val="22"/>
        </w:rPr>
        <w:t xml:space="preserve"> </w:t>
      </w:r>
      <w:r w:rsidR="00377A22">
        <w:rPr>
          <w:sz w:val="22"/>
          <w:szCs w:val="22"/>
        </w:rPr>
        <w:fldChar w:fldCharType="begin"/>
      </w:r>
      <w:r>
        <w:instrText xml:space="preserve"> TA \l "</w:instrText>
      </w:r>
      <w:r w:rsidRPr="00487D52">
        <w:instrText>42 U.S.C. §12102</w:instrText>
      </w:r>
      <w:r>
        <w:instrText xml:space="preserve">" \s "WSFTA_4f4869f8bd124f60b869b7a83265a725" \c 6 </w:instrText>
      </w:r>
      <w:r w:rsidR="00377A22">
        <w:rPr>
          <w:sz w:val="22"/>
          <w:szCs w:val="22"/>
        </w:rPr>
        <w:fldChar w:fldCharType="end"/>
      </w:r>
      <w:r w:rsidRPr="002869A1">
        <w:rPr>
          <w:sz w:val="22"/>
          <w:szCs w:val="22"/>
        </w:rPr>
        <w:t xml:space="preserve">42 U.S.C. §12102.  </w:t>
      </w:r>
    </w:p>
  </w:footnote>
  <w:footnote w:id="105">
    <w:p w:rsidR="009A3240" w:rsidRPr="002869A1" w:rsidRDefault="009A3240" w:rsidP="00B76C8F">
      <w:pPr>
        <w:pStyle w:val="FootnoteText"/>
        <w:rPr>
          <w:sz w:val="22"/>
          <w:szCs w:val="22"/>
        </w:rPr>
      </w:pPr>
      <w:r w:rsidRPr="002869A1">
        <w:rPr>
          <w:rStyle w:val="FootnoteReference"/>
          <w:sz w:val="22"/>
          <w:szCs w:val="22"/>
        </w:rPr>
        <w:footnoteRef/>
      </w:r>
      <w:r w:rsidRPr="002869A1">
        <w:rPr>
          <w:sz w:val="22"/>
          <w:szCs w:val="22"/>
        </w:rPr>
        <w:t xml:space="preserve"> </w:t>
      </w:r>
      <w:r w:rsidR="00377A22">
        <w:rPr>
          <w:sz w:val="22"/>
          <w:szCs w:val="22"/>
        </w:rPr>
        <w:fldChar w:fldCharType="begin"/>
      </w:r>
      <w:r>
        <w:instrText xml:space="preserve"> TA \l "</w:instrText>
      </w:r>
      <w:r w:rsidRPr="00487D52">
        <w:instrText>28 C.F.R. 35.131</w:instrText>
      </w:r>
      <w:r>
        <w:instrText xml:space="preserve">" \s "WSFTA_a1f48c30bcda416db5569d46704177a3" \c 12 </w:instrText>
      </w:r>
      <w:r w:rsidR="00377A22">
        <w:rPr>
          <w:sz w:val="22"/>
          <w:szCs w:val="22"/>
        </w:rPr>
        <w:fldChar w:fldCharType="end"/>
      </w:r>
      <w:r w:rsidRPr="002869A1">
        <w:rPr>
          <w:sz w:val="22"/>
          <w:szCs w:val="22"/>
        </w:rPr>
        <w:t xml:space="preserve">28 C.F.R. </w:t>
      </w:r>
      <w:r>
        <w:rPr>
          <w:sz w:val="22"/>
          <w:szCs w:val="22"/>
        </w:rPr>
        <w:t xml:space="preserve">§ </w:t>
      </w:r>
      <w:r w:rsidRPr="002869A1">
        <w:rPr>
          <w:sz w:val="22"/>
          <w:szCs w:val="22"/>
        </w:rPr>
        <w:t xml:space="preserve">35.131; </w:t>
      </w:r>
      <w:r w:rsidRPr="002869A1">
        <w:rPr>
          <w:sz w:val="22"/>
          <w:szCs w:val="22"/>
          <w:u w:val="single"/>
        </w:rPr>
        <w:t>see also</w:t>
      </w:r>
      <w:r w:rsidRPr="002869A1">
        <w:rPr>
          <w:sz w:val="22"/>
          <w:szCs w:val="22"/>
        </w:rPr>
        <w:t xml:space="preserve"> </w:t>
      </w:r>
      <w:r w:rsidR="00377A22">
        <w:rPr>
          <w:sz w:val="22"/>
          <w:szCs w:val="22"/>
        </w:rPr>
        <w:fldChar w:fldCharType="begin"/>
      </w:r>
      <w:r>
        <w:instrText xml:space="preserve"> TA \l "</w:instrText>
      </w:r>
      <w:r w:rsidRPr="00487D52">
        <w:rPr>
          <w:u w:val="single"/>
        </w:rPr>
        <w:instrText>MX Group</w:instrText>
      </w:r>
      <w:r w:rsidRPr="00487D52">
        <w:instrText>,</w:instrText>
      </w:r>
      <w:r w:rsidRPr="00487D52">
        <w:br/>
        <w:instrText xml:space="preserve">293 F.3d </w:instrText>
      </w:r>
      <w:r>
        <w:instrText xml:space="preserve">" \s "WSFTA_ca868d52afc646c5b2d767a2577cbab9" \c 3 </w:instrText>
      </w:r>
      <w:r w:rsidR="00377A22">
        <w:rPr>
          <w:sz w:val="22"/>
          <w:szCs w:val="22"/>
        </w:rPr>
        <w:fldChar w:fldCharType="end"/>
      </w:r>
      <w:r w:rsidRPr="002869A1">
        <w:rPr>
          <w:sz w:val="22"/>
          <w:szCs w:val="22"/>
          <w:u w:val="single"/>
        </w:rPr>
        <w:t>MX Group</w:t>
      </w:r>
      <w:r>
        <w:rPr>
          <w:sz w:val="22"/>
          <w:szCs w:val="22"/>
          <w:u w:val="single"/>
        </w:rPr>
        <w:t xml:space="preserve"> Inc. v. City of Covington</w:t>
      </w:r>
      <w:r w:rsidRPr="002869A1">
        <w:rPr>
          <w:sz w:val="22"/>
          <w:szCs w:val="22"/>
        </w:rPr>
        <w:t xml:space="preserve">, 293 F.3d </w:t>
      </w:r>
      <w:r>
        <w:rPr>
          <w:sz w:val="22"/>
          <w:szCs w:val="22"/>
        </w:rPr>
        <w:t xml:space="preserve">326, </w:t>
      </w:r>
      <w:r w:rsidRPr="002869A1">
        <w:rPr>
          <w:sz w:val="22"/>
          <w:szCs w:val="22"/>
        </w:rPr>
        <w:t>339</w:t>
      </w:r>
      <w:r>
        <w:rPr>
          <w:sz w:val="22"/>
          <w:szCs w:val="22"/>
        </w:rPr>
        <w:t xml:space="preserve"> (6th Cir. 2002) (“Congress recognized </w:t>
      </w:r>
      <w:r w:rsidRPr="002869A1">
        <w:rPr>
          <w:sz w:val="22"/>
          <w:szCs w:val="22"/>
        </w:rPr>
        <w:t xml:space="preserve">that many people continue to participate in drug treatment programs long after they have stopped using drugs illegally, </w:t>
      </w:r>
      <w:r w:rsidRPr="002869A1">
        <w:rPr>
          <w:i/>
          <w:iCs/>
          <w:sz w:val="22"/>
          <w:szCs w:val="22"/>
        </w:rPr>
        <w:t>and that such persons should be protected under the Act.</w:t>
      </w:r>
      <w:r>
        <w:rPr>
          <w:sz w:val="22"/>
          <w:szCs w:val="22"/>
        </w:rPr>
        <w:t>”) (internal quotation</w:t>
      </w:r>
      <w:r w:rsidRPr="002869A1">
        <w:rPr>
          <w:sz w:val="22"/>
          <w:szCs w:val="22"/>
        </w:rPr>
        <w:t xml:space="preserve"> omitted)</w:t>
      </w:r>
      <w:r>
        <w:rPr>
          <w:sz w:val="22"/>
          <w:szCs w:val="22"/>
        </w:rPr>
        <w:t xml:space="preserve"> </w:t>
      </w:r>
      <w:r w:rsidRPr="002869A1">
        <w:rPr>
          <w:sz w:val="22"/>
          <w:szCs w:val="22"/>
        </w:rPr>
        <w:t xml:space="preserve">(emphasis added).  </w:t>
      </w:r>
    </w:p>
  </w:footnote>
  <w:footnote w:id="106">
    <w:p w:rsidR="009A3240" w:rsidRDefault="009A3240" w:rsidP="00B76C8F">
      <w:pPr>
        <w:pStyle w:val="FootnoteText"/>
      </w:pPr>
      <w:r w:rsidRPr="002869A1">
        <w:rPr>
          <w:rStyle w:val="FootnoteReference"/>
          <w:sz w:val="22"/>
          <w:szCs w:val="22"/>
        </w:rPr>
        <w:footnoteRef/>
      </w:r>
      <w:r w:rsidRPr="002869A1">
        <w:rPr>
          <w:sz w:val="22"/>
          <w:szCs w:val="22"/>
        </w:rPr>
        <w:t xml:space="preserve"> </w:t>
      </w:r>
      <w:r>
        <w:rPr>
          <w:sz w:val="22"/>
          <w:szCs w:val="22"/>
        </w:rPr>
        <w:t>Nilson Mem. 2/12/2008 (Ex. 17) (emphasis added);</w:t>
      </w:r>
      <w:r w:rsidRPr="00B83852">
        <w:rPr>
          <w:sz w:val="22"/>
          <w:szCs w:val="22"/>
        </w:rPr>
        <w:t xml:space="preserve"> </w:t>
      </w:r>
      <w:r w:rsidRPr="00B83852">
        <w:rPr>
          <w:sz w:val="22"/>
          <w:szCs w:val="22"/>
          <w:u w:val="single"/>
        </w:rPr>
        <w:t>s</w:t>
      </w:r>
      <w:r w:rsidRPr="002869A1">
        <w:rPr>
          <w:sz w:val="22"/>
          <w:szCs w:val="22"/>
          <w:u w:val="single"/>
        </w:rPr>
        <w:t>ee also</w:t>
      </w:r>
      <w:r w:rsidRPr="002869A1">
        <w:rPr>
          <w:sz w:val="22"/>
          <w:szCs w:val="22"/>
        </w:rPr>
        <w:t xml:space="preserve"> Mem. from Deepa Bhattacharyya, </w:t>
      </w:r>
      <w:r>
        <w:rPr>
          <w:sz w:val="22"/>
          <w:szCs w:val="22"/>
        </w:rPr>
        <w:t>Asst.</w:t>
      </w:r>
      <w:r w:rsidRPr="002869A1">
        <w:rPr>
          <w:sz w:val="22"/>
          <w:szCs w:val="22"/>
        </w:rPr>
        <w:t xml:space="preserve"> Solicitor, Law</w:t>
      </w:r>
      <w:r>
        <w:rPr>
          <w:sz w:val="22"/>
          <w:szCs w:val="22"/>
        </w:rPr>
        <w:t xml:space="preserve"> Dep’t</w:t>
      </w:r>
      <w:r w:rsidRPr="002869A1">
        <w:rPr>
          <w:sz w:val="22"/>
          <w:szCs w:val="22"/>
        </w:rPr>
        <w:t>, to Edward Reisinger, Chairman, Land Use and Transp. Comm,</w:t>
      </w:r>
      <w:r>
        <w:rPr>
          <w:sz w:val="22"/>
          <w:szCs w:val="22"/>
        </w:rPr>
        <w:t xml:space="preserve"> (Sept. 5, 2008), MCCB 9425-31, </w:t>
      </w:r>
      <w:r w:rsidRPr="002869A1">
        <w:rPr>
          <w:sz w:val="22"/>
          <w:szCs w:val="22"/>
        </w:rPr>
        <w:t>¶ 19</w:t>
      </w:r>
      <w:r>
        <w:rPr>
          <w:sz w:val="22"/>
          <w:szCs w:val="22"/>
        </w:rPr>
        <w:t xml:space="preserve"> (hereinafter “Bhattacharyya Mem. 9/5/2008”) (Ex. 81) </w:t>
      </w:r>
      <w:r w:rsidRPr="002869A1">
        <w:rPr>
          <w:sz w:val="22"/>
          <w:szCs w:val="22"/>
        </w:rPr>
        <w:t>(</w:t>
      </w:r>
      <w:r>
        <w:rPr>
          <w:sz w:val="22"/>
          <w:szCs w:val="22"/>
        </w:rPr>
        <w:t xml:space="preserve">state-licensed establishments affected by </w:t>
      </w:r>
      <w:r w:rsidRPr="002869A1">
        <w:rPr>
          <w:sz w:val="22"/>
          <w:szCs w:val="22"/>
        </w:rPr>
        <w:t>Bill 07-</w:t>
      </w:r>
      <w:r>
        <w:rPr>
          <w:sz w:val="22"/>
          <w:szCs w:val="22"/>
        </w:rPr>
        <w:t>0002 “serve</w:t>
      </w:r>
      <w:r w:rsidRPr="007C173D">
        <w:rPr>
          <w:sz w:val="22"/>
          <w:szCs w:val="22"/>
        </w:rPr>
        <w:t xml:space="preserve"> populations protected </w:t>
      </w:r>
      <w:r>
        <w:rPr>
          <w:sz w:val="22"/>
          <w:szCs w:val="22"/>
        </w:rPr>
        <w:t xml:space="preserve">by the federal legislation . . . </w:t>
      </w:r>
      <w:r w:rsidRPr="007C173D">
        <w:rPr>
          <w:sz w:val="22"/>
          <w:szCs w:val="22"/>
        </w:rPr>
        <w:t>.”);</w:t>
      </w:r>
      <w:r w:rsidRPr="00074B66">
        <w:rPr>
          <w:sz w:val="22"/>
          <w:szCs w:val="22"/>
        </w:rPr>
        <w:t xml:space="preserve"> </w:t>
      </w:r>
      <w:r>
        <w:rPr>
          <w:sz w:val="22"/>
          <w:szCs w:val="22"/>
        </w:rPr>
        <w:t xml:space="preserve">Bhattacharyya Letter 3/19/2008 (Ex. 15) </w:t>
      </w:r>
      <w:r w:rsidRPr="007C173D">
        <w:rPr>
          <w:sz w:val="22"/>
          <w:szCs w:val="22"/>
        </w:rPr>
        <w:t>(“[t]he purpose of the bill is to conform the City’s zoning standards to state licensing provisions and to federal laws that protect persons with disabilities.”) .</w:t>
      </w:r>
    </w:p>
  </w:footnote>
  <w:footnote w:id="107">
    <w:p w:rsidR="009A3240" w:rsidRPr="003627AE" w:rsidRDefault="009A3240" w:rsidP="00B76C8F">
      <w:pPr>
        <w:pStyle w:val="FootnoteText"/>
        <w:rPr>
          <w:sz w:val="20"/>
        </w:rPr>
      </w:pPr>
      <w:r w:rsidRPr="002869A1">
        <w:rPr>
          <w:rStyle w:val="FootnoteReference"/>
          <w:sz w:val="22"/>
          <w:szCs w:val="22"/>
        </w:rPr>
        <w:footnoteRef/>
      </w:r>
      <w:r w:rsidRPr="002869A1">
        <w:rPr>
          <w:sz w:val="22"/>
          <w:szCs w:val="22"/>
        </w:rPr>
        <w:t xml:space="preserve"> </w:t>
      </w:r>
      <w:r w:rsidRPr="00D770AC">
        <w:rPr>
          <w:sz w:val="22"/>
          <w:szCs w:val="22"/>
        </w:rPr>
        <w:t>Council Mtg. Tr.</w:t>
      </w:r>
      <w:r>
        <w:rPr>
          <w:sz w:val="22"/>
          <w:szCs w:val="22"/>
        </w:rPr>
        <w:t xml:space="preserve">, at </w:t>
      </w:r>
      <w:r w:rsidRPr="003627AE">
        <w:rPr>
          <w:sz w:val="22"/>
          <w:szCs w:val="22"/>
        </w:rPr>
        <w:t>US 1444</w:t>
      </w:r>
      <w:r>
        <w:rPr>
          <w:sz w:val="22"/>
          <w:szCs w:val="22"/>
        </w:rPr>
        <w:t xml:space="preserve"> (36:12-15) (Ex. 24)</w:t>
      </w:r>
      <w:r w:rsidRPr="003627AE">
        <w:rPr>
          <w:sz w:val="22"/>
          <w:szCs w:val="22"/>
        </w:rPr>
        <w:t xml:space="preserve">.  Other City agencies have similarly admitted that the populations served by the proposed Bill 07-0002 are protected by the ADA.  </w:t>
      </w:r>
      <w:r w:rsidRPr="003627AE">
        <w:rPr>
          <w:sz w:val="22"/>
          <w:szCs w:val="22"/>
          <w:u w:val="single"/>
        </w:rPr>
        <w:t>See</w:t>
      </w:r>
      <w:r w:rsidRPr="003627AE">
        <w:rPr>
          <w:sz w:val="22"/>
          <w:szCs w:val="22"/>
        </w:rPr>
        <w:t xml:space="preserve"> </w:t>
      </w:r>
      <w:r>
        <w:rPr>
          <w:sz w:val="22"/>
          <w:szCs w:val="22"/>
        </w:rPr>
        <w:t>Graziano Letter 4/25/2008 (Ex. 68)</w:t>
      </w:r>
      <w:r w:rsidRPr="003627AE">
        <w:rPr>
          <w:sz w:val="22"/>
          <w:szCs w:val="22"/>
        </w:rPr>
        <w:t xml:space="preserve"> (</w:t>
      </w:r>
      <w:r>
        <w:rPr>
          <w:sz w:val="22"/>
          <w:szCs w:val="22"/>
        </w:rPr>
        <w:t>b</w:t>
      </w:r>
      <w:r w:rsidRPr="003627AE">
        <w:rPr>
          <w:sz w:val="22"/>
          <w:szCs w:val="22"/>
        </w:rPr>
        <w:t xml:space="preserve">ill would ensure compliance with ADA); </w:t>
      </w:r>
      <w:r>
        <w:rPr>
          <w:sz w:val="22"/>
          <w:szCs w:val="22"/>
        </w:rPr>
        <w:t>Sharfstein Mem. 2/23/2008, at 2 (Ex. 69)</w:t>
      </w:r>
      <w:r w:rsidRPr="003627AE">
        <w:rPr>
          <w:sz w:val="22"/>
          <w:szCs w:val="22"/>
        </w:rPr>
        <w:t xml:space="preserve"> (same).</w:t>
      </w:r>
    </w:p>
  </w:footnote>
  <w:footnote w:id="108">
    <w:p w:rsidR="009A3240" w:rsidRPr="002869A1" w:rsidRDefault="009A3240" w:rsidP="00B76C8F">
      <w:pPr>
        <w:pStyle w:val="FootnoteText"/>
        <w:rPr>
          <w:sz w:val="22"/>
          <w:szCs w:val="22"/>
        </w:rPr>
      </w:pPr>
      <w:r w:rsidRPr="002869A1">
        <w:rPr>
          <w:rStyle w:val="FootnoteReference"/>
          <w:sz w:val="22"/>
          <w:szCs w:val="22"/>
        </w:rPr>
        <w:footnoteRef/>
      </w:r>
      <w:r w:rsidRPr="002869A1">
        <w:rPr>
          <w:sz w:val="22"/>
          <w:szCs w:val="22"/>
        </w:rPr>
        <w:t xml:space="preserve"> </w:t>
      </w:r>
      <w:r w:rsidR="00377A22">
        <w:rPr>
          <w:sz w:val="22"/>
          <w:szCs w:val="22"/>
        </w:rPr>
        <w:fldChar w:fldCharType="begin"/>
      </w:r>
      <w:r>
        <w:instrText xml:space="preserve"> TA \l "</w:instrText>
      </w:r>
      <w:r w:rsidRPr="00487D52">
        <w:instrText>Md. Code Regs. (hereinafter “COMAR”) 10.47.02.06(B)(2)</w:instrText>
      </w:r>
      <w:r>
        <w:instrText xml:space="preserve">" \s "WSFTA_8d341b10a24c4e87a04e053e4fce3f83" \c 12 </w:instrText>
      </w:r>
      <w:r w:rsidR="00377A22">
        <w:rPr>
          <w:sz w:val="22"/>
          <w:szCs w:val="22"/>
        </w:rPr>
        <w:fldChar w:fldCharType="end"/>
      </w:r>
      <w:r>
        <w:rPr>
          <w:sz w:val="22"/>
          <w:szCs w:val="22"/>
        </w:rPr>
        <w:t>COMAR</w:t>
      </w:r>
      <w:r w:rsidRPr="002869A1">
        <w:rPr>
          <w:smallCaps/>
          <w:sz w:val="22"/>
          <w:szCs w:val="22"/>
        </w:rPr>
        <w:t xml:space="preserve"> </w:t>
      </w:r>
      <w:r>
        <w:rPr>
          <w:sz w:val="22"/>
          <w:szCs w:val="22"/>
        </w:rPr>
        <w:t>10.47.02.06(B)</w:t>
      </w:r>
      <w:r w:rsidRPr="002869A1">
        <w:rPr>
          <w:sz w:val="22"/>
          <w:szCs w:val="22"/>
        </w:rPr>
        <w:t xml:space="preserve">; </w:t>
      </w:r>
      <w:r w:rsidR="00377A22">
        <w:rPr>
          <w:sz w:val="22"/>
          <w:szCs w:val="22"/>
        </w:rPr>
        <w:fldChar w:fldCharType="begin"/>
      </w:r>
      <w:r>
        <w:instrText xml:space="preserve"> TA \l "</w:instrText>
      </w:r>
      <w:r w:rsidRPr="00487D52">
        <w:instrText>42 U.S.C. §12102(2)</w:instrText>
      </w:r>
      <w:r>
        <w:instrText xml:space="preserve">" \s "WSFTA_ba65c8532cea42f59d2a510b06f38e46" \c 6 </w:instrText>
      </w:r>
      <w:r w:rsidR="00377A22">
        <w:rPr>
          <w:sz w:val="22"/>
          <w:szCs w:val="22"/>
        </w:rPr>
        <w:fldChar w:fldCharType="end"/>
      </w:r>
      <w:r w:rsidRPr="002869A1">
        <w:rPr>
          <w:sz w:val="22"/>
          <w:szCs w:val="22"/>
        </w:rPr>
        <w:t>42 U.S.C. §</w:t>
      </w:r>
      <w:r>
        <w:rPr>
          <w:sz w:val="22"/>
          <w:szCs w:val="22"/>
        </w:rPr>
        <w:t xml:space="preserve"> </w:t>
      </w:r>
      <w:r w:rsidRPr="002869A1">
        <w:rPr>
          <w:sz w:val="22"/>
          <w:szCs w:val="22"/>
        </w:rPr>
        <w:t xml:space="preserve">12102; </w:t>
      </w:r>
      <w:r w:rsidR="00377A22">
        <w:rPr>
          <w:sz w:val="22"/>
          <w:szCs w:val="22"/>
        </w:rPr>
        <w:fldChar w:fldCharType="begin"/>
      </w:r>
      <w:r>
        <w:instrText xml:space="preserve"> TA \l "</w:instrText>
      </w:r>
      <w:r w:rsidRPr="00487D52">
        <w:instrText>28 C.F.R. §35.104</w:instrText>
      </w:r>
      <w:r>
        <w:instrText xml:space="preserve">" \s "WSFTA_6d6930dbf2044ae687e02df2001a8bde" \c 12 </w:instrText>
      </w:r>
      <w:r w:rsidR="00377A22">
        <w:rPr>
          <w:sz w:val="22"/>
          <w:szCs w:val="22"/>
        </w:rPr>
        <w:fldChar w:fldCharType="end"/>
      </w:r>
      <w:r w:rsidRPr="002869A1">
        <w:rPr>
          <w:sz w:val="22"/>
          <w:szCs w:val="22"/>
        </w:rPr>
        <w:t>28 C.F.R. §</w:t>
      </w:r>
      <w:r>
        <w:rPr>
          <w:sz w:val="22"/>
          <w:szCs w:val="22"/>
        </w:rPr>
        <w:t xml:space="preserve"> </w:t>
      </w:r>
      <w:r w:rsidRPr="002869A1">
        <w:rPr>
          <w:sz w:val="22"/>
          <w:szCs w:val="22"/>
        </w:rPr>
        <w:t>35.104.</w:t>
      </w:r>
    </w:p>
  </w:footnote>
  <w:footnote w:id="109">
    <w:p w:rsidR="009A3240" w:rsidRPr="002869A1" w:rsidRDefault="009A3240" w:rsidP="00B76C8F">
      <w:pPr>
        <w:pStyle w:val="FootnoteText"/>
        <w:rPr>
          <w:sz w:val="22"/>
          <w:szCs w:val="22"/>
        </w:rPr>
      </w:pPr>
      <w:r w:rsidRPr="002869A1">
        <w:rPr>
          <w:rStyle w:val="FootnoteReference"/>
          <w:sz w:val="22"/>
          <w:szCs w:val="22"/>
        </w:rPr>
        <w:footnoteRef/>
      </w:r>
      <w:r w:rsidRPr="002869A1">
        <w:rPr>
          <w:sz w:val="22"/>
          <w:szCs w:val="22"/>
        </w:rPr>
        <w:t xml:space="preserve"> </w:t>
      </w:r>
      <w:r w:rsidR="00377A22">
        <w:rPr>
          <w:sz w:val="22"/>
          <w:szCs w:val="22"/>
        </w:rPr>
        <w:fldChar w:fldCharType="begin"/>
      </w:r>
      <w:r>
        <w:instrText xml:space="preserve"> TA \l "</w:instrText>
      </w:r>
      <w:r w:rsidRPr="00487D52">
        <w:instrText>COMAR 10.47.02.06</w:instrText>
      </w:r>
      <w:r>
        <w:instrText xml:space="preserve">" \s "WSFTA_11507fe163cf494f99a759d9f1f42f7c" \c 12 </w:instrText>
      </w:r>
      <w:r w:rsidR="00377A22">
        <w:rPr>
          <w:sz w:val="22"/>
          <w:szCs w:val="22"/>
        </w:rPr>
        <w:fldChar w:fldCharType="end"/>
      </w:r>
      <w:r w:rsidRPr="002869A1">
        <w:rPr>
          <w:sz w:val="22"/>
          <w:szCs w:val="22"/>
        </w:rPr>
        <w:t xml:space="preserve">COMAR 10.47.02.06.  Drug treatment programs must be certified under Maryland law and the state regulations classify the programs for different levels of treatment.  </w:t>
      </w:r>
      <w:r w:rsidR="00377A22">
        <w:rPr>
          <w:sz w:val="22"/>
          <w:szCs w:val="22"/>
        </w:rPr>
        <w:fldChar w:fldCharType="begin"/>
      </w:r>
      <w:r>
        <w:instrText xml:space="preserve"> TA \l "</w:instrText>
      </w:r>
      <w:r w:rsidRPr="00487D52">
        <w:instrText>Md. Code Ann., Health-Gen. §§ 8-403(b) and 8-404(f)</w:instrText>
      </w:r>
      <w:r>
        <w:instrText xml:space="preserve">" \s "WSFTA_7e73d674f4b14749ba0e80ab13e72826" \c 6 </w:instrText>
      </w:r>
      <w:r w:rsidR="00377A22">
        <w:rPr>
          <w:sz w:val="22"/>
          <w:szCs w:val="22"/>
        </w:rPr>
        <w:fldChar w:fldCharType="end"/>
      </w:r>
      <w:r w:rsidRPr="002869A1">
        <w:rPr>
          <w:sz w:val="22"/>
          <w:szCs w:val="22"/>
        </w:rPr>
        <w:t xml:space="preserve">Md. Code Ann., Health-Gen. </w:t>
      </w:r>
      <w:r>
        <w:rPr>
          <w:smallCaps/>
          <w:sz w:val="22"/>
          <w:szCs w:val="22"/>
        </w:rPr>
        <w:t xml:space="preserve">§§ </w:t>
      </w:r>
      <w:r w:rsidRPr="002869A1">
        <w:rPr>
          <w:sz w:val="22"/>
          <w:szCs w:val="22"/>
        </w:rPr>
        <w:t xml:space="preserve">8-403(b) and 8-404(f); </w:t>
      </w:r>
      <w:r w:rsidR="00377A22">
        <w:rPr>
          <w:sz w:val="22"/>
          <w:szCs w:val="22"/>
        </w:rPr>
        <w:fldChar w:fldCharType="begin"/>
      </w:r>
      <w:r>
        <w:instrText xml:space="preserve"> TA \l "</w:instrText>
      </w:r>
      <w:r w:rsidRPr="00487D52">
        <w:instrText>COMAR 10.47.02.03 - 10.47.02.09</w:instrText>
      </w:r>
      <w:r>
        <w:instrText xml:space="preserve">" \s "WSFTA_a7f40e93a17246b49b1d676b69cf7068" \c 12 </w:instrText>
      </w:r>
      <w:r w:rsidR="00377A22">
        <w:rPr>
          <w:sz w:val="22"/>
          <w:szCs w:val="22"/>
        </w:rPr>
        <w:fldChar w:fldCharType="end"/>
      </w:r>
      <w:r w:rsidRPr="002869A1">
        <w:rPr>
          <w:sz w:val="22"/>
          <w:szCs w:val="22"/>
        </w:rPr>
        <w:t>COMAR</w:t>
      </w:r>
      <w:r>
        <w:rPr>
          <w:smallCaps/>
          <w:sz w:val="22"/>
          <w:szCs w:val="22"/>
        </w:rPr>
        <w:t xml:space="preserve"> 10.47.02.01</w:t>
      </w:r>
      <w:r w:rsidRPr="002869A1">
        <w:rPr>
          <w:smallCaps/>
          <w:sz w:val="22"/>
          <w:szCs w:val="22"/>
        </w:rPr>
        <w:t xml:space="preserve"> - 10.47.02.09</w:t>
      </w:r>
      <w:r w:rsidRPr="002869A1">
        <w:rPr>
          <w:sz w:val="22"/>
          <w:szCs w:val="22"/>
        </w:rPr>
        <w:t xml:space="preserve">.  Within Level III, the level for residential treatment, Level III.1 is the least intensive level.  </w:t>
      </w:r>
      <w:r w:rsidR="00377A22">
        <w:rPr>
          <w:sz w:val="22"/>
          <w:szCs w:val="22"/>
        </w:rPr>
        <w:fldChar w:fldCharType="begin"/>
      </w:r>
      <w:r>
        <w:instrText xml:space="preserve"> TA \l "" \s "WSFTA_11507fe163cf494f99a759d9f1f42f7c" \c 12 </w:instrText>
      </w:r>
      <w:r w:rsidR="00377A22">
        <w:rPr>
          <w:sz w:val="22"/>
          <w:szCs w:val="22"/>
        </w:rPr>
        <w:fldChar w:fldCharType="end"/>
      </w:r>
      <w:r w:rsidRPr="002869A1">
        <w:rPr>
          <w:sz w:val="22"/>
          <w:szCs w:val="22"/>
        </w:rPr>
        <w:t>COMAR</w:t>
      </w:r>
      <w:r w:rsidRPr="002869A1">
        <w:rPr>
          <w:smallCaps/>
          <w:sz w:val="22"/>
          <w:szCs w:val="22"/>
        </w:rPr>
        <w:t xml:space="preserve"> 10.47.02.06</w:t>
      </w:r>
      <w:r w:rsidRPr="002869A1">
        <w:rPr>
          <w:sz w:val="22"/>
          <w:szCs w:val="22"/>
        </w:rPr>
        <w:t>.  If a patient who qualifies for a Level III.1 program has a disability, then any patient requiring a higher level of care also has a disability.  Thus, this analysis will address individuals requiring care at a Level III.1 facility.</w:t>
      </w:r>
    </w:p>
  </w:footnote>
  <w:footnote w:id="110">
    <w:p w:rsidR="009A3240" w:rsidRPr="00D548BC" w:rsidRDefault="009A3240" w:rsidP="00B76C8F">
      <w:pPr>
        <w:pStyle w:val="FootnoteText"/>
        <w:rPr>
          <w:sz w:val="22"/>
          <w:szCs w:val="22"/>
        </w:rPr>
      </w:pPr>
      <w:r w:rsidRPr="00D548BC">
        <w:rPr>
          <w:rStyle w:val="FootnoteReference"/>
          <w:sz w:val="22"/>
          <w:szCs w:val="22"/>
        </w:rPr>
        <w:footnoteRef/>
      </w:r>
      <w:r w:rsidRPr="00D548BC">
        <w:rPr>
          <w:sz w:val="22"/>
          <w:szCs w:val="22"/>
        </w:rPr>
        <w:t xml:space="preserve"> </w:t>
      </w:r>
      <w:r w:rsidRPr="00D548BC">
        <w:rPr>
          <w:sz w:val="22"/>
          <w:szCs w:val="22"/>
          <w:u w:val="single"/>
        </w:rPr>
        <w:t>ASAM Patient Placement Criteria for the Treatment of Substance-Related Disorders</w:t>
      </w:r>
      <w:r w:rsidRPr="00D548BC">
        <w:rPr>
          <w:sz w:val="22"/>
          <w:szCs w:val="22"/>
        </w:rPr>
        <w:t xml:space="preserve"> 98, 101 (David Mee-Lee et. al. eds., 2d ed. rev., American Soc’y of Addiction Med., Inc. 2001) (hereinafter “ASAM”)</w:t>
      </w:r>
      <w:r>
        <w:rPr>
          <w:sz w:val="22"/>
          <w:szCs w:val="22"/>
        </w:rPr>
        <w:t xml:space="preserve"> (Ex. 82)</w:t>
      </w:r>
      <w:r w:rsidRPr="00D548BC">
        <w:rPr>
          <w:sz w:val="22"/>
          <w:szCs w:val="22"/>
        </w:rPr>
        <w:t xml:space="preserve">.  </w:t>
      </w:r>
    </w:p>
  </w:footnote>
  <w:footnote w:id="111">
    <w:p w:rsidR="009A3240" w:rsidRPr="00D548BC" w:rsidRDefault="009A3240" w:rsidP="00B76C8F">
      <w:pPr>
        <w:pStyle w:val="FootnoteText"/>
        <w:rPr>
          <w:sz w:val="22"/>
          <w:szCs w:val="22"/>
        </w:rPr>
      </w:pPr>
      <w:r w:rsidRPr="00D548BC">
        <w:rPr>
          <w:rStyle w:val="FootnoteReference"/>
          <w:sz w:val="22"/>
          <w:szCs w:val="22"/>
        </w:rPr>
        <w:footnoteRef/>
      </w:r>
      <w:r w:rsidRPr="00D548BC">
        <w:rPr>
          <w:sz w:val="22"/>
          <w:szCs w:val="22"/>
        </w:rPr>
        <w:t xml:space="preserve"> </w:t>
      </w:r>
      <w:r w:rsidRPr="00D548BC">
        <w:rPr>
          <w:sz w:val="22"/>
          <w:szCs w:val="22"/>
          <w:u w:val="single"/>
        </w:rPr>
        <w:t>See</w:t>
      </w:r>
      <w:r w:rsidRPr="00D548BC">
        <w:rPr>
          <w:i/>
          <w:iCs/>
          <w:sz w:val="22"/>
          <w:szCs w:val="22"/>
        </w:rPr>
        <w:t xml:space="preserve"> </w:t>
      </w:r>
      <w:r>
        <w:rPr>
          <w:sz w:val="22"/>
          <w:szCs w:val="22"/>
          <w:u w:val="single"/>
        </w:rPr>
        <w:t>i</w:t>
      </w:r>
      <w:r w:rsidRPr="00420CC1">
        <w:rPr>
          <w:sz w:val="22"/>
          <w:szCs w:val="22"/>
          <w:u w:val="single"/>
        </w:rPr>
        <w:t>d.</w:t>
      </w:r>
      <w:r>
        <w:rPr>
          <w:sz w:val="22"/>
          <w:szCs w:val="22"/>
        </w:rPr>
        <w:t xml:space="preserve"> at 116-</w:t>
      </w:r>
      <w:r w:rsidRPr="00D548BC">
        <w:rPr>
          <w:sz w:val="22"/>
          <w:szCs w:val="22"/>
        </w:rPr>
        <w:t xml:space="preserve">26.  </w:t>
      </w:r>
    </w:p>
  </w:footnote>
  <w:footnote w:id="112">
    <w:p w:rsidR="009A3240" w:rsidRPr="00D548BC" w:rsidRDefault="009A3240" w:rsidP="00B76C8F">
      <w:pPr>
        <w:pStyle w:val="FootnoteText"/>
        <w:rPr>
          <w:sz w:val="22"/>
          <w:szCs w:val="22"/>
        </w:rPr>
      </w:pPr>
      <w:r w:rsidRPr="00D548BC">
        <w:rPr>
          <w:rStyle w:val="FootnoteReference"/>
          <w:sz w:val="22"/>
          <w:szCs w:val="22"/>
        </w:rPr>
        <w:footnoteRef/>
      </w:r>
      <w:r w:rsidRPr="00D548BC">
        <w:rPr>
          <w:sz w:val="22"/>
          <w:szCs w:val="22"/>
        </w:rPr>
        <w:t xml:space="preserve"> </w:t>
      </w:r>
      <w:r w:rsidR="00377A22" w:rsidRPr="00D548BC">
        <w:rPr>
          <w:sz w:val="22"/>
          <w:szCs w:val="22"/>
        </w:rPr>
        <w:fldChar w:fldCharType="begin"/>
      </w:r>
      <w:r w:rsidRPr="00D548BC">
        <w:rPr>
          <w:sz w:val="22"/>
          <w:szCs w:val="22"/>
        </w:rPr>
        <w:instrText xml:space="preserve"> TA \l "" \s "WSFTA_11507fe163cf494f99a759d9f1f42f7c" \c 12 </w:instrText>
      </w:r>
      <w:r w:rsidR="00377A22" w:rsidRPr="00D548BC">
        <w:rPr>
          <w:sz w:val="22"/>
          <w:szCs w:val="22"/>
        </w:rPr>
        <w:fldChar w:fldCharType="end"/>
      </w:r>
      <w:r w:rsidRPr="00D548BC">
        <w:rPr>
          <w:sz w:val="22"/>
          <w:szCs w:val="22"/>
        </w:rPr>
        <w:t xml:space="preserve">COMAR 10.47.02.06(B)(2).  </w:t>
      </w:r>
    </w:p>
  </w:footnote>
  <w:footnote w:id="113">
    <w:p w:rsidR="009A3240" w:rsidRPr="00D548BC" w:rsidRDefault="009A3240" w:rsidP="00B76C8F">
      <w:pPr>
        <w:pStyle w:val="FootnoteText"/>
        <w:rPr>
          <w:sz w:val="22"/>
          <w:szCs w:val="22"/>
        </w:rPr>
      </w:pPr>
      <w:r w:rsidRPr="00D548BC">
        <w:rPr>
          <w:rStyle w:val="FootnoteReference"/>
          <w:sz w:val="22"/>
          <w:szCs w:val="22"/>
        </w:rPr>
        <w:footnoteRef/>
      </w:r>
      <w:r w:rsidRPr="00D548BC">
        <w:rPr>
          <w:sz w:val="22"/>
          <w:szCs w:val="22"/>
        </w:rPr>
        <w:t xml:space="preserve"> </w:t>
      </w:r>
      <w:r w:rsidR="00377A22" w:rsidRPr="00D548BC">
        <w:rPr>
          <w:sz w:val="22"/>
          <w:szCs w:val="22"/>
        </w:rPr>
        <w:fldChar w:fldCharType="begin"/>
      </w:r>
      <w:r w:rsidRPr="00D548BC">
        <w:rPr>
          <w:sz w:val="22"/>
          <w:szCs w:val="22"/>
        </w:rPr>
        <w:instrText xml:space="preserve"> TA \l "" \s "WSFTA_4f4869f8bd124f60b869b7a83265a725" \c 6 </w:instrText>
      </w:r>
      <w:r w:rsidR="00377A22" w:rsidRPr="00D548BC">
        <w:rPr>
          <w:sz w:val="22"/>
          <w:szCs w:val="22"/>
        </w:rPr>
        <w:fldChar w:fldCharType="end"/>
      </w:r>
      <w:r w:rsidRPr="00D548BC">
        <w:rPr>
          <w:sz w:val="22"/>
          <w:szCs w:val="22"/>
        </w:rPr>
        <w:t xml:space="preserve">42 U.S.C. § 12102.  </w:t>
      </w:r>
    </w:p>
  </w:footnote>
  <w:footnote w:id="114">
    <w:p w:rsidR="009A3240" w:rsidRPr="00D548BC" w:rsidRDefault="009A3240" w:rsidP="00B76C8F">
      <w:pPr>
        <w:pStyle w:val="FootnoteText"/>
        <w:rPr>
          <w:sz w:val="22"/>
          <w:szCs w:val="22"/>
        </w:rPr>
      </w:pPr>
      <w:r w:rsidRPr="00D548BC">
        <w:rPr>
          <w:rStyle w:val="FootnoteReference"/>
          <w:sz w:val="22"/>
          <w:szCs w:val="22"/>
        </w:rPr>
        <w:footnoteRef/>
      </w:r>
      <w:r w:rsidRPr="00D548BC">
        <w:rPr>
          <w:sz w:val="22"/>
          <w:szCs w:val="22"/>
        </w:rPr>
        <w:t xml:space="preserve"> </w:t>
      </w:r>
      <w:r w:rsidRPr="00D548BC">
        <w:rPr>
          <w:sz w:val="22"/>
          <w:szCs w:val="22"/>
          <w:u w:val="single"/>
        </w:rPr>
        <w:t>Id.</w:t>
      </w:r>
      <w:r>
        <w:rPr>
          <w:sz w:val="22"/>
          <w:szCs w:val="22"/>
        </w:rPr>
        <w:t xml:space="preserve">  </w:t>
      </w:r>
      <w:r w:rsidRPr="00D548BC">
        <w:rPr>
          <w:sz w:val="22"/>
          <w:szCs w:val="22"/>
        </w:rPr>
        <w:t xml:space="preserve">Effective January 1, 2009, the ADA Amendments Act revised the ADA to restore congressional intent to protect a broad class of persons under the ADA.  </w:t>
      </w:r>
      <w:r w:rsidRPr="00D548BC">
        <w:rPr>
          <w:sz w:val="22"/>
          <w:szCs w:val="22"/>
          <w:u w:val="single"/>
        </w:rPr>
        <w:t>See</w:t>
      </w:r>
      <w:r w:rsidRPr="00D548BC">
        <w:rPr>
          <w:sz w:val="22"/>
          <w:szCs w:val="22"/>
        </w:rPr>
        <w:t xml:space="preserve"> Pub. L. No. 110-325 (Sept. 25, 2008).  The United States seeks damages for individuals harmed by the City’s discrimination both before and after January 2009.  Because the amended ADA is broader than the 1990 statute, by establishing that individuals seeking residential treatment for their substance abuse addictions have a disability under the ADA, it is also established that they are disabled under the more expansive ADA, as amended.  Consequently, this memorandum analyzes disability coverage under the </w:t>
      </w:r>
      <w:r>
        <w:rPr>
          <w:sz w:val="22"/>
          <w:szCs w:val="22"/>
        </w:rPr>
        <w:t xml:space="preserve">original </w:t>
      </w:r>
      <w:r w:rsidRPr="00D548BC">
        <w:rPr>
          <w:sz w:val="22"/>
          <w:szCs w:val="22"/>
        </w:rPr>
        <w:t>1990 ADA.</w:t>
      </w:r>
    </w:p>
  </w:footnote>
  <w:footnote w:id="115">
    <w:p w:rsidR="009A3240" w:rsidRPr="00D548BC" w:rsidRDefault="009A3240" w:rsidP="00B76C8F">
      <w:pPr>
        <w:pStyle w:val="FootnoteText"/>
        <w:rPr>
          <w:sz w:val="22"/>
          <w:szCs w:val="22"/>
        </w:rPr>
      </w:pPr>
      <w:r w:rsidRPr="00D548BC">
        <w:rPr>
          <w:rStyle w:val="FootnoteReference"/>
          <w:sz w:val="22"/>
          <w:szCs w:val="22"/>
        </w:rPr>
        <w:footnoteRef/>
      </w:r>
      <w:r w:rsidRPr="00D548BC">
        <w:rPr>
          <w:sz w:val="22"/>
          <w:szCs w:val="22"/>
        </w:rPr>
        <w:t xml:space="preserve"> </w:t>
      </w:r>
      <w:r w:rsidR="00377A22" w:rsidRPr="00D548BC">
        <w:rPr>
          <w:sz w:val="22"/>
          <w:szCs w:val="22"/>
        </w:rPr>
        <w:fldChar w:fldCharType="begin"/>
      </w:r>
      <w:r w:rsidRPr="00D548BC">
        <w:rPr>
          <w:sz w:val="22"/>
          <w:szCs w:val="22"/>
        </w:rPr>
        <w:instrText xml:space="preserve"> TA \l "" \s "WSFTA_6d6930dbf2044ae687e02df2001a8bde" \c 12 </w:instrText>
      </w:r>
      <w:r w:rsidR="00377A22" w:rsidRPr="00D548BC">
        <w:rPr>
          <w:sz w:val="22"/>
          <w:szCs w:val="22"/>
        </w:rPr>
        <w:fldChar w:fldCharType="end"/>
      </w:r>
      <w:r w:rsidRPr="00D548BC">
        <w:rPr>
          <w:sz w:val="22"/>
          <w:szCs w:val="22"/>
        </w:rPr>
        <w:t xml:space="preserve">28 C.F.R. § 35.104; </w:t>
      </w:r>
      <w:r w:rsidRPr="00D548BC">
        <w:rPr>
          <w:sz w:val="22"/>
          <w:szCs w:val="22"/>
          <w:u w:val="single"/>
        </w:rPr>
        <w:t>see also</w:t>
      </w:r>
      <w:r w:rsidRPr="00D548BC">
        <w:rPr>
          <w:sz w:val="22"/>
          <w:szCs w:val="22"/>
        </w:rPr>
        <w:t xml:space="preserve"> </w:t>
      </w:r>
      <w:r w:rsidR="00377A22" w:rsidRPr="00D548BC">
        <w:rPr>
          <w:sz w:val="22"/>
          <w:szCs w:val="22"/>
        </w:rPr>
        <w:fldChar w:fldCharType="begin"/>
      </w:r>
      <w:r w:rsidRPr="00D548BC">
        <w:rPr>
          <w:sz w:val="22"/>
          <w:szCs w:val="22"/>
        </w:rPr>
        <w:instrText xml:space="preserve"> TA \l "</w:instrText>
      </w:r>
      <w:r w:rsidRPr="00D548BC">
        <w:rPr>
          <w:sz w:val="22"/>
          <w:szCs w:val="22"/>
          <w:u w:val="single"/>
        </w:rPr>
        <w:instrText>A Helping Hand, LLC v. Baltimore Cnty., Md.</w:instrText>
      </w:r>
      <w:r w:rsidRPr="00D548BC">
        <w:rPr>
          <w:sz w:val="22"/>
          <w:szCs w:val="22"/>
        </w:rPr>
        <w:instrText>,</w:instrText>
      </w:r>
      <w:r w:rsidRPr="00D548BC">
        <w:rPr>
          <w:sz w:val="22"/>
          <w:szCs w:val="22"/>
        </w:rPr>
        <w:br/>
        <w:instrText xml:space="preserve">515 F.3d 356 (4th Cir. 2008)" \s "WSFTA_de8d8d3112384e9697950ab06edf1680" \c 3 </w:instrText>
      </w:r>
      <w:r w:rsidR="00377A22" w:rsidRPr="00D548BC">
        <w:rPr>
          <w:sz w:val="22"/>
          <w:szCs w:val="22"/>
        </w:rPr>
        <w:fldChar w:fldCharType="end"/>
      </w:r>
      <w:r w:rsidRPr="00D548BC">
        <w:rPr>
          <w:sz w:val="22"/>
          <w:szCs w:val="22"/>
          <w:u w:val="single"/>
        </w:rPr>
        <w:t>A Helping H</w:t>
      </w:r>
      <w:r>
        <w:rPr>
          <w:sz w:val="22"/>
          <w:szCs w:val="22"/>
          <w:u w:val="single"/>
        </w:rPr>
        <w:t>and, L.L.C. v. Baltimore Cnty.</w:t>
      </w:r>
      <w:r w:rsidRPr="00D548BC">
        <w:rPr>
          <w:sz w:val="22"/>
          <w:szCs w:val="22"/>
        </w:rPr>
        <w:t>, 515 F.3d 356, 367 (4th Cir. 2008) (“Unquestionably, drug addiction constitutes an impairment under the ADA.”).</w:t>
      </w:r>
    </w:p>
  </w:footnote>
  <w:footnote w:id="116">
    <w:p w:rsidR="009A3240" w:rsidRPr="00D548BC" w:rsidRDefault="009A3240" w:rsidP="00B76C8F">
      <w:pPr>
        <w:pStyle w:val="FootnoteText"/>
        <w:rPr>
          <w:sz w:val="22"/>
          <w:szCs w:val="22"/>
        </w:rPr>
      </w:pPr>
      <w:r w:rsidRPr="00D548BC">
        <w:rPr>
          <w:rStyle w:val="FootnoteReference"/>
          <w:sz w:val="22"/>
          <w:szCs w:val="22"/>
        </w:rPr>
        <w:footnoteRef/>
      </w:r>
      <w:r w:rsidRPr="00D548BC">
        <w:rPr>
          <w:sz w:val="22"/>
          <w:szCs w:val="22"/>
        </w:rPr>
        <w:t xml:space="preserve"> </w:t>
      </w:r>
      <w:r w:rsidR="00377A22" w:rsidRPr="00D548BC">
        <w:rPr>
          <w:sz w:val="22"/>
          <w:szCs w:val="22"/>
        </w:rPr>
        <w:fldChar w:fldCharType="begin"/>
      </w:r>
      <w:r w:rsidRPr="00D548BC">
        <w:rPr>
          <w:sz w:val="22"/>
          <w:szCs w:val="22"/>
        </w:rPr>
        <w:instrText xml:space="preserve"> TA \l "" \s "WSFTA_ca868d52afc646c5b2d767a2577cbab9" \c 3 </w:instrText>
      </w:r>
      <w:r w:rsidR="00377A22" w:rsidRPr="00D548BC">
        <w:rPr>
          <w:sz w:val="22"/>
          <w:szCs w:val="22"/>
        </w:rPr>
        <w:fldChar w:fldCharType="end"/>
      </w:r>
      <w:r w:rsidRPr="00D548BC">
        <w:rPr>
          <w:sz w:val="22"/>
          <w:szCs w:val="22"/>
          <w:u w:val="single"/>
        </w:rPr>
        <w:t>MX Group</w:t>
      </w:r>
      <w:r w:rsidRPr="00D548BC">
        <w:rPr>
          <w:sz w:val="22"/>
          <w:szCs w:val="22"/>
        </w:rPr>
        <w:t xml:space="preserve">, 293 F.3d at 338-39; </w:t>
      </w:r>
      <w:r w:rsidRPr="00D548BC">
        <w:rPr>
          <w:sz w:val="22"/>
          <w:szCs w:val="22"/>
          <w:u w:val="single"/>
        </w:rPr>
        <w:t>RECAP</w:t>
      </w:r>
      <w:r w:rsidRPr="00D548BC">
        <w:rPr>
          <w:sz w:val="22"/>
          <w:szCs w:val="22"/>
        </w:rPr>
        <w:t xml:space="preserve">, </w:t>
      </w:r>
      <w:r w:rsidR="00377A22" w:rsidRPr="00D548BC">
        <w:rPr>
          <w:sz w:val="22"/>
          <w:szCs w:val="22"/>
        </w:rPr>
        <w:fldChar w:fldCharType="begin"/>
      </w:r>
      <w:r w:rsidRPr="00D548BC">
        <w:rPr>
          <w:sz w:val="22"/>
          <w:szCs w:val="22"/>
        </w:rPr>
        <w:instrText xml:space="preserve"> TA \l "" \s "WSFTA_d7686192b63b4361bb95207999d1c520" \c 3 </w:instrText>
      </w:r>
      <w:r w:rsidR="00377A22" w:rsidRPr="00D548BC">
        <w:rPr>
          <w:sz w:val="22"/>
          <w:szCs w:val="22"/>
        </w:rPr>
        <w:fldChar w:fldCharType="end"/>
      </w:r>
      <w:r w:rsidRPr="00D548BC">
        <w:rPr>
          <w:sz w:val="22"/>
          <w:szCs w:val="22"/>
        </w:rPr>
        <w:t xml:space="preserve">294 F.3d at 48; </w:t>
      </w:r>
      <w:r w:rsidRPr="00D548BC">
        <w:rPr>
          <w:sz w:val="22"/>
          <w:szCs w:val="22"/>
          <w:u w:val="single"/>
        </w:rPr>
        <w:t>see also</w:t>
      </w:r>
      <w:r w:rsidRPr="00D548BC">
        <w:rPr>
          <w:sz w:val="22"/>
          <w:szCs w:val="22"/>
        </w:rPr>
        <w:t xml:space="preserve"> </w:t>
      </w:r>
      <w:r w:rsidR="00377A22" w:rsidRPr="00D548BC">
        <w:rPr>
          <w:sz w:val="22"/>
          <w:szCs w:val="22"/>
        </w:rPr>
        <w:fldChar w:fldCharType="begin"/>
      </w:r>
      <w:r w:rsidRPr="00D548BC">
        <w:rPr>
          <w:sz w:val="22"/>
          <w:szCs w:val="22"/>
        </w:rPr>
        <w:instrText xml:space="preserve"> TA \l "</w:instrText>
      </w:r>
      <w:r w:rsidRPr="00D548BC">
        <w:rPr>
          <w:sz w:val="22"/>
          <w:szCs w:val="22"/>
          <w:u w:val="single"/>
        </w:rPr>
        <w:instrText>Gillen v. Fallon Ambulance Serv.</w:instrText>
      </w:r>
      <w:r w:rsidRPr="00D548BC">
        <w:rPr>
          <w:sz w:val="22"/>
          <w:szCs w:val="22"/>
        </w:rPr>
        <w:instrText>,</w:instrText>
      </w:r>
      <w:r w:rsidRPr="00D548BC">
        <w:rPr>
          <w:sz w:val="22"/>
          <w:szCs w:val="22"/>
        </w:rPr>
        <w:br/>
        <w:instrText xml:space="preserve">283 F.3d 11 (1st Cir. 2002)" \s "WSFTA_9f26bff56f704b9ca19858257b441e49" \c 3 </w:instrText>
      </w:r>
      <w:r w:rsidR="00377A22" w:rsidRPr="00D548BC">
        <w:rPr>
          <w:sz w:val="22"/>
          <w:szCs w:val="22"/>
        </w:rPr>
        <w:fldChar w:fldCharType="end"/>
      </w:r>
      <w:r w:rsidRPr="00D548BC">
        <w:rPr>
          <w:sz w:val="22"/>
          <w:szCs w:val="22"/>
          <w:u w:val="single"/>
        </w:rPr>
        <w:t>Gillen v. Fallon Ambulance Serv.</w:t>
      </w:r>
      <w:r w:rsidRPr="00D548BC">
        <w:rPr>
          <w:sz w:val="22"/>
          <w:szCs w:val="22"/>
        </w:rPr>
        <w:t>, 283 F.3d 11, 22 (1st Cir. 2002) (“[W]hen an impairment results in significant limitations, that impairment is substantially limiting….”).</w:t>
      </w:r>
    </w:p>
  </w:footnote>
  <w:footnote w:id="117">
    <w:p w:rsidR="009A3240" w:rsidRPr="00366BA7" w:rsidRDefault="009A3240" w:rsidP="00B76C8F">
      <w:pPr>
        <w:pStyle w:val="FootnoteText"/>
        <w:rPr>
          <w:sz w:val="22"/>
          <w:szCs w:val="22"/>
        </w:rPr>
      </w:pPr>
      <w:r w:rsidRPr="00366BA7">
        <w:rPr>
          <w:rStyle w:val="FootnoteReference"/>
          <w:sz w:val="22"/>
          <w:szCs w:val="22"/>
        </w:rPr>
        <w:footnoteRef/>
      </w:r>
      <w:r w:rsidRPr="00366BA7">
        <w:rPr>
          <w:sz w:val="22"/>
          <w:szCs w:val="22"/>
        </w:rPr>
        <w:t xml:space="preserve"> </w:t>
      </w:r>
      <w:r w:rsidR="00377A22" w:rsidRPr="00366BA7">
        <w:rPr>
          <w:sz w:val="22"/>
          <w:szCs w:val="22"/>
        </w:rPr>
        <w:fldChar w:fldCharType="begin"/>
      </w:r>
      <w:r w:rsidRPr="00366BA7">
        <w:rPr>
          <w:sz w:val="22"/>
          <w:szCs w:val="22"/>
        </w:rPr>
        <w:instrText xml:space="preserve"> TA \l "" \s "WSFTA_6d6930dbf2044ae687e02df2001a8bde" \c 12 </w:instrText>
      </w:r>
      <w:r w:rsidR="00377A22" w:rsidRPr="00366BA7">
        <w:rPr>
          <w:sz w:val="22"/>
          <w:szCs w:val="22"/>
        </w:rPr>
        <w:fldChar w:fldCharType="end"/>
      </w:r>
      <w:r w:rsidRPr="00366BA7">
        <w:rPr>
          <w:sz w:val="22"/>
          <w:szCs w:val="22"/>
        </w:rPr>
        <w:t>28 C.F.R. §</w:t>
      </w:r>
      <w:r>
        <w:rPr>
          <w:sz w:val="22"/>
          <w:szCs w:val="22"/>
        </w:rPr>
        <w:t xml:space="preserve"> </w:t>
      </w:r>
      <w:r w:rsidRPr="00366BA7">
        <w:rPr>
          <w:sz w:val="22"/>
          <w:szCs w:val="22"/>
        </w:rPr>
        <w:t xml:space="preserve">35.104.  </w:t>
      </w:r>
    </w:p>
  </w:footnote>
  <w:footnote w:id="118">
    <w:p w:rsidR="009A3240" w:rsidRPr="00366BA7" w:rsidRDefault="009A3240" w:rsidP="00B76C8F">
      <w:pPr>
        <w:pStyle w:val="FootnoteText"/>
        <w:rPr>
          <w:sz w:val="22"/>
          <w:szCs w:val="22"/>
        </w:rPr>
      </w:pPr>
      <w:r w:rsidRPr="00366BA7">
        <w:rPr>
          <w:rStyle w:val="FootnoteReference"/>
          <w:sz w:val="22"/>
          <w:szCs w:val="22"/>
        </w:rPr>
        <w:footnoteRef/>
      </w:r>
      <w:r w:rsidRPr="00366BA7">
        <w:rPr>
          <w:sz w:val="22"/>
          <w:szCs w:val="22"/>
        </w:rPr>
        <w:t xml:space="preserve"> </w:t>
      </w:r>
      <w:r w:rsidR="00377A22" w:rsidRPr="00366BA7">
        <w:rPr>
          <w:sz w:val="22"/>
          <w:szCs w:val="22"/>
        </w:rPr>
        <w:fldChar w:fldCharType="begin"/>
      </w:r>
      <w:r w:rsidRPr="00366BA7">
        <w:rPr>
          <w:sz w:val="22"/>
          <w:szCs w:val="22"/>
        </w:rPr>
        <w:instrText xml:space="preserve"> TA \l "" \s "WSFTA_de8d8d3112384e9697950ab06edf1680" \c 3 </w:instrText>
      </w:r>
      <w:r w:rsidR="00377A22" w:rsidRPr="00366BA7">
        <w:rPr>
          <w:sz w:val="22"/>
          <w:szCs w:val="22"/>
        </w:rPr>
        <w:fldChar w:fldCharType="end"/>
      </w:r>
      <w:r w:rsidRPr="00366BA7">
        <w:rPr>
          <w:sz w:val="22"/>
          <w:szCs w:val="22"/>
          <w:u w:val="single"/>
        </w:rPr>
        <w:t>A Helping Hand, L</w:t>
      </w:r>
      <w:r>
        <w:rPr>
          <w:sz w:val="22"/>
          <w:szCs w:val="22"/>
          <w:u w:val="single"/>
        </w:rPr>
        <w:t>.</w:t>
      </w:r>
      <w:r w:rsidRPr="00366BA7">
        <w:rPr>
          <w:sz w:val="22"/>
          <w:szCs w:val="22"/>
          <w:u w:val="single"/>
        </w:rPr>
        <w:t>L</w:t>
      </w:r>
      <w:r>
        <w:rPr>
          <w:sz w:val="22"/>
          <w:szCs w:val="22"/>
          <w:u w:val="single"/>
        </w:rPr>
        <w:t>.</w:t>
      </w:r>
      <w:r w:rsidRPr="00366BA7">
        <w:rPr>
          <w:sz w:val="22"/>
          <w:szCs w:val="22"/>
          <w:u w:val="single"/>
        </w:rPr>
        <w:t>C</w:t>
      </w:r>
      <w:r>
        <w:rPr>
          <w:sz w:val="22"/>
          <w:szCs w:val="22"/>
          <w:u w:val="single"/>
        </w:rPr>
        <w:t>.</w:t>
      </w:r>
      <w:r w:rsidRPr="00366BA7">
        <w:rPr>
          <w:sz w:val="22"/>
          <w:szCs w:val="22"/>
        </w:rPr>
        <w:t xml:space="preserve">, 515 F.3d at 367-68; </w:t>
      </w:r>
      <w:r w:rsidRPr="00366BA7">
        <w:rPr>
          <w:sz w:val="22"/>
          <w:szCs w:val="22"/>
          <w:u w:val="single"/>
        </w:rPr>
        <w:t>see also</w:t>
      </w:r>
      <w:r w:rsidRPr="00366BA7">
        <w:rPr>
          <w:sz w:val="22"/>
          <w:szCs w:val="22"/>
        </w:rPr>
        <w:t xml:space="preserve"> </w:t>
      </w:r>
      <w:r w:rsidR="00377A22" w:rsidRPr="00366BA7">
        <w:rPr>
          <w:sz w:val="22"/>
          <w:szCs w:val="22"/>
        </w:rPr>
        <w:fldChar w:fldCharType="begin"/>
      </w:r>
      <w:r w:rsidRPr="00366BA7">
        <w:rPr>
          <w:sz w:val="22"/>
          <w:szCs w:val="22"/>
        </w:rPr>
        <w:instrText xml:space="preserve"> TA \l "" \s "WSFTA_afd46f4fde354bb0a4ead1900e1f40e1" \c 3 </w:instrText>
      </w:r>
      <w:r w:rsidR="00377A22" w:rsidRPr="00366BA7">
        <w:rPr>
          <w:sz w:val="22"/>
          <w:szCs w:val="22"/>
        </w:rPr>
        <w:fldChar w:fldCharType="end"/>
      </w:r>
      <w:r w:rsidRPr="00366BA7">
        <w:rPr>
          <w:sz w:val="22"/>
          <w:szCs w:val="22"/>
          <w:u w:val="single"/>
        </w:rPr>
        <w:t>Start, Inc.</w:t>
      </w:r>
      <w:r w:rsidRPr="00366BA7">
        <w:rPr>
          <w:sz w:val="22"/>
          <w:szCs w:val="22"/>
        </w:rPr>
        <w:t xml:space="preserve">, 295 F. Supp. 2d at 577 (recognizing working, raising children, caring for oneself, and functioning in everyday life as major life activities, in a case involving zoning of a drug treatment facility).  </w:t>
      </w:r>
    </w:p>
  </w:footnote>
  <w:footnote w:id="119">
    <w:p w:rsidR="009A3240" w:rsidRPr="00366BA7" w:rsidRDefault="009A3240" w:rsidP="00B76C8F">
      <w:pPr>
        <w:pStyle w:val="FootnoteText"/>
        <w:rPr>
          <w:sz w:val="22"/>
          <w:szCs w:val="22"/>
        </w:rPr>
      </w:pPr>
      <w:r w:rsidRPr="00366BA7">
        <w:rPr>
          <w:rStyle w:val="FootnoteReference"/>
          <w:sz w:val="22"/>
          <w:szCs w:val="22"/>
        </w:rPr>
        <w:footnoteRef/>
      </w:r>
      <w:r w:rsidRPr="00366BA7">
        <w:rPr>
          <w:sz w:val="22"/>
          <w:szCs w:val="22"/>
        </w:rPr>
        <w:t xml:space="preserve"> </w:t>
      </w:r>
      <w:r w:rsidRPr="00366BA7">
        <w:rPr>
          <w:iCs/>
          <w:sz w:val="22"/>
          <w:szCs w:val="22"/>
          <w:u w:val="single"/>
        </w:rPr>
        <w:t>RECAP</w:t>
      </w:r>
      <w:r w:rsidRPr="00366BA7">
        <w:rPr>
          <w:sz w:val="22"/>
          <w:szCs w:val="22"/>
        </w:rPr>
        <w:t xml:space="preserve">, </w:t>
      </w:r>
      <w:r w:rsidR="00377A22" w:rsidRPr="00366BA7">
        <w:rPr>
          <w:sz w:val="22"/>
          <w:szCs w:val="22"/>
        </w:rPr>
        <w:fldChar w:fldCharType="begin"/>
      </w:r>
      <w:r w:rsidRPr="00366BA7">
        <w:rPr>
          <w:sz w:val="22"/>
          <w:szCs w:val="22"/>
        </w:rPr>
        <w:instrText xml:space="preserve"> TA \l "" \s "WSFTA_d7686192b63b4361bb95207999d1c520" \c 3 </w:instrText>
      </w:r>
      <w:r w:rsidR="00377A22" w:rsidRPr="00366BA7">
        <w:rPr>
          <w:sz w:val="22"/>
          <w:szCs w:val="22"/>
        </w:rPr>
        <w:fldChar w:fldCharType="end"/>
      </w:r>
      <w:r w:rsidRPr="00366BA7">
        <w:rPr>
          <w:sz w:val="22"/>
          <w:szCs w:val="22"/>
        </w:rPr>
        <w:t>294 F.3d at 47 (internal quotations and citations omitted).</w:t>
      </w:r>
    </w:p>
  </w:footnote>
  <w:footnote w:id="120">
    <w:p w:rsidR="009A3240" w:rsidRPr="00366BA7" w:rsidRDefault="009A3240" w:rsidP="00B76C8F">
      <w:pPr>
        <w:pStyle w:val="FootnoteText"/>
        <w:rPr>
          <w:sz w:val="22"/>
          <w:szCs w:val="22"/>
        </w:rPr>
      </w:pPr>
      <w:r w:rsidRPr="00366BA7">
        <w:rPr>
          <w:rStyle w:val="FootnoteReference"/>
          <w:sz w:val="22"/>
          <w:szCs w:val="22"/>
        </w:rPr>
        <w:footnoteRef/>
      </w:r>
      <w:r w:rsidRPr="00366BA7">
        <w:rPr>
          <w:sz w:val="22"/>
          <w:szCs w:val="22"/>
        </w:rPr>
        <w:t xml:space="preserve"> </w:t>
      </w:r>
      <w:r w:rsidRPr="00366BA7">
        <w:rPr>
          <w:sz w:val="22"/>
          <w:szCs w:val="22"/>
          <w:u w:val="single"/>
        </w:rPr>
        <w:t xml:space="preserve">See, e.g., </w:t>
      </w:r>
      <w:r w:rsidR="00377A22" w:rsidRPr="00366BA7">
        <w:rPr>
          <w:sz w:val="22"/>
          <w:szCs w:val="22"/>
          <w:u w:val="single"/>
        </w:rPr>
        <w:fldChar w:fldCharType="begin"/>
      </w:r>
      <w:r w:rsidRPr="00366BA7">
        <w:rPr>
          <w:sz w:val="22"/>
          <w:szCs w:val="22"/>
        </w:rPr>
        <w:instrText xml:space="preserve"> TA \l "" \s "WSFTA_ca868d52afc646c5b2d767a2577cbab9" \c 3 </w:instrText>
      </w:r>
      <w:r w:rsidR="00377A22" w:rsidRPr="00366BA7">
        <w:rPr>
          <w:sz w:val="22"/>
          <w:szCs w:val="22"/>
          <w:u w:val="single"/>
        </w:rPr>
        <w:fldChar w:fldCharType="end"/>
      </w:r>
      <w:r w:rsidRPr="00366BA7">
        <w:rPr>
          <w:sz w:val="22"/>
          <w:szCs w:val="22"/>
          <w:u w:val="single"/>
        </w:rPr>
        <w:t>MX Group</w:t>
      </w:r>
      <w:r w:rsidRPr="00366BA7">
        <w:rPr>
          <w:sz w:val="22"/>
          <w:szCs w:val="22"/>
        </w:rPr>
        <w:t xml:space="preserve">, 293 F.3d at 337 (methadone users recovering from heroin addiction have a disability since they are substantially limited in the major life activities of employability, functioning socially, and parenting); </w:t>
      </w:r>
      <w:r w:rsidRPr="00366BA7">
        <w:rPr>
          <w:sz w:val="22"/>
          <w:szCs w:val="22"/>
          <w:u w:val="single"/>
        </w:rPr>
        <w:t>RECAP</w:t>
      </w:r>
      <w:r w:rsidRPr="00366BA7">
        <w:rPr>
          <w:sz w:val="22"/>
          <w:szCs w:val="22"/>
        </w:rPr>
        <w:t xml:space="preserve">, </w:t>
      </w:r>
      <w:r w:rsidR="00377A22" w:rsidRPr="00366BA7">
        <w:rPr>
          <w:sz w:val="22"/>
          <w:szCs w:val="22"/>
        </w:rPr>
        <w:fldChar w:fldCharType="begin"/>
      </w:r>
      <w:r w:rsidRPr="00366BA7">
        <w:rPr>
          <w:sz w:val="22"/>
          <w:szCs w:val="22"/>
        </w:rPr>
        <w:instrText xml:space="preserve"> TA \l "" \s "WSFTA_d7686192b63b4361bb95207999d1c520" \c 3 </w:instrText>
      </w:r>
      <w:r w:rsidR="00377A22" w:rsidRPr="00366BA7">
        <w:rPr>
          <w:sz w:val="22"/>
          <w:szCs w:val="22"/>
        </w:rPr>
        <w:fldChar w:fldCharType="end"/>
      </w:r>
      <w:r w:rsidRPr="00366BA7">
        <w:rPr>
          <w:sz w:val="22"/>
          <w:szCs w:val="22"/>
        </w:rPr>
        <w:t xml:space="preserve">294 F.3d at 47 (individuals with alcoholism are substantially limited in their ability to live independently and with their families); </w:t>
      </w:r>
      <w:r w:rsidRPr="00366BA7">
        <w:rPr>
          <w:sz w:val="22"/>
          <w:szCs w:val="22"/>
          <w:u w:val="single"/>
        </w:rPr>
        <w:t xml:space="preserve">see also </w:t>
      </w:r>
      <w:r w:rsidR="00377A22" w:rsidRPr="00366BA7">
        <w:rPr>
          <w:sz w:val="22"/>
          <w:szCs w:val="22"/>
          <w:u w:val="single"/>
        </w:rPr>
        <w:fldChar w:fldCharType="begin"/>
      </w:r>
      <w:r w:rsidRPr="00366BA7">
        <w:rPr>
          <w:sz w:val="22"/>
          <w:szCs w:val="22"/>
        </w:rPr>
        <w:instrText xml:space="preserve"> TA \l "</w:instrText>
      </w:r>
      <w:r w:rsidRPr="00366BA7">
        <w:rPr>
          <w:sz w:val="22"/>
          <w:szCs w:val="22"/>
          <w:u w:val="single"/>
        </w:rPr>
        <w:instrText>United States v. Borough of Audubon, NJ</w:instrText>
      </w:r>
      <w:r w:rsidRPr="00366BA7">
        <w:rPr>
          <w:sz w:val="22"/>
          <w:szCs w:val="22"/>
        </w:rPr>
        <w:instrText>,</w:instrText>
      </w:r>
      <w:r w:rsidRPr="00366BA7">
        <w:rPr>
          <w:sz w:val="22"/>
          <w:szCs w:val="22"/>
        </w:rPr>
        <w:br/>
        <w:instrText xml:space="preserve">797 F.Supp. 353 (D.N.J. 1991)" \s "WSFTA_ab71ffef41474dd39c478b807e6ec0f7" \c 3 </w:instrText>
      </w:r>
      <w:r w:rsidR="00377A22" w:rsidRPr="00366BA7">
        <w:rPr>
          <w:sz w:val="22"/>
          <w:szCs w:val="22"/>
          <w:u w:val="single"/>
        </w:rPr>
        <w:fldChar w:fldCharType="end"/>
      </w:r>
      <w:r w:rsidRPr="00366BA7">
        <w:rPr>
          <w:sz w:val="22"/>
          <w:szCs w:val="22"/>
          <w:u w:val="single"/>
        </w:rPr>
        <w:t xml:space="preserve">United </w:t>
      </w:r>
      <w:r>
        <w:rPr>
          <w:sz w:val="22"/>
          <w:szCs w:val="22"/>
          <w:u w:val="single"/>
        </w:rPr>
        <w:t>States v. Borough of Audubon,</w:t>
      </w:r>
      <w:r w:rsidRPr="00366BA7">
        <w:rPr>
          <w:sz w:val="22"/>
          <w:szCs w:val="22"/>
        </w:rPr>
        <w:t xml:space="preserve"> 797 F. Supp. 353, 359 (D.N.J. 1991) (recovering addicts are handicapped under the Fair Housing Act since they are substantially limited in their ability to live independently and with their families, which constituted a substantial limitation on their ability to care for themselves); </w:t>
      </w:r>
      <w:r w:rsidRPr="00366BA7">
        <w:rPr>
          <w:sz w:val="22"/>
          <w:szCs w:val="22"/>
          <w:u w:val="single"/>
        </w:rPr>
        <w:t xml:space="preserve">Human Res. </w:t>
      </w:r>
      <w:r w:rsidR="00377A22" w:rsidRPr="00366BA7">
        <w:rPr>
          <w:sz w:val="22"/>
          <w:szCs w:val="22"/>
          <w:u w:val="single"/>
        </w:rPr>
        <w:fldChar w:fldCharType="begin"/>
      </w:r>
      <w:r w:rsidRPr="00366BA7">
        <w:rPr>
          <w:sz w:val="22"/>
          <w:szCs w:val="22"/>
        </w:rPr>
        <w:instrText xml:space="preserve"> TA \l "</w:instrText>
      </w:r>
      <w:r w:rsidRPr="00366BA7">
        <w:rPr>
          <w:sz w:val="22"/>
          <w:szCs w:val="22"/>
          <w:u w:val="single"/>
        </w:rPr>
        <w:instrText>Research and Mgmt. Group, Inc. v. Cnty. of Suffolk</w:instrText>
      </w:r>
      <w:r w:rsidRPr="00366BA7">
        <w:rPr>
          <w:sz w:val="22"/>
          <w:szCs w:val="22"/>
        </w:rPr>
        <w:instrText>,</w:instrText>
      </w:r>
      <w:r w:rsidRPr="00366BA7">
        <w:rPr>
          <w:sz w:val="22"/>
          <w:szCs w:val="22"/>
        </w:rPr>
        <w:br/>
        <w:instrText xml:space="preserve">687 F.Supp.2d 237 (E.D.N.Y. 2010)" \s "WSFTA_7ad7a9f0bbed49c0ae69646765855cf2" \c 3 </w:instrText>
      </w:r>
      <w:r w:rsidR="00377A22" w:rsidRPr="00366BA7">
        <w:rPr>
          <w:sz w:val="22"/>
          <w:szCs w:val="22"/>
          <w:u w:val="single"/>
        </w:rPr>
        <w:fldChar w:fldCharType="end"/>
      </w:r>
      <w:r w:rsidRPr="00366BA7">
        <w:rPr>
          <w:sz w:val="22"/>
          <w:szCs w:val="22"/>
          <w:u w:val="single"/>
        </w:rPr>
        <w:t>Research and Mgmt. Group, Inc. v. Cnty. of Suffolk</w:t>
      </w:r>
      <w:r w:rsidRPr="00366BA7">
        <w:rPr>
          <w:sz w:val="22"/>
          <w:szCs w:val="22"/>
        </w:rPr>
        <w:t xml:space="preserve">, 687 F. Supp. 2d 237, 252 (E.D.N.Y. 2010) (“[P]ersons recovering from alcoholism or drug addiction, and who are thereby substantially limited in a major life activity, are considered disabled under the FHA”). </w:t>
      </w:r>
      <w:r w:rsidRPr="00366BA7">
        <w:rPr>
          <w:i/>
          <w:iCs/>
          <w:sz w:val="22"/>
          <w:szCs w:val="22"/>
        </w:rPr>
        <w:t xml:space="preserve"> </w:t>
      </w:r>
      <w:r w:rsidRPr="00366BA7">
        <w:rPr>
          <w:sz w:val="22"/>
          <w:szCs w:val="22"/>
          <w:u w:val="single"/>
        </w:rPr>
        <w:t>Accord</w:t>
      </w:r>
      <w:r w:rsidRPr="00366BA7">
        <w:rPr>
          <w:sz w:val="22"/>
          <w:szCs w:val="22"/>
        </w:rPr>
        <w:t xml:space="preserve"> </w:t>
      </w:r>
      <w:r w:rsidR="00377A22" w:rsidRPr="00366BA7">
        <w:rPr>
          <w:sz w:val="22"/>
          <w:szCs w:val="22"/>
        </w:rPr>
        <w:fldChar w:fldCharType="begin"/>
      </w:r>
      <w:r w:rsidRPr="00366BA7">
        <w:rPr>
          <w:sz w:val="22"/>
          <w:szCs w:val="22"/>
        </w:rPr>
        <w:instrText xml:space="preserve"> TA \l "</w:instrText>
      </w:r>
      <w:r w:rsidRPr="00366BA7">
        <w:rPr>
          <w:sz w:val="22"/>
          <w:szCs w:val="22"/>
          <w:u w:val="single"/>
        </w:rPr>
        <w:instrText>Bryant v. Madigan</w:instrText>
      </w:r>
      <w:r w:rsidRPr="00366BA7">
        <w:rPr>
          <w:sz w:val="22"/>
          <w:szCs w:val="22"/>
        </w:rPr>
        <w:instrText>,</w:instrText>
      </w:r>
      <w:r w:rsidRPr="00366BA7">
        <w:rPr>
          <w:sz w:val="22"/>
          <w:szCs w:val="22"/>
        </w:rPr>
        <w:br/>
        <w:instrText xml:space="preserve">84 F.3d 246 (7th Cir. 1996)" \s "WSFTA_97011a969e00439590da233901e167d8" \c 3 </w:instrText>
      </w:r>
      <w:r w:rsidR="00377A22" w:rsidRPr="00366BA7">
        <w:rPr>
          <w:sz w:val="22"/>
          <w:szCs w:val="22"/>
        </w:rPr>
        <w:fldChar w:fldCharType="end"/>
      </w:r>
      <w:r w:rsidRPr="00366BA7">
        <w:rPr>
          <w:sz w:val="22"/>
          <w:szCs w:val="22"/>
          <w:u w:val="single"/>
        </w:rPr>
        <w:t>Bryant v. Madigan</w:t>
      </w:r>
      <w:r w:rsidRPr="00366BA7">
        <w:rPr>
          <w:sz w:val="22"/>
          <w:szCs w:val="22"/>
        </w:rPr>
        <w:t>, 84 F.3d 246, 248 (7th</w:t>
      </w:r>
      <w:r w:rsidRPr="00366BA7">
        <w:rPr>
          <w:sz w:val="22"/>
          <w:szCs w:val="22"/>
          <w:vertAlign w:val="superscript"/>
        </w:rPr>
        <w:t xml:space="preserve"> </w:t>
      </w:r>
      <w:r w:rsidRPr="00366BA7">
        <w:rPr>
          <w:sz w:val="22"/>
          <w:szCs w:val="22"/>
        </w:rPr>
        <w:t xml:space="preserve">Cir. 1996) (“[A]lcoholism and other forms of addiction are disabilities within the meaning of the [ADA].”); </w:t>
      </w:r>
      <w:r w:rsidR="00377A22" w:rsidRPr="00366BA7">
        <w:rPr>
          <w:sz w:val="22"/>
          <w:szCs w:val="22"/>
        </w:rPr>
        <w:fldChar w:fldCharType="begin"/>
      </w:r>
      <w:r w:rsidRPr="00366BA7">
        <w:rPr>
          <w:sz w:val="22"/>
          <w:szCs w:val="22"/>
        </w:rPr>
        <w:instrText xml:space="preserve"> TA \l "</w:instrText>
      </w:r>
      <w:r w:rsidRPr="00366BA7">
        <w:rPr>
          <w:sz w:val="22"/>
          <w:szCs w:val="22"/>
          <w:u w:val="single"/>
        </w:rPr>
        <w:instrText>Hispanic Counseling Ctr., Inc. v. Inc. Village of Hempstead</w:instrText>
      </w:r>
      <w:r w:rsidRPr="00366BA7">
        <w:rPr>
          <w:sz w:val="22"/>
          <w:szCs w:val="22"/>
        </w:rPr>
        <w:instrText>,</w:instrText>
      </w:r>
      <w:r w:rsidRPr="00366BA7">
        <w:rPr>
          <w:sz w:val="22"/>
          <w:szCs w:val="22"/>
        </w:rPr>
        <w:br/>
        <w:instrText xml:space="preserve">237 F.Supp.2d 284 (E.D.N.Y. 2002)" \s "WSFTA_022d2b00b12c4390a93631901379e1c9" \c 3 </w:instrText>
      </w:r>
      <w:r w:rsidR="00377A22" w:rsidRPr="00366BA7">
        <w:rPr>
          <w:sz w:val="22"/>
          <w:szCs w:val="22"/>
        </w:rPr>
        <w:fldChar w:fldCharType="end"/>
      </w:r>
      <w:r w:rsidRPr="00366BA7">
        <w:rPr>
          <w:sz w:val="22"/>
          <w:szCs w:val="22"/>
          <w:u w:val="single"/>
        </w:rPr>
        <w:t>Hispanic Counseling Ctr., Inc. v. Inc. Village of Hempstead</w:t>
      </w:r>
      <w:r w:rsidRPr="00366BA7">
        <w:rPr>
          <w:sz w:val="22"/>
          <w:szCs w:val="22"/>
        </w:rPr>
        <w:t xml:space="preserve">, 237 F. Supp. 2d 284, 292 (E.D.N.Y. 2002) (clients of substance abuse treatment center are disabled); </w:t>
      </w:r>
      <w:r w:rsidR="00377A22" w:rsidRPr="00366BA7">
        <w:rPr>
          <w:sz w:val="22"/>
          <w:szCs w:val="22"/>
        </w:rPr>
        <w:fldChar w:fldCharType="begin"/>
      </w:r>
      <w:r w:rsidRPr="00366BA7">
        <w:rPr>
          <w:sz w:val="22"/>
          <w:szCs w:val="22"/>
        </w:rPr>
        <w:instrText xml:space="preserve"> TA \l "</w:instrText>
      </w:r>
      <w:r w:rsidRPr="00366BA7">
        <w:rPr>
          <w:sz w:val="22"/>
          <w:szCs w:val="22"/>
          <w:u w:val="single"/>
        </w:rPr>
        <w:instrText>United States v. S. Mgmt. Corp.</w:instrText>
      </w:r>
      <w:r w:rsidRPr="00366BA7">
        <w:rPr>
          <w:sz w:val="22"/>
          <w:szCs w:val="22"/>
        </w:rPr>
        <w:instrText>,</w:instrText>
      </w:r>
      <w:r w:rsidRPr="00366BA7">
        <w:rPr>
          <w:sz w:val="22"/>
          <w:szCs w:val="22"/>
        </w:rPr>
        <w:br/>
        <w:instrText xml:space="preserve">955 F.2d 914 (4th Cir. 1992)" \s "WSFTA_f42d2c6f160e483aa9a6584ab58e9ea6" \c 3 </w:instrText>
      </w:r>
      <w:r w:rsidR="00377A22" w:rsidRPr="00366BA7">
        <w:rPr>
          <w:sz w:val="22"/>
          <w:szCs w:val="22"/>
        </w:rPr>
        <w:fldChar w:fldCharType="end"/>
      </w:r>
      <w:r w:rsidRPr="00366BA7">
        <w:rPr>
          <w:sz w:val="22"/>
          <w:szCs w:val="22"/>
          <w:u w:val="single"/>
        </w:rPr>
        <w:t>United States v. S. Mgmt. Corp.</w:t>
      </w:r>
      <w:r w:rsidRPr="00366BA7">
        <w:rPr>
          <w:sz w:val="22"/>
          <w:szCs w:val="22"/>
        </w:rPr>
        <w:t xml:space="preserve">, 955 F.2d 914, 923 (4th Cir. 1992) (individuals recovering from drug and alcohol abuse fall within the FHA’s definition of handicap).   In a comprehensive search for zoning cases under title II of the ADA, the United States was unable to find a single case in which a court held that recovering addicts did not have an actual disability.  </w:t>
      </w:r>
      <w:r w:rsidRPr="00366BA7">
        <w:rPr>
          <w:sz w:val="22"/>
          <w:szCs w:val="22"/>
          <w:u w:val="single"/>
        </w:rPr>
        <w:t>But cf.,</w:t>
      </w:r>
      <w:r w:rsidRPr="00366BA7">
        <w:rPr>
          <w:sz w:val="22"/>
          <w:szCs w:val="22"/>
        </w:rPr>
        <w:t xml:space="preserve"> </w:t>
      </w:r>
      <w:r w:rsidR="00377A22" w:rsidRPr="00366BA7">
        <w:rPr>
          <w:sz w:val="22"/>
          <w:szCs w:val="22"/>
        </w:rPr>
        <w:fldChar w:fldCharType="begin"/>
      </w:r>
      <w:r w:rsidRPr="00366BA7">
        <w:rPr>
          <w:sz w:val="22"/>
          <w:szCs w:val="22"/>
        </w:rPr>
        <w:instrText xml:space="preserve"> TA \l "" \s "WSFTA_de8d8d3112384e9697950ab06edf1680" \c 3 </w:instrText>
      </w:r>
      <w:r w:rsidR="00377A22" w:rsidRPr="00366BA7">
        <w:rPr>
          <w:sz w:val="22"/>
          <w:szCs w:val="22"/>
        </w:rPr>
        <w:fldChar w:fldCharType="end"/>
      </w:r>
      <w:r w:rsidRPr="00366BA7">
        <w:rPr>
          <w:sz w:val="22"/>
          <w:szCs w:val="22"/>
          <w:u w:val="single"/>
        </w:rPr>
        <w:t xml:space="preserve">A </w:t>
      </w:r>
      <w:r>
        <w:rPr>
          <w:sz w:val="22"/>
          <w:szCs w:val="22"/>
          <w:u w:val="single"/>
        </w:rPr>
        <w:t>Helping</w:t>
      </w:r>
      <w:r w:rsidRPr="00366BA7">
        <w:rPr>
          <w:sz w:val="22"/>
          <w:szCs w:val="22"/>
          <w:u w:val="single"/>
        </w:rPr>
        <w:t xml:space="preserve"> Hand, L</w:t>
      </w:r>
      <w:r>
        <w:rPr>
          <w:sz w:val="22"/>
          <w:szCs w:val="22"/>
          <w:u w:val="single"/>
        </w:rPr>
        <w:t>.</w:t>
      </w:r>
      <w:r w:rsidRPr="00366BA7">
        <w:rPr>
          <w:sz w:val="22"/>
          <w:szCs w:val="22"/>
          <w:u w:val="single"/>
        </w:rPr>
        <w:t>L</w:t>
      </w:r>
      <w:r>
        <w:rPr>
          <w:sz w:val="22"/>
          <w:szCs w:val="22"/>
          <w:u w:val="single"/>
        </w:rPr>
        <w:t>.</w:t>
      </w:r>
      <w:r w:rsidRPr="00366BA7">
        <w:rPr>
          <w:sz w:val="22"/>
          <w:szCs w:val="22"/>
          <w:u w:val="single"/>
        </w:rPr>
        <w:t>C</w:t>
      </w:r>
      <w:r>
        <w:rPr>
          <w:sz w:val="22"/>
          <w:szCs w:val="22"/>
          <w:u w:val="single"/>
        </w:rPr>
        <w:t>.</w:t>
      </w:r>
      <w:r w:rsidRPr="00366BA7">
        <w:rPr>
          <w:sz w:val="22"/>
          <w:szCs w:val="22"/>
        </w:rPr>
        <w:t>, 515 F.3d at 367 (holding that the clients of methadone clinic could not be found to have a disability as a matter of law under the “regarded as” prong).  The United States is not at this stage attempting to establish disability coverage under the “regarded as” prong.</w:t>
      </w:r>
    </w:p>
  </w:footnote>
  <w:footnote w:id="121">
    <w:p w:rsidR="009A3240" w:rsidRPr="00366BA7" w:rsidRDefault="009A3240" w:rsidP="00B76C8F">
      <w:pPr>
        <w:pStyle w:val="FootnoteText"/>
        <w:rPr>
          <w:sz w:val="22"/>
          <w:szCs w:val="22"/>
        </w:rPr>
      </w:pPr>
      <w:r w:rsidRPr="00366BA7">
        <w:rPr>
          <w:rStyle w:val="FootnoteReference"/>
          <w:sz w:val="22"/>
          <w:szCs w:val="22"/>
        </w:rPr>
        <w:footnoteRef/>
      </w:r>
      <w:r w:rsidRPr="00214618">
        <w:rPr>
          <w:sz w:val="22"/>
          <w:szCs w:val="22"/>
          <w:u w:val="single"/>
        </w:rPr>
        <w:t xml:space="preserve"> </w:t>
      </w:r>
      <w:r w:rsidR="00377A22" w:rsidRPr="00214618">
        <w:rPr>
          <w:sz w:val="22"/>
          <w:szCs w:val="22"/>
          <w:u w:val="single"/>
        </w:rPr>
        <w:fldChar w:fldCharType="begin"/>
      </w:r>
      <w:r w:rsidRPr="00214618">
        <w:rPr>
          <w:sz w:val="22"/>
          <w:szCs w:val="22"/>
          <w:u w:val="single"/>
        </w:rPr>
        <w:instrText xml:space="preserve"> TA \l "" \s "WSFTA_d7686192b63b4361bb95207999d1c520" \c 3 </w:instrText>
      </w:r>
      <w:r w:rsidR="00377A22" w:rsidRPr="00214618">
        <w:rPr>
          <w:sz w:val="22"/>
          <w:szCs w:val="22"/>
          <w:u w:val="single"/>
        </w:rPr>
        <w:fldChar w:fldCharType="end"/>
      </w:r>
      <w:r w:rsidRPr="00214618">
        <w:rPr>
          <w:sz w:val="22"/>
          <w:szCs w:val="22"/>
          <w:u w:val="single"/>
        </w:rPr>
        <w:t>RECAP</w:t>
      </w:r>
      <w:r w:rsidRPr="00366BA7">
        <w:rPr>
          <w:sz w:val="22"/>
          <w:szCs w:val="22"/>
        </w:rPr>
        <w:t>, 294 F.3d at 47-</w:t>
      </w:r>
      <w:r>
        <w:rPr>
          <w:sz w:val="22"/>
          <w:szCs w:val="22"/>
        </w:rPr>
        <w:t>4</w:t>
      </w:r>
      <w:r w:rsidRPr="00366BA7">
        <w:rPr>
          <w:sz w:val="22"/>
          <w:szCs w:val="22"/>
        </w:rPr>
        <w:t xml:space="preserve">8.  The court noted that although the determination of disability is typically to be made on a case-by-case manner, the “existence of statutorily defined levels of </w:t>
      </w:r>
      <w:r>
        <w:rPr>
          <w:sz w:val="22"/>
          <w:szCs w:val="22"/>
        </w:rPr>
        <w:t>impairment obviates the concern . . .</w:t>
      </w:r>
      <w:r w:rsidRPr="00366BA7">
        <w:rPr>
          <w:sz w:val="22"/>
          <w:szCs w:val="22"/>
        </w:rPr>
        <w:t xml:space="preserve"> about varying intensities of symptoms.”  </w:t>
      </w:r>
      <w:r w:rsidR="00377A22" w:rsidRPr="00366BA7">
        <w:rPr>
          <w:sz w:val="22"/>
          <w:szCs w:val="22"/>
        </w:rPr>
        <w:fldChar w:fldCharType="begin"/>
      </w:r>
      <w:r w:rsidRPr="00366BA7">
        <w:rPr>
          <w:sz w:val="22"/>
          <w:szCs w:val="22"/>
        </w:rPr>
        <w:instrText xml:space="preserve"> TA \l "" \s "WSFTA_d7686192b63b4361bb95207999d1c520" \c 3 </w:instrText>
      </w:r>
      <w:r w:rsidR="00377A22" w:rsidRPr="00366BA7">
        <w:rPr>
          <w:sz w:val="22"/>
          <w:szCs w:val="22"/>
        </w:rPr>
        <w:fldChar w:fldCharType="end"/>
      </w:r>
      <w:r w:rsidRPr="00366BA7">
        <w:rPr>
          <w:sz w:val="22"/>
          <w:szCs w:val="22"/>
          <w:u w:val="single"/>
        </w:rPr>
        <w:t>Id.</w:t>
      </w:r>
      <w:r>
        <w:rPr>
          <w:sz w:val="22"/>
          <w:szCs w:val="22"/>
        </w:rPr>
        <w:t xml:space="preserve"> at 48 n.3.</w:t>
      </w:r>
    </w:p>
  </w:footnote>
  <w:footnote w:id="122">
    <w:p w:rsidR="009A3240" w:rsidRPr="00667CBD" w:rsidRDefault="009A3240" w:rsidP="00B76C8F">
      <w:pPr>
        <w:pStyle w:val="FootnoteText"/>
        <w:rPr>
          <w:sz w:val="22"/>
          <w:szCs w:val="22"/>
        </w:rPr>
      </w:pPr>
      <w:r w:rsidRPr="00667CBD">
        <w:rPr>
          <w:rStyle w:val="FootnoteReference"/>
          <w:sz w:val="22"/>
          <w:szCs w:val="22"/>
        </w:rPr>
        <w:footnoteRef/>
      </w:r>
      <w:r w:rsidRPr="00667CBD">
        <w:rPr>
          <w:sz w:val="22"/>
          <w:szCs w:val="22"/>
        </w:rPr>
        <w:t xml:space="preserve"> </w:t>
      </w:r>
      <w:r w:rsidR="00377A22">
        <w:rPr>
          <w:sz w:val="22"/>
          <w:szCs w:val="22"/>
        </w:rPr>
        <w:fldChar w:fldCharType="begin"/>
      </w:r>
      <w:r>
        <w:instrText xml:space="preserve"> TA \l "" \s "WSFTA_62052cf7ab18416fbcdba092aa4147f3" \c 3 </w:instrText>
      </w:r>
      <w:r w:rsidR="00377A22">
        <w:rPr>
          <w:sz w:val="22"/>
          <w:szCs w:val="22"/>
        </w:rPr>
        <w:fldChar w:fldCharType="end"/>
      </w:r>
      <w:r w:rsidRPr="00667CBD">
        <w:rPr>
          <w:sz w:val="22"/>
          <w:szCs w:val="22"/>
          <w:u w:val="single"/>
        </w:rPr>
        <w:t>Id</w:t>
      </w:r>
      <w:r w:rsidRPr="00667CBD">
        <w:rPr>
          <w:i/>
          <w:iCs/>
          <w:sz w:val="22"/>
          <w:szCs w:val="22"/>
          <w:u w:val="single"/>
        </w:rPr>
        <w:t>.</w:t>
      </w:r>
      <w:r w:rsidRPr="00667CBD">
        <w:rPr>
          <w:sz w:val="22"/>
          <w:szCs w:val="22"/>
        </w:rPr>
        <w:t xml:space="preserve"> </w:t>
      </w:r>
      <w:r>
        <w:rPr>
          <w:sz w:val="22"/>
          <w:szCs w:val="22"/>
        </w:rPr>
        <w:t xml:space="preserve">at 47 </w:t>
      </w:r>
      <w:r w:rsidRPr="00667CBD">
        <w:rPr>
          <w:sz w:val="22"/>
          <w:szCs w:val="22"/>
        </w:rPr>
        <w:t xml:space="preserve">(citing </w:t>
      </w:r>
      <w:r w:rsidR="00377A22">
        <w:rPr>
          <w:sz w:val="22"/>
          <w:szCs w:val="22"/>
        </w:rPr>
        <w:fldChar w:fldCharType="begin"/>
      </w:r>
      <w:r>
        <w:instrText xml:space="preserve"> TA \l "</w:instrText>
      </w:r>
      <w:r w:rsidRPr="00487D52">
        <w:instrText>N.Y. Comp. Codes R. &amp; Regs., tit. 14, § 375.8(c)</w:instrText>
      </w:r>
      <w:r>
        <w:instrText xml:space="preserve">" \s "WSFTA_38436c12eedb4e498d325f5f2e522b8b" \c 12 </w:instrText>
      </w:r>
      <w:r w:rsidR="00377A22">
        <w:rPr>
          <w:sz w:val="22"/>
          <w:szCs w:val="22"/>
        </w:rPr>
        <w:fldChar w:fldCharType="end"/>
      </w:r>
      <w:r w:rsidRPr="00667CBD">
        <w:rPr>
          <w:sz w:val="22"/>
          <w:szCs w:val="22"/>
        </w:rPr>
        <w:t xml:space="preserve">N.Y. Comp. Codes R. &amp; Regs., tit. 14, § 375.8(c)) (internal quotations omitted).  </w:t>
      </w:r>
    </w:p>
  </w:footnote>
  <w:footnote w:id="123">
    <w:p w:rsidR="009A3240" w:rsidRPr="00667CBD" w:rsidRDefault="009A3240" w:rsidP="00B76C8F">
      <w:pPr>
        <w:pStyle w:val="FootnoteText"/>
        <w:rPr>
          <w:sz w:val="22"/>
          <w:szCs w:val="22"/>
        </w:rPr>
      </w:pPr>
      <w:r w:rsidRPr="00667CBD">
        <w:rPr>
          <w:rStyle w:val="FootnoteReference"/>
          <w:sz w:val="22"/>
          <w:szCs w:val="22"/>
        </w:rPr>
        <w:footnoteRef/>
      </w:r>
      <w:r w:rsidRPr="00667CBD">
        <w:rPr>
          <w:sz w:val="22"/>
          <w:szCs w:val="22"/>
        </w:rPr>
        <w:t xml:space="preserve"> </w:t>
      </w:r>
      <w:r w:rsidRPr="00667CBD">
        <w:rPr>
          <w:sz w:val="22"/>
          <w:szCs w:val="22"/>
          <w:u w:val="single"/>
        </w:rPr>
        <w:t>Id.</w:t>
      </w:r>
    </w:p>
  </w:footnote>
  <w:footnote w:id="124">
    <w:p w:rsidR="009A3240" w:rsidRPr="00667CBD" w:rsidRDefault="009A3240" w:rsidP="00B76C8F">
      <w:pPr>
        <w:pStyle w:val="FootnoteText"/>
        <w:rPr>
          <w:sz w:val="22"/>
          <w:szCs w:val="22"/>
        </w:rPr>
      </w:pPr>
      <w:r w:rsidRPr="00667CBD">
        <w:rPr>
          <w:rStyle w:val="FootnoteReference"/>
          <w:sz w:val="22"/>
          <w:szCs w:val="22"/>
        </w:rPr>
        <w:footnoteRef/>
      </w:r>
      <w:r w:rsidRPr="00667CBD">
        <w:rPr>
          <w:sz w:val="22"/>
          <w:szCs w:val="22"/>
        </w:rPr>
        <w:t xml:space="preserve"> </w:t>
      </w:r>
      <w:r w:rsidR="00377A22">
        <w:rPr>
          <w:sz w:val="22"/>
          <w:szCs w:val="22"/>
        </w:rPr>
        <w:fldChar w:fldCharType="begin"/>
      </w:r>
      <w:r>
        <w:instrText xml:space="preserve"> TA \l "" \s "WSFTA_8d341b10a24c4e87a04e053e4fce3f83" \c 12 </w:instrText>
      </w:r>
      <w:r w:rsidR="00377A22">
        <w:rPr>
          <w:sz w:val="22"/>
          <w:szCs w:val="22"/>
        </w:rPr>
        <w:fldChar w:fldCharType="end"/>
      </w:r>
      <w:r w:rsidRPr="00667CBD">
        <w:rPr>
          <w:sz w:val="22"/>
          <w:szCs w:val="22"/>
        </w:rPr>
        <w:t>COMAR</w:t>
      </w:r>
      <w:r w:rsidRPr="00667CBD">
        <w:rPr>
          <w:smallCaps/>
          <w:sz w:val="22"/>
          <w:szCs w:val="22"/>
        </w:rPr>
        <w:t xml:space="preserve"> </w:t>
      </w:r>
      <w:r w:rsidRPr="00667CBD">
        <w:rPr>
          <w:sz w:val="22"/>
          <w:szCs w:val="22"/>
        </w:rPr>
        <w:t xml:space="preserve">10.47.02.06(B)(2).  </w:t>
      </w:r>
    </w:p>
  </w:footnote>
  <w:footnote w:id="125">
    <w:p w:rsidR="009A3240" w:rsidRPr="00667CBD" w:rsidRDefault="009A3240" w:rsidP="00B76C8F">
      <w:pPr>
        <w:pStyle w:val="FootnoteText"/>
        <w:rPr>
          <w:sz w:val="22"/>
          <w:szCs w:val="22"/>
        </w:rPr>
      </w:pPr>
      <w:r w:rsidRPr="00667CBD">
        <w:rPr>
          <w:rStyle w:val="FootnoteReference"/>
          <w:sz w:val="22"/>
          <w:szCs w:val="22"/>
        </w:rPr>
        <w:footnoteRef/>
      </w:r>
      <w:r w:rsidRPr="00667CBD">
        <w:rPr>
          <w:sz w:val="22"/>
          <w:szCs w:val="22"/>
        </w:rPr>
        <w:t xml:space="preserve"> </w:t>
      </w:r>
      <w:r w:rsidRPr="00667CBD">
        <w:rPr>
          <w:sz w:val="22"/>
          <w:szCs w:val="22"/>
          <w:u w:val="single"/>
        </w:rPr>
        <w:t>See</w:t>
      </w:r>
      <w:r w:rsidRPr="00667CBD">
        <w:rPr>
          <w:sz w:val="22"/>
          <w:szCs w:val="22"/>
        </w:rPr>
        <w:t xml:space="preserve"> </w:t>
      </w:r>
      <w:r w:rsidR="00377A22">
        <w:rPr>
          <w:sz w:val="22"/>
          <w:szCs w:val="22"/>
        </w:rPr>
        <w:fldChar w:fldCharType="begin"/>
      </w:r>
      <w:r>
        <w:instrText xml:space="preserve"> TA \l "</w:instrText>
      </w:r>
      <w:r w:rsidRPr="00487D52">
        <w:instrText>COMAR 10.47.02.06(A)</w:instrText>
      </w:r>
      <w:r>
        <w:instrText xml:space="preserve">" \s "WSFTA_883239050fa04403ba7ee35eba48329c" \c 12 </w:instrText>
      </w:r>
      <w:r w:rsidR="00377A22">
        <w:rPr>
          <w:sz w:val="22"/>
          <w:szCs w:val="22"/>
        </w:rPr>
        <w:fldChar w:fldCharType="end"/>
      </w:r>
      <w:r w:rsidRPr="00667CBD">
        <w:rPr>
          <w:sz w:val="22"/>
          <w:szCs w:val="22"/>
        </w:rPr>
        <w:t>COMAR</w:t>
      </w:r>
      <w:r w:rsidRPr="00667CBD">
        <w:rPr>
          <w:smallCaps/>
          <w:sz w:val="22"/>
          <w:szCs w:val="22"/>
        </w:rPr>
        <w:t xml:space="preserve"> </w:t>
      </w:r>
      <w:r w:rsidRPr="00667CBD">
        <w:rPr>
          <w:sz w:val="22"/>
          <w:szCs w:val="22"/>
        </w:rPr>
        <w:t>10.47.02.06(A) (Level III.1 programs provide services “directed toward preventing relapse, applying recovery skills, promoting personal responsibility, and reintegration”).</w:t>
      </w:r>
    </w:p>
  </w:footnote>
  <w:footnote w:id="126">
    <w:p w:rsidR="009A3240" w:rsidRPr="00667CBD" w:rsidRDefault="009A3240" w:rsidP="00B76C8F">
      <w:pPr>
        <w:pStyle w:val="FootnoteText"/>
        <w:rPr>
          <w:sz w:val="22"/>
          <w:szCs w:val="22"/>
        </w:rPr>
      </w:pPr>
      <w:r w:rsidRPr="00667CBD">
        <w:rPr>
          <w:rStyle w:val="FootnoteReference"/>
          <w:sz w:val="22"/>
          <w:szCs w:val="22"/>
        </w:rPr>
        <w:footnoteRef/>
      </w:r>
      <w:r w:rsidRPr="00667CBD">
        <w:rPr>
          <w:sz w:val="22"/>
          <w:szCs w:val="22"/>
        </w:rPr>
        <w:t xml:space="preserve"> </w:t>
      </w:r>
      <w:r w:rsidR="00377A22">
        <w:rPr>
          <w:sz w:val="22"/>
          <w:szCs w:val="22"/>
        </w:rPr>
        <w:fldChar w:fldCharType="begin"/>
      </w:r>
      <w:r>
        <w:instrText xml:space="preserve"> TA \l "</w:instrText>
      </w:r>
      <w:r w:rsidRPr="00487D52">
        <w:instrText>42 U.S.C. §12102(1)(B)</w:instrText>
      </w:r>
      <w:r>
        <w:instrText xml:space="preserve">" \s "WSFTA_89d8592f00a348d2ac4428b66e170857" \c 6 </w:instrText>
      </w:r>
      <w:r w:rsidR="00377A22">
        <w:rPr>
          <w:sz w:val="22"/>
          <w:szCs w:val="22"/>
        </w:rPr>
        <w:fldChar w:fldCharType="end"/>
      </w:r>
      <w:r w:rsidRPr="00667CBD">
        <w:rPr>
          <w:sz w:val="22"/>
          <w:szCs w:val="22"/>
        </w:rPr>
        <w:t xml:space="preserve">42 U.S.C. §12102; </w:t>
      </w:r>
      <w:r w:rsidR="00377A22">
        <w:rPr>
          <w:sz w:val="22"/>
          <w:szCs w:val="22"/>
        </w:rPr>
        <w:fldChar w:fldCharType="begin"/>
      </w:r>
      <w:r>
        <w:instrText xml:space="preserve"> TA \l "" \s "WSFTA_6d6930dbf2044ae687e02df2001a8bde" \c 12 </w:instrText>
      </w:r>
      <w:r w:rsidR="00377A22">
        <w:rPr>
          <w:sz w:val="22"/>
          <w:szCs w:val="22"/>
        </w:rPr>
        <w:fldChar w:fldCharType="end"/>
      </w:r>
      <w:r w:rsidRPr="00667CBD">
        <w:rPr>
          <w:sz w:val="22"/>
          <w:szCs w:val="22"/>
        </w:rPr>
        <w:t>28 C.F.R. § 35.104 (</w:t>
      </w:r>
      <w:r>
        <w:rPr>
          <w:sz w:val="22"/>
          <w:szCs w:val="22"/>
        </w:rPr>
        <w:t xml:space="preserve">record of impairment </w:t>
      </w:r>
      <w:r w:rsidRPr="00667CBD">
        <w:rPr>
          <w:sz w:val="22"/>
          <w:szCs w:val="22"/>
        </w:rPr>
        <w:t xml:space="preserve">defined as having a history of, or having been misclassified as having, a mental or physical impairment that substantially limits one or more major life activities).  In Maryland, individuals in Level III.1 treatment have </w:t>
      </w:r>
      <w:r>
        <w:rPr>
          <w:sz w:val="22"/>
          <w:szCs w:val="22"/>
        </w:rPr>
        <w:t xml:space="preserve">a record of disability because they have </w:t>
      </w:r>
      <w:r w:rsidRPr="00667CBD">
        <w:rPr>
          <w:sz w:val="22"/>
          <w:szCs w:val="22"/>
        </w:rPr>
        <w:t xml:space="preserve">been diagnosed as having </w:t>
      </w:r>
      <w:r>
        <w:rPr>
          <w:sz w:val="22"/>
          <w:szCs w:val="22"/>
        </w:rPr>
        <w:t>Substance Dependence Disorder, which requires a maladaptive pattern of substance use, leading to clinically significant impairment or distress</w:t>
      </w:r>
      <w:r w:rsidRPr="00667CBD">
        <w:rPr>
          <w:sz w:val="22"/>
          <w:szCs w:val="22"/>
        </w:rPr>
        <w:t xml:space="preserve">.  </w:t>
      </w:r>
      <w:r w:rsidRPr="00667CBD">
        <w:rPr>
          <w:sz w:val="22"/>
          <w:szCs w:val="22"/>
          <w:u w:val="single"/>
        </w:rPr>
        <w:t>See</w:t>
      </w:r>
      <w:r w:rsidRPr="00667CBD">
        <w:rPr>
          <w:sz w:val="22"/>
          <w:szCs w:val="22"/>
        </w:rPr>
        <w:t xml:space="preserve"> </w:t>
      </w:r>
      <w:r w:rsidR="00377A22">
        <w:rPr>
          <w:sz w:val="22"/>
          <w:szCs w:val="22"/>
        </w:rPr>
        <w:fldChar w:fldCharType="begin"/>
      </w:r>
      <w:r>
        <w:instrText xml:space="preserve"> TA \l "</w:instrText>
      </w:r>
      <w:r w:rsidRPr="00487D52">
        <w:instrText>COMAR 10.47.02.06(B)(1)</w:instrText>
      </w:r>
      <w:r>
        <w:instrText xml:space="preserve">" \s "WSFTA_0e4f62ece28b48c3b53d3ffa4e560b05" \c 12 </w:instrText>
      </w:r>
      <w:r w:rsidR="00377A22">
        <w:rPr>
          <w:sz w:val="22"/>
          <w:szCs w:val="22"/>
        </w:rPr>
        <w:fldChar w:fldCharType="end"/>
      </w:r>
      <w:r w:rsidRPr="00667CBD">
        <w:rPr>
          <w:sz w:val="22"/>
          <w:szCs w:val="22"/>
        </w:rPr>
        <w:t xml:space="preserve">COMAR 10.47.02.06(B)(1); </w:t>
      </w:r>
      <w:r w:rsidRPr="00667CBD">
        <w:rPr>
          <w:sz w:val="22"/>
          <w:szCs w:val="22"/>
          <w:u w:val="single"/>
        </w:rPr>
        <w:t>ASAM</w:t>
      </w:r>
      <w:r w:rsidRPr="00667CBD">
        <w:rPr>
          <w:sz w:val="22"/>
          <w:szCs w:val="22"/>
        </w:rPr>
        <w:t xml:space="preserve"> </w:t>
      </w:r>
      <w:r>
        <w:rPr>
          <w:sz w:val="22"/>
          <w:szCs w:val="22"/>
        </w:rPr>
        <w:t xml:space="preserve">(Ex. 82) </w:t>
      </w:r>
      <w:r w:rsidRPr="00667CBD">
        <w:rPr>
          <w:sz w:val="22"/>
          <w:szCs w:val="22"/>
        </w:rPr>
        <w:t xml:space="preserve">at 98; </w:t>
      </w:r>
      <w:r w:rsidRPr="00667CBD">
        <w:rPr>
          <w:sz w:val="22"/>
          <w:szCs w:val="22"/>
          <w:u w:val="single"/>
        </w:rPr>
        <w:t>DSM</w:t>
      </w:r>
      <w:r w:rsidRPr="00667CBD">
        <w:rPr>
          <w:sz w:val="22"/>
          <w:szCs w:val="22"/>
        </w:rPr>
        <w:t xml:space="preserve"> </w:t>
      </w:r>
      <w:r>
        <w:rPr>
          <w:sz w:val="22"/>
          <w:szCs w:val="22"/>
        </w:rPr>
        <w:t xml:space="preserve">(Ex. 83) at </w:t>
      </w:r>
      <w:r w:rsidRPr="00667CBD">
        <w:rPr>
          <w:sz w:val="22"/>
          <w:szCs w:val="22"/>
        </w:rPr>
        <w:t>197 (4</w:t>
      </w:r>
      <w:r w:rsidRPr="0023534C">
        <w:rPr>
          <w:sz w:val="22"/>
          <w:szCs w:val="22"/>
        </w:rPr>
        <w:t>th</w:t>
      </w:r>
      <w:r w:rsidRPr="00667CBD">
        <w:rPr>
          <w:sz w:val="22"/>
          <w:szCs w:val="22"/>
        </w:rPr>
        <w:t xml:space="preserve"> ed. – text rev., Ame</w:t>
      </w:r>
      <w:r>
        <w:rPr>
          <w:sz w:val="22"/>
          <w:szCs w:val="22"/>
        </w:rPr>
        <w:t>rican Psychiatric Ass’n 2000).</w:t>
      </w:r>
    </w:p>
  </w:footnote>
  <w:footnote w:id="127">
    <w:p w:rsidR="009A3240" w:rsidRPr="00667CBD" w:rsidRDefault="009A3240" w:rsidP="00B76C8F">
      <w:pPr>
        <w:pStyle w:val="FootnoteText"/>
        <w:rPr>
          <w:sz w:val="22"/>
          <w:szCs w:val="22"/>
        </w:rPr>
      </w:pPr>
      <w:r w:rsidRPr="00667CBD">
        <w:rPr>
          <w:rStyle w:val="FootnoteReference"/>
          <w:sz w:val="22"/>
          <w:szCs w:val="22"/>
        </w:rPr>
        <w:footnoteRef/>
      </w:r>
      <w:r w:rsidRPr="00667CBD">
        <w:rPr>
          <w:sz w:val="22"/>
          <w:szCs w:val="22"/>
        </w:rPr>
        <w:t xml:space="preserve"> </w:t>
      </w:r>
      <w:r w:rsidRPr="00667CBD">
        <w:rPr>
          <w:sz w:val="22"/>
          <w:szCs w:val="22"/>
          <w:u w:val="single"/>
        </w:rPr>
        <w:t>See</w:t>
      </w:r>
      <w:r w:rsidRPr="00667CBD">
        <w:rPr>
          <w:iCs/>
          <w:sz w:val="22"/>
          <w:szCs w:val="22"/>
        </w:rPr>
        <w:t xml:space="preserve"> </w:t>
      </w:r>
      <w:r w:rsidRPr="00667CBD">
        <w:rPr>
          <w:sz w:val="22"/>
          <w:szCs w:val="22"/>
          <w:u w:val="single"/>
        </w:rPr>
        <w:t>RECAP</w:t>
      </w:r>
      <w:r w:rsidRPr="00667CBD">
        <w:rPr>
          <w:sz w:val="22"/>
          <w:szCs w:val="22"/>
        </w:rPr>
        <w:t xml:space="preserve">, </w:t>
      </w:r>
      <w:r w:rsidR="00377A22">
        <w:rPr>
          <w:sz w:val="22"/>
          <w:szCs w:val="22"/>
        </w:rPr>
        <w:fldChar w:fldCharType="begin"/>
      </w:r>
      <w:r>
        <w:instrText xml:space="preserve"> TA \l "" \s "WSFTA_d7686192b63b4361bb95207999d1c520" \c 3 </w:instrText>
      </w:r>
      <w:r w:rsidR="00377A22">
        <w:rPr>
          <w:sz w:val="22"/>
          <w:szCs w:val="22"/>
        </w:rPr>
        <w:fldChar w:fldCharType="end"/>
      </w:r>
      <w:r w:rsidRPr="00667CBD">
        <w:rPr>
          <w:sz w:val="22"/>
          <w:szCs w:val="22"/>
        </w:rPr>
        <w:t xml:space="preserve">294 F.3d at 48; </w:t>
      </w:r>
      <w:r w:rsidR="00377A22">
        <w:rPr>
          <w:sz w:val="22"/>
          <w:szCs w:val="22"/>
        </w:rPr>
        <w:fldChar w:fldCharType="begin"/>
      </w:r>
      <w:r>
        <w:instrText xml:space="preserve"> TA \l "</w:instrText>
      </w:r>
      <w:r w:rsidRPr="00487D52">
        <w:rPr>
          <w:u w:val="single"/>
        </w:rPr>
        <w:instrText>Buckley v. Consol. Edison Co. of NY</w:instrText>
      </w:r>
      <w:r w:rsidRPr="00487D52">
        <w:instrText>,</w:instrText>
      </w:r>
      <w:r w:rsidRPr="00487D52">
        <w:br/>
        <w:instrText>127 F.3d 270 (2d Cir. 1997)</w:instrText>
      </w:r>
      <w:r>
        <w:instrText xml:space="preserve">" \s "WSFTA_607433e0c6a04be79ab746b9dbe175f5" \c 3 </w:instrText>
      </w:r>
      <w:r w:rsidR="00377A22">
        <w:rPr>
          <w:sz w:val="22"/>
          <w:szCs w:val="22"/>
        </w:rPr>
        <w:fldChar w:fldCharType="end"/>
      </w:r>
      <w:r w:rsidR="00377A22">
        <w:rPr>
          <w:sz w:val="22"/>
          <w:szCs w:val="22"/>
        </w:rPr>
        <w:fldChar w:fldCharType="begin"/>
      </w:r>
      <w:r>
        <w:instrText xml:space="preserve"> TA \l "" \s "WSFTA_ca868d52afc646c5b2d767a2577cbab9" \c 3 </w:instrText>
      </w:r>
      <w:r w:rsidR="00377A22">
        <w:rPr>
          <w:sz w:val="22"/>
          <w:szCs w:val="22"/>
        </w:rPr>
        <w:fldChar w:fldCharType="end"/>
      </w:r>
      <w:r w:rsidRPr="00667CBD">
        <w:rPr>
          <w:sz w:val="22"/>
          <w:szCs w:val="22"/>
          <w:u w:val="single"/>
        </w:rPr>
        <w:t>MX Group</w:t>
      </w:r>
      <w:r w:rsidRPr="00667CBD">
        <w:rPr>
          <w:sz w:val="22"/>
          <w:szCs w:val="22"/>
        </w:rPr>
        <w:t>, 293 F.3d at 339.</w:t>
      </w:r>
    </w:p>
  </w:footnote>
  <w:footnote w:id="128">
    <w:p w:rsidR="009A3240" w:rsidRPr="00667CBD" w:rsidRDefault="009A3240" w:rsidP="00E174C2">
      <w:pPr>
        <w:pStyle w:val="FootnoteText"/>
        <w:rPr>
          <w:sz w:val="22"/>
          <w:szCs w:val="22"/>
        </w:rPr>
      </w:pPr>
      <w:r w:rsidRPr="00667CBD">
        <w:rPr>
          <w:rStyle w:val="FootnoteReference"/>
          <w:sz w:val="22"/>
          <w:szCs w:val="22"/>
        </w:rPr>
        <w:footnoteRef/>
      </w:r>
      <w:r w:rsidRPr="00667CBD">
        <w:rPr>
          <w:sz w:val="22"/>
          <w:szCs w:val="22"/>
        </w:rPr>
        <w:t xml:space="preserve"> </w:t>
      </w:r>
      <w:r w:rsidRPr="00667CBD">
        <w:rPr>
          <w:sz w:val="22"/>
          <w:szCs w:val="22"/>
          <w:u w:val="single"/>
        </w:rPr>
        <w:t>New Directions Treatment Servs. v. City of</w:t>
      </w:r>
      <w:r>
        <w:rPr>
          <w:u w:val="single"/>
        </w:rPr>
        <w:t xml:space="preserve"> </w:t>
      </w:r>
      <w:r w:rsidRPr="00667CBD">
        <w:rPr>
          <w:sz w:val="22"/>
          <w:szCs w:val="22"/>
          <w:u w:val="single"/>
        </w:rPr>
        <w:t>Reading</w:t>
      </w:r>
      <w:r w:rsidRPr="00667CBD">
        <w:rPr>
          <w:sz w:val="22"/>
          <w:szCs w:val="22"/>
        </w:rPr>
        <w:t>, 490 F.3d 293</w:t>
      </w:r>
      <w:r>
        <w:rPr>
          <w:sz w:val="22"/>
          <w:szCs w:val="22"/>
        </w:rPr>
        <w:t>, 304-05</w:t>
      </w:r>
      <w:r w:rsidRPr="00667CBD">
        <w:rPr>
          <w:sz w:val="22"/>
          <w:szCs w:val="22"/>
        </w:rPr>
        <w:t xml:space="preserve"> (3d Cir. 2007)</w:t>
      </w:r>
      <w:r>
        <w:rPr>
          <w:sz w:val="22"/>
          <w:szCs w:val="22"/>
        </w:rPr>
        <w:t xml:space="preserve">; </w:t>
      </w:r>
      <w:r w:rsidR="00377A22">
        <w:rPr>
          <w:sz w:val="22"/>
          <w:szCs w:val="22"/>
        </w:rPr>
        <w:fldChar w:fldCharType="begin"/>
      </w:r>
      <w:r>
        <w:instrText xml:space="preserve"> TA \l "" \s "WSFTA_80d4770cf6244eddb3df9f15b6ffe02f" \c 3 </w:instrText>
      </w:r>
      <w:r w:rsidR="00377A22">
        <w:rPr>
          <w:sz w:val="22"/>
          <w:szCs w:val="22"/>
        </w:rPr>
        <w:fldChar w:fldCharType="end"/>
      </w:r>
      <w:r w:rsidR="00377A22">
        <w:rPr>
          <w:sz w:val="22"/>
          <w:szCs w:val="22"/>
        </w:rPr>
        <w:fldChar w:fldCharType="begin"/>
      </w:r>
      <w:r>
        <w:instrText xml:space="preserve"> TA \l "" \s "WSFTA_ca868d52afc646c5b2d767a2577cbab9" \c 3 </w:instrText>
      </w:r>
      <w:r w:rsidR="00377A22">
        <w:rPr>
          <w:sz w:val="22"/>
          <w:szCs w:val="22"/>
        </w:rPr>
        <w:fldChar w:fldCharType="end"/>
      </w:r>
      <w:r w:rsidRPr="00667CBD">
        <w:rPr>
          <w:sz w:val="22"/>
          <w:szCs w:val="22"/>
          <w:u w:val="single"/>
        </w:rPr>
        <w:t>MX Group</w:t>
      </w:r>
      <w:r w:rsidRPr="00667CBD">
        <w:rPr>
          <w:sz w:val="22"/>
          <w:szCs w:val="22"/>
        </w:rPr>
        <w:t xml:space="preserve">, 293 F.3d </w:t>
      </w:r>
      <w:r>
        <w:rPr>
          <w:sz w:val="22"/>
          <w:szCs w:val="22"/>
        </w:rPr>
        <w:t>at 344-45</w:t>
      </w:r>
      <w:r w:rsidRPr="00667CBD">
        <w:rPr>
          <w:sz w:val="22"/>
          <w:szCs w:val="22"/>
        </w:rPr>
        <w:t xml:space="preserve">; </w:t>
      </w:r>
      <w:r w:rsidRPr="00667CBD">
        <w:rPr>
          <w:sz w:val="22"/>
          <w:szCs w:val="22"/>
          <w:u w:val="single"/>
        </w:rPr>
        <w:t>Bay Area</w:t>
      </w:r>
      <w:r w:rsidRPr="00667CBD">
        <w:rPr>
          <w:sz w:val="22"/>
          <w:szCs w:val="22"/>
        </w:rPr>
        <w:t xml:space="preserve">, 179 F.3d </w:t>
      </w:r>
      <w:r>
        <w:rPr>
          <w:sz w:val="22"/>
          <w:szCs w:val="22"/>
        </w:rPr>
        <w:t>at 733-34</w:t>
      </w:r>
      <w:r w:rsidRPr="00667CBD">
        <w:rPr>
          <w:sz w:val="22"/>
          <w:szCs w:val="22"/>
        </w:rPr>
        <w:t xml:space="preserve">; </w:t>
      </w:r>
      <w:r w:rsidRPr="00667CBD">
        <w:rPr>
          <w:sz w:val="22"/>
          <w:szCs w:val="22"/>
          <w:u w:val="single"/>
        </w:rPr>
        <w:t>see also</w:t>
      </w:r>
      <w:r w:rsidRPr="00667CBD">
        <w:rPr>
          <w:sz w:val="22"/>
          <w:szCs w:val="22"/>
        </w:rPr>
        <w:t xml:space="preserve"> </w:t>
      </w:r>
      <w:r w:rsidR="00377A22">
        <w:rPr>
          <w:sz w:val="22"/>
          <w:szCs w:val="22"/>
        </w:rPr>
        <w:fldChar w:fldCharType="begin"/>
      </w:r>
      <w:r>
        <w:instrText xml:space="preserve"> TA \l "</w:instrText>
      </w:r>
      <w:r w:rsidRPr="00487D52">
        <w:rPr>
          <w:u w:val="single"/>
        </w:rPr>
        <w:instrText>First Step, Inc. v. City of New London</w:instrText>
      </w:r>
      <w:r w:rsidRPr="00487D52">
        <w:instrText>,</w:instrText>
      </w:r>
      <w:r w:rsidRPr="00487D52">
        <w:br/>
        <w:instrText>247 F.Supp.2d 135 (D. Conn. 2003)</w:instrText>
      </w:r>
      <w:r>
        <w:instrText xml:space="preserve">" \s "WSFTA_cf128650d46b4a5cbab5c92de049854e" \c 3 </w:instrText>
      </w:r>
      <w:r w:rsidR="00377A22">
        <w:rPr>
          <w:sz w:val="22"/>
          <w:szCs w:val="22"/>
        </w:rPr>
        <w:fldChar w:fldCharType="end"/>
      </w:r>
      <w:r w:rsidRPr="00667CBD">
        <w:rPr>
          <w:sz w:val="22"/>
          <w:szCs w:val="22"/>
          <w:u w:val="single"/>
        </w:rPr>
        <w:t>First Step, Inc. v. City of New London</w:t>
      </w:r>
      <w:r w:rsidRPr="00667CBD">
        <w:rPr>
          <w:sz w:val="22"/>
          <w:szCs w:val="22"/>
        </w:rPr>
        <w:t>, 247 F.</w:t>
      </w:r>
      <w:r>
        <w:rPr>
          <w:sz w:val="22"/>
          <w:szCs w:val="22"/>
        </w:rPr>
        <w:t xml:space="preserve"> </w:t>
      </w:r>
      <w:r w:rsidRPr="00667CBD">
        <w:rPr>
          <w:sz w:val="22"/>
          <w:szCs w:val="22"/>
        </w:rPr>
        <w:t>Supp.</w:t>
      </w:r>
      <w:r>
        <w:rPr>
          <w:sz w:val="22"/>
          <w:szCs w:val="22"/>
        </w:rPr>
        <w:t xml:space="preserve"> </w:t>
      </w:r>
      <w:r w:rsidRPr="00667CBD">
        <w:rPr>
          <w:sz w:val="22"/>
          <w:szCs w:val="22"/>
        </w:rPr>
        <w:t xml:space="preserve">2d 135 (D. Conn. 2003) (zoning code permitting educational establishments for adults with mental retardation or learning disabilities, but excluding educational establishments for adults with mental illness or drug or alcohol dependency, is facially discriminatory); </w:t>
      </w:r>
      <w:r w:rsidR="00377A22">
        <w:rPr>
          <w:sz w:val="22"/>
          <w:szCs w:val="22"/>
        </w:rPr>
        <w:fldChar w:fldCharType="begin"/>
      </w:r>
      <w:r>
        <w:instrText xml:space="preserve"> TA \l "</w:instrText>
      </w:r>
      <w:r w:rsidRPr="00487D52">
        <w:rPr>
          <w:u w:val="single"/>
        </w:rPr>
        <w:instrText>Habit Mgmt. v. City of Lynn</w:instrText>
      </w:r>
      <w:r w:rsidRPr="00487D52">
        <w:instrText>,</w:instrText>
      </w:r>
      <w:r w:rsidRPr="00487D52">
        <w:br/>
        <w:instrText>235 F.Supp.2d 28 (D. Mass. 2002)</w:instrText>
      </w:r>
      <w:r>
        <w:instrText xml:space="preserve">" \s "WSFTA_e7fb4a6786d843049df320e86cbd099c" \c 3 </w:instrText>
      </w:r>
      <w:r w:rsidR="00377A22">
        <w:rPr>
          <w:sz w:val="22"/>
          <w:szCs w:val="22"/>
        </w:rPr>
        <w:fldChar w:fldCharType="end"/>
      </w:r>
      <w:r w:rsidRPr="00667CBD">
        <w:rPr>
          <w:sz w:val="22"/>
          <w:szCs w:val="22"/>
          <w:u w:val="single"/>
        </w:rPr>
        <w:t>Habit Mgmt. v. City of Lynn</w:t>
      </w:r>
      <w:r w:rsidRPr="00667CBD">
        <w:rPr>
          <w:sz w:val="22"/>
          <w:szCs w:val="22"/>
        </w:rPr>
        <w:t>, 235 F.</w:t>
      </w:r>
      <w:r>
        <w:rPr>
          <w:sz w:val="22"/>
          <w:szCs w:val="22"/>
        </w:rPr>
        <w:t xml:space="preserve"> </w:t>
      </w:r>
      <w:r w:rsidRPr="00667CBD">
        <w:rPr>
          <w:sz w:val="22"/>
          <w:szCs w:val="22"/>
        </w:rPr>
        <w:t>Supp.</w:t>
      </w:r>
      <w:r>
        <w:rPr>
          <w:sz w:val="22"/>
          <w:szCs w:val="22"/>
        </w:rPr>
        <w:t xml:space="preserve"> </w:t>
      </w:r>
      <w:r w:rsidRPr="00667CBD">
        <w:rPr>
          <w:sz w:val="22"/>
          <w:szCs w:val="22"/>
        </w:rPr>
        <w:t>2d 28</w:t>
      </w:r>
      <w:r>
        <w:rPr>
          <w:sz w:val="22"/>
          <w:szCs w:val="22"/>
        </w:rPr>
        <w:t>, 29</w:t>
      </w:r>
      <w:r w:rsidRPr="00667CBD">
        <w:rPr>
          <w:sz w:val="22"/>
          <w:szCs w:val="22"/>
        </w:rPr>
        <w:t xml:space="preserve"> (D. Mass. 2002).  It should be noted that facial discrimination is a type of intentional discrimination claim and can serve as proof of discriminatory intent.  </w:t>
      </w:r>
      <w:r w:rsidR="00377A22">
        <w:rPr>
          <w:sz w:val="22"/>
          <w:szCs w:val="22"/>
        </w:rPr>
        <w:fldChar w:fldCharType="begin"/>
      </w:r>
      <w:r>
        <w:instrText xml:space="preserve"> TA \l "</w:instrText>
      </w:r>
      <w:r w:rsidRPr="00487D52">
        <w:rPr>
          <w:u w:val="single"/>
        </w:rPr>
        <w:instrText>Larkin v. Mich. Dep't of Social Servs.</w:instrText>
      </w:r>
      <w:r w:rsidRPr="00487D52">
        <w:instrText>,</w:instrText>
      </w:r>
      <w:r w:rsidRPr="00487D52">
        <w:br/>
        <w:instrText>89 F.3d 285 (6th Cir. 1996)</w:instrText>
      </w:r>
      <w:r>
        <w:instrText xml:space="preserve">" \s "WSFTA_bed157e0542e47839cc387ca2f95736f" \c 3 </w:instrText>
      </w:r>
      <w:r w:rsidR="00377A22">
        <w:rPr>
          <w:sz w:val="22"/>
          <w:szCs w:val="22"/>
        </w:rPr>
        <w:fldChar w:fldCharType="end"/>
      </w:r>
      <w:r w:rsidRPr="00667CBD">
        <w:rPr>
          <w:sz w:val="22"/>
          <w:szCs w:val="22"/>
          <w:u w:val="single"/>
        </w:rPr>
        <w:t>Larkin v. Mich. Dep’t of Social Servs.</w:t>
      </w:r>
      <w:r w:rsidRPr="00667CBD">
        <w:rPr>
          <w:sz w:val="22"/>
          <w:szCs w:val="22"/>
        </w:rPr>
        <w:t xml:space="preserve">, 89 F.3d 285, 289 (6th Cir. 1996); </w:t>
      </w:r>
      <w:r w:rsidR="00377A22">
        <w:rPr>
          <w:sz w:val="22"/>
          <w:szCs w:val="22"/>
        </w:rPr>
        <w:fldChar w:fldCharType="begin"/>
      </w:r>
      <w:r>
        <w:instrText xml:space="preserve"> TA \l "</w:instrText>
      </w:r>
      <w:r w:rsidRPr="00487D52">
        <w:rPr>
          <w:u w:val="single"/>
        </w:rPr>
        <w:instrText>Bangerter v. Orem City Corp.</w:instrText>
      </w:r>
      <w:r w:rsidRPr="00487D52">
        <w:instrText>,</w:instrText>
      </w:r>
      <w:r w:rsidRPr="00487D52">
        <w:br/>
        <w:instrText>46 F.3d 1491 (10th Cir. 1995)</w:instrText>
      </w:r>
      <w:r>
        <w:instrText xml:space="preserve">" \s "WSFTA_89f8783352264570affe86bba071c4cd" \c 3 </w:instrText>
      </w:r>
      <w:r w:rsidR="00377A22">
        <w:rPr>
          <w:sz w:val="22"/>
          <w:szCs w:val="22"/>
        </w:rPr>
        <w:fldChar w:fldCharType="end"/>
      </w:r>
      <w:r w:rsidRPr="00667CBD">
        <w:rPr>
          <w:sz w:val="22"/>
          <w:szCs w:val="22"/>
          <w:u w:val="single"/>
        </w:rPr>
        <w:t>Bangerter v. Orem City Corp.</w:t>
      </w:r>
      <w:r>
        <w:rPr>
          <w:sz w:val="22"/>
          <w:szCs w:val="22"/>
        </w:rPr>
        <w:t>, 46 F.3d 1491, 1500-</w:t>
      </w:r>
      <w:r w:rsidRPr="00667CBD">
        <w:rPr>
          <w:sz w:val="22"/>
          <w:szCs w:val="22"/>
        </w:rPr>
        <w:t xml:space="preserve">01 (10th Cir. 1995); </w:t>
      </w:r>
      <w:r w:rsidR="00377A22">
        <w:rPr>
          <w:sz w:val="22"/>
          <w:szCs w:val="22"/>
        </w:rPr>
        <w:fldChar w:fldCharType="begin"/>
      </w:r>
      <w:r>
        <w:instrText xml:space="preserve"> TA \l "" \s "WSFTA_cf128650d46b4a5cbab5c92de049854e" \c 3 </w:instrText>
      </w:r>
      <w:r w:rsidR="00377A22">
        <w:rPr>
          <w:sz w:val="22"/>
          <w:szCs w:val="22"/>
        </w:rPr>
        <w:fldChar w:fldCharType="end"/>
      </w:r>
      <w:r w:rsidRPr="00667CBD">
        <w:rPr>
          <w:sz w:val="22"/>
          <w:szCs w:val="22"/>
          <w:u w:val="single"/>
        </w:rPr>
        <w:t>First Step, Inc.</w:t>
      </w:r>
      <w:r w:rsidRPr="00667CBD">
        <w:rPr>
          <w:sz w:val="22"/>
          <w:szCs w:val="22"/>
        </w:rPr>
        <w:t xml:space="preserve">, 247 F. Supp. 2d at 150-51; </w:t>
      </w:r>
      <w:r w:rsidR="00377A22">
        <w:rPr>
          <w:sz w:val="22"/>
          <w:szCs w:val="22"/>
        </w:rPr>
        <w:fldChar w:fldCharType="begin"/>
      </w:r>
      <w:r>
        <w:instrText xml:space="preserve"> TA \l "" \s "WSFTA_022d2b00b12c4390a93631901379e1c9" \c 3 </w:instrText>
      </w:r>
      <w:r w:rsidR="00377A22">
        <w:rPr>
          <w:sz w:val="22"/>
          <w:szCs w:val="22"/>
        </w:rPr>
        <w:fldChar w:fldCharType="end"/>
      </w:r>
      <w:r w:rsidRPr="00667CBD">
        <w:rPr>
          <w:sz w:val="22"/>
          <w:szCs w:val="22"/>
          <w:u w:val="single"/>
        </w:rPr>
        <w:t>Hispanic Counseling Ctr.</w:t>
      </w:r>
      <w:r w:rsidRPr="00667CBD">
        <w:rPr>
          <w:sz w:val="22"/>
          <w:szCs w:val="22"/>
        </w:rPr>
        <w:t>, 237 F. Supp. 2d at 29</w:t>
      </w:r>
      <w:r>
        <w:rPr>
          <w:sz w:val="22"/>
          <w:szCs w:val="22"/>
        </w:rPr>
        <w:t>2-93</w:t>
      </w:r>
      <w:r w:rsidRPr="00667CBD">
        <w:rPr>
          <w:sz w:val="22"/>
          <w:szCs w:val="22"/>
        </w:rPr>
        <w:t xml:space="preserve">; </w:t>
      </w:r>
      <w:r w:rsidR="00377A22">
        <w:rPr>
          <w:sz w:val="22"/>
          <w:szCs w:val="22"/>
        </w:rPr>
        <w:fldChar w:fldCharType="begin"/>
      </w:r>
      <w:r>
        <w:instrText xml:space="preserve"> TA \l "</w:instrText>
      </w:r>
      <w:r w:rsidRPr="00487D52">
        <w:rPr>
          <w:u w:val="single"/>
        </w:rPr>
        <w:instrText>Sunrise Dev., Inc. v. Town of Huntington</w:instrText>
      </w:r>
      <w:r w:rsidRPr="00487D52">
        <w:instrText>,</w:instrText>
      </w:r>
      <w:r w:rsidRPr="00487D52">
        <w:br/>
        <w:instrText>62 F. Supp. 2d 762 (E.D.N.Y. 1999)</w:instrText>
      </w:r>
      <w:r>
        <w:instrText xml:space="preserve">" \s "WSFTA_1c04d6fdae0b42a7ae82d2668854e0bd" \c 3 </w:instrText>
      </w:r>
      <w:r w:rsidR="00377A22">
        <w:rPr>
          <w:sz w:val="22"/>
          <w:szCs w:val="22"/>
        </w:rPr>
        <w:fldChar w:fldCharType="end"/>
      </w:r>
      <w:r w:rsidRPr="00667CBD">
        <w:rPr>
          <w:sz w:val="22"/>
          <w:szCs w:val="22"/>
          <w:u w:val="single"/>
        </w:rPr>
        <w:t>Sunrise Dev., Inc. v. Town of Huntington</w:t>
      </w:r>
      <w:r w:rsidRPr="00667CBD">
        <w:rPr>
          <w:sz w:val="22"/>
          <w:szCs w:val="22"/>
        </w:rPr>
        <w:t>, 62 F. Supp. 2d 762, 774 (E.D.N.Y. 1999).</w:t>
      </w:r>
    </w:p>
  </w:footnote>
  <w:footnote w:id="129">
    <w:p w:rsidR="009A3240" w:rsidRDefault="009A3240" w:rsidP="00E174C2">
      <w:pPr>
        <w:pStyle w:val="FootnoteText"/>
        <w:rPr>
          <w:sz w:val="22"/>
          <w:szCs w:val="22"/>
        </w:rPr>
      </w:pPr>
      <w:r w:rsidRPr="00667CBD">
        <w:rPr>
          <w:rStyle w:val="FootnoteReference"/>
          <w:sz w:val="22"/>
          <w:szCs w:val="22"/>
        </w:rPr>
        <w:footnoteRef/>
      </w:r>
      <w:r w:rsidRPr="00667CBD">
        <w:rPr>
          <w:sz w:val="22"/>
          <w:szCs w:val="22"/>
        </w:rPr>
        <w:t xml:space="preserve"> </w:t>
      </w:r>
      <w:r w:rsidRPr="00667CBD">
        <w:rPr>
          <w:sz w:val="22"/>
          <w:szCs w:val="22"/>
          <w:u w:val="single"/>
        </w:rPr>
        <w:t>New Directions</w:t>
      </w:r>
      <w:r w:rsidRPr="00667CBD">
        <w:rPr>
          <w:sz w:val="22"/>
          <w:szCs w:val="22"/>
        </w:rPr>
        <w:t>, 490 F.3d</w:t>
      </w:r>
      <w:r>
        <w:rPr>
          <w:sz w:val="22"/>
          <w:szCs w:val="22"/>
        </w:rPr>
        <w:t xml:space="preserve"> at 306-07; </w:t>
      </w:r>
      <w:r w:rsidR="00377A22">
        <w:rPr>
          <w:sz w:val="22"/>
          <w:szCs w:val="22"/>
        </w:rPr>
        <w:fldChar w:fldCharType="begin"/>
      </w:r>
      <w:r>
        <w:instrText xml:space="preserve"> TA \l "" \s "WSFTA_80d4770cf6244eddb3df9f15b6ffe02f" \c 3 </w:instrText>
      </w:r>
      <w:r w:rsidR="00377A22">
        <w:rPr>
          <w:sz w:val="22"/>
          <w:szCs w:val="22"/>
        </w:rPr>
        <w:fldChar w:fldCharType="end"/>
      </w:r>
      <w:r w:rsidR="00377A22">
        <w:rPr>
          <w:sz w:val="22"/>
          <w:szCs w:val="22"/>
        </w:rPr>
        <w:fldChar w:fldCharType="begin"/>
      </w:r>
      <w:r>
        <w:instrText xml:space="preserve"> TA \l "" \s "WSFTA_ca868d52afc646c5b2d767a2577cbab9" \c 3 </w:instrText>
      </w:r>
      <w:r w:rsidR="00377A22">
        <w:rPr>
          <w:sz w:val="22"/>
          <w:szCs w:val="22"/>
        </w:rPr>
        <w:fldChar w:fldCharType="end"/>
      </w:r>
      <w:r w:rsidRPr="00667CBD">
        <w:rPr>
          <w:sz w:val="22"/>
          <w:szCs w:val="22"/>
          <w:u w:val="single"/>
        </w:rPr>
        <w:t>Bay Area</w:t>
      </w:r>
      <w:r w:rsidRPr="00667CBD">
        <w:rPr>
          <w:sz w:val="22"/>
          <w:szCs w:val="22"/>
        </w:rPr>
        <w:t xml:space="preserve">, 179 F.3d </w:t>
      </w:r>
      <w:r>
        <w:rPr>
          <w:sz w:val="22"/>
          <w:szCs w:val="22"/>
        </w:rPr>
        <w:t>at 737</w:t>
      </w:r>
      <w:r w:rsidRPr="0054419C">
        <w:rPr>
          <w:sz w:val="22"/>
          <w:szCs w:val="22"/>
        </w:rPr>
        <w:t xml:space="preserve">; </w:t>
      </w:r>
      <w:r w:rsidRPr="0054419C">
        <w:rPr>
          <w:sz w:val="22"/>
          <w:szCs w:val="22"/>
          <w:u w:val="single"/>
        </w:rPr>
        <w:t>Habit Management v. City of Lynn</w:t>
      </w:r>
      <w:r w:rsidRPr="0054419C">
        <w:rPr>
          <w:sz w:val="22"/>
          <w:szCs w:val="22"/>
        </w:rPr>
        <w:t>, 235 F.Supp.2d 28, 29 (D. Mass. 2002).</w:t>
      </w:r>
      <w:r w:rsidR="00377A22" w:rsidRPr="0054419C">
        <w:rPr>
          <w:sz w:val="22"/>
          <w:szCs w:val="22"/>
          <w:highlight w:val="yellow"/>
        </w:rPr>
        <w:fldChar w:fldCharType="begin"/>
      </w:r>
      <w:r w:rsidRPr="0054419C">
        <w:rPr>
          <w:sz w:val="22"/>
          <w:szCs w:val="22"/>
          <w:highlight w:val="yellow"/>
        </w:rPr>
        <w:instrText xml:space="preserve"> TA \l "" \s "WSFTA_1c04d6fdae0b42a7ae82d2668854e0bd" \c 3 </w:instrText>
      </w:r>
      <w:r w:rsidR="00377A22" w:rsidRPr="0054419C">
        <w:rPr>
          <w:sz w:val="22"/>
          <w:szCs w:val="22"/>
          <w:highlight w:val="yellow"/>
        </w:rPr>
        <w:fldChar w:fldCharType="end"/>
      </w:r>
      <w:r w:rsidRPr="0054419C">
        <w:rPr>
          <w:sz w:val="22"/>
          <w:szCs w:val="22"/>
        </w:rPr>
        <w:t xml:space="preserve">  </w:t>
      </w:r>
      <w:r w:rsidRPr="006135FC">
        <w:rPr>
          <w:sz w:val="22"/>
          <w:szCs w:val="22"/>
        </w:rPr>
        <w:t xml:space="preserve">In determining whether a program poses a direct threat to the health or safety of others, a public </w:t>
      </w:r>
      <w:r>
        <w:rPr>
          <w:sz w:val="22"/>
          <w:szCs w:val="22"/>
        </w:rPr>
        <w:t>entity</w:t>
      </w:r>
    </w:p>
    <w:p w:rsidR="009A3240" w:rsidRDefault="009A3240" w:rsidP="00E174C2">
      <w:pPr>
        <w:pStyle w:val="FootnoteText"/>
        <w:rPr>
          <w:sz w:val="22"/>
          <w:szCs w:val="22"/>
        </w:rPr>
      </w:pPr>
    </w:p>
    <w:p w:rsidR="009A3240" w:rsidRDefault="009A3240" w:rsidP="00E174C2">
      <w:pPr>
        <w:pStyle w:val="FootnoteText"/>
        <w:ind w:left="720" w:right="720" w:firstLine="0"/>
        <w:jc w:val="both"/>
        <w:rPr>
          <w:sz w:val="22"/>
          <w:szCs w:val="22"/>
        </w:rPr>
      </w:pPr>
      <w:r w:rsidRPr="006135FC">
        <w:rPr>
          <w:sz w:val="22"/>
          <w:szCs w:val="22"/>
        </w:rPr>
        <w:t>must make an individualized assessment, based on reasonable judgment that relies on current medical knowledge or on the best available objective evidence, to ascertain: the nature, duration, and severity of the risk; the probability that the potential injury will actually occur; and whether reasonable modifications of policies, practices, or procedures or the provision of auxiliary aids or s</w:t>
      </w:r>
      <w:r>
        <w:rPr>
          <w:sz w:val="22"/>
          <w:szCs w:val="22"/>
        </w:rPr>
        <w:t>ervices will mitigate the risk.</w:t>
      </w:r>
    </w:p>
    <w:p w:rsidR="009A3240" w:rsidRDefault="009A3240" w:rsidP="00E174C2">
      <w:pPr>
        <w:pStyle w:val="FootnoteText"/>
        <w:ind w:left="720" w:right="720" w:firstLine="0"/>
        <w:jc w:val="both"/>
        <w:rPr>
          <w:sz w:val="22"/>
          <w:szCs w:val="22"/>
        </w:rPr>
      </w:pPr>
    </w:p>
    <w:p w:rsidR="009A3240" w:rsidRPr="0054419C" w:rsidRDefault="00377A22" w:rsidP="00E174C2">
      <w:pPr>
        <w:pStyle w:val="FootnoteText"/>
        <w:ind w:firstLine="0"/>
        <w:rPr>
          <w:sz w:val="22"/>
          <w:szCs w:val="22"/>
        </w:rPr>
      </w:pPr>
      <w:r w:rsidRPr="0054419C">
        <w:rPr>
          <w:sz w:val="22"/>
          <w:szCs w:val="22"/>
        </w:rPr>
        <w:fldChar w:fldCharType="begin"/>
      </w:r>
      <w:r w:rsidR="009A3240" w:rsidRPr="0054419C">
        <w:rPr>
          <w:sz w:val="22"/>
          <w:szCs w:val="22"/>
        </w:rPr>
        <w:instrText xml:space="preserve"> TA \l "29 C.F.R. Part 35 App. A Section 35.104 (2009)" \s "WSFTA_0dc30906cce0435b8af34683182f5002" \c 12 </w:instrText>
      </w:r>
      <w:r w:rsidRPr="0054419C">
        <w:rPr>
          <w:sz w:val="22"/>
          <w:szCs w:val="22"/>
        </w:rPr>
        <w:fldChar w:fldCharType="end"/>
      </w:r>
      <w:r w:rsidR="009A3240">
        <w:rPr>
          <w:sz w:val="22"/>
          <w:szCs w:val="22"/>
        </w:rPr>
        <w:t>28 C.F.R. pt. 35 app. A, Section</w:t>
      </w:r>
      <w:r w:rsidR="009A3240" w:rsidRPr="0054419C">
        <w:rPr>
          <w:sz w:val="22"/>
          <w:szCs w:val="22"/>
        </w:rPr>
        <w:t xml:space="preserve"> 35.104 (2009); </w:t>
      </w:r>
      <w:r w:rsidRPr="0054419C">
        <w:rPr>
          <w:sz w:val="22"/>
          <w:szCs w:val="22"/>
        </w:rPr>
        <w:fldChar w:fldCharType="begin"/>
      </w:r>
      <w:r w:rsidR="009A3240" w:rsidRPr="0054419C">
        <w:rPr>
          <w:sz w:val="22"/>
          <w:szCs w:val="22"/>
        </w:rPr>
        <w:instrText xml:space="preserve"> TA \l "29 C.F.R. §35.139" \s "WSFTA_1226756c96bd47928c09510d58147f05" \c 12 </w:instrText>
      </w:r>
      <w:r w:rsidRPr="0054419C">
        <w:rPr>
          <w:sz w:val="22"/>
          <w:szCs w:val="22"/>
        </w:rPr>
        <w:fldChar w:fldCharType="end"/>
      </w:r>
      <w:r w:rsidR="009A3240" w:rsidRPr="0054419C">
        <w:rPr>
          <w:sz w:val="22"/>
          <w:szCs w:val="22"/>
        </w:rPr>
        <w:t>28 C.F.R. § 35.139 (eff. Mar. 15, 2011).</w:t>
      </w:r>
    </w:p>
  </w:footnote>
  <w:footnote w:id="130">
    <w:p w:rsidR="009A3240" w:rsidRPr="00B76120" w:rsidRDefault="009A3240" w:rsidP="00B76C8F">
      <w:pPr>
        <w:pStyle w:val="FootnoteText"/>
        <w:rPr>
          <w:sz w:val="22"/>
          <w:szCs w:val="22"/>
        </w:rPr>
      </w:pPr>
      <w:r w:rsidRPr="00B76120">
        <w:rPr>
          <w:rStyle w:val="FootnoteReference"/>
          <w:sz w:val="22"/>
          <w:szCs w:val="22"/>
        </w:rPr>
        <w:footnoteRef/>
      </w:r>
      <w:r w:rsidRPr="00B76120">
        <w:rPr>
          <w:sz w:val="22"/>
          <w:szCs w:val="22"/>
        </w:rPr>
        <w:t xml:space="preserve"> </w:t>
      </w:r>
      <w:r>
        <w:rPr>
          <w:sz w:val="22"/>
          <w:szCs w:val="22"/>
        </w:rPr>
        <w:t>490 F.3d at 296-97.</w:t>
      </w:r>
    </w:p>
  </w:footnote>
  <w:footnote w:id="131">
    <w:p w:rsidR="009A3240" w:rsidRPr="008A0E23" w:rsidRDefault="009A3240" w:rsidP="00B76C8F">
      <w:pPr>
        <w:pStyle w:val="FootnoteText"/>
        <w:rPr>
          <w:sz w:val="22"/>
          <w:szCs w:val="22"/>
        </w:rPr>
      </w:pPr>
      <w:r w:rsidRPr="008A0E23">
        <w:rPr>
          <w:rStyle w:val="FootnoteReference"/>
          <w:sz w:val="22"/>
          <w:szCs w:val="22"/>
        </w:rPr>
        <w:footnoteRef/>
      </w:r>
      <w:r w:rsidRPr="008A0E23">
        <w:rPr>
          <w:sz w:val="22"/>
          <w:szCs w:val="22"/>
        </w:rPr>
        <w:t xml:space="preserve"> </w:t>
      </w:r>
      <w:r w:rsidR="00377A22" w:rsidRPr="004607DC">
        <w:rPr>
          <w:sz w:val="22"/>
          <w:szCs w:val="22"/>
          <w:u w:val="single"/>
        </w:rPr>
        <w:fldChar w:fldCharType="begin"/>
      </w:r>
      <w:r w:rsidRPr="004607DC">
        <w:rPr>
          <w:u w:val="single"/>
        </w:rPr>
        <w:instrText xml:space="preserve"> TA \l "" \s "WSFTA_28a3db6492fb49fdad1f1da8cea00e05" \c 3 </w:instrText>
      </w:r>
      <w:r w:rsidR="00377A22" w:rsidRPr="004607DC">
        <w:rPr>
          <w:sz w:val="22"/>
          <w:szCs w:val="22"/>
          <w:u w:val="single"/>
        </w:rPr>
        <w:fldChar w:fldCharType="end"/>
      </w:r>
      <w:r>
        <w:rPr>
          <w:sz w:val="22"/>
          <w:szCs w:val="22"/>
          <w:u w:val="single"/>
        </w:rPr>
        <w:t>Id.</w:t>
      </w:r>
      <w:r w:rsidRPr="008A0E23">
        <w:rPr>
          <w:sz w:val="22"/>
          <w:szCs w:val="22"/>
        </w:rPr>
        <w:t xml:space="preserve"> </w:t>
      </w:r>
      <w:r>
        <w:rPr>
          <w:sz w:val="22"/>
          <w:szCs w:val="22"/>
        </w:rPr>
        <w:t>at 298-</w:t>
      </w:r>
      <w:r w:rsidRPr="008A0E23">
        <w:rPr>
          <w:sz w:val="22"/>
          <w:szCs w:val="22"/>
        </w:rPr>
        <w:t xml:space="preserve">99.  </w:t>
      </w:r>
    </w:p>
  </w:footnote>
  <w:footnote w:id="132">
    <w:p w:rsidR="009A3240" w:rsidRPr="00D7109B" w:rsidRDefault="009A3240" w:rsidP="00B76C8F">
      <w:pPr>
        <w:pStyle w:val="FootnoteText"/>
        <w:rPr>
          <w:sz w:val="22"/>
          <w:szCs w:val="22"/>
        </w:rPr>
      </w:pPr>
      <w:r w:rsidRPr="008A0E23">
        <w:rPr>
          <w:rStyle w:val="FootnoteReference"/>
          <w:sz w:val="22"/>
          <w:szCs w:val="22"/>
        </w:rPr>
        <w:footnoteRef/>
      </w:r>
      <w:r w:rsidRPr="008A0E23">
        <w:rPr>
          <w:sz w:val="22"/>
          <w:szCs w:val="22"/>
        </w:rPr>
        <w:t xml:space="preserve"> </w:t>
      </w:r>
      <w:r w:rsidR="00377A22" w:rsidRPr="00D7109B">
        <w:rPr>
          <w:sz w:val="22"/>
          <w:szCs w:val="22"/>
        </w:rPr>
        <w:fldChar w:fldCharType="begin"/>
      </w:r>
      <w:r w:rsidRPr="00D7109B">
        <w:rPr>
          <w:sz w:val="22"/>
          <w:szCs w:val="22"/>
        </w:rPr>
        <w:instrText xml:space="preserve"> TA \l "" \s "WSFTA_28a3db6492fb49fdad1f1da8cea00e05" \c 3 </w:instrText>
      </w:r>
      <w:r w:rsidR="00377A22" w:rsidRPr="00D7109B">
        <w:rPr>
          <w:sz w:val="22"/>
          <w:szCs w:val="22"/>
        </w:rPr>
        <w:fldChar w:fldCharType="end"/>
      </w:r>
      <w:r w:rsidRPr="00D7109B">
        <w:rPr>
          <w:sz w:val="22"/>
          <w:szCs w:val="22"/>
          <w:u w:val="single"/>
        </w:rPr>
        <w:t>Id.</w:t>
      </w:r>
      <w:r w:rsidRPr="00D7109B">
        <w:rPr>
          <w:sz w:val="22"/>
          <w:szCs w:val="22"/>
        </w:rPr>
        <w:t xml:space="preserve"> at 304.  </w:t>
      </w:r>
      <w:r w:rsidR="00377A22" w:rsidRPr="00D7109B">
        <w:rPr>
          <w:sz w:val="22"/>
          <w:szCs w:val="22"/>
        </w:rPr>
        <w:fldChar w:fldCharType="begin"/>
      </w:r>
      <w:r w:rsidRPr="00D7109B">
        <w:rPr>
          <w:sz w:val="22"/>
          <w:szCs w:val="22"/>
        </w:rPr>
        <w:instrText xml:space="preserve"> TA \l "" \s "WSFTA_28a3db6492fb49fdad1f1da8cea00e05" \c 3 </w:instrText>
      </w:r>
      <w:r w:rsidR="00377A22" w:rsidRPr="00D7109B">
        <w:rPr>
          <w:sz w:val="22"/>
          <w:szCs w:val="22"/>
        </w:rPr>
        <w:fldChar w:fldCharType="end"/>
      </w:r>
    </w:p>
  </w:footnote>
  <w:footnote w:id="133">
    <w:p w:rsidR="009A3240" w:rsidRDefault="009A3240" w:rsidP="00B76C8F">
      <w:pPr>
        <w:pStyle w:val="FootnoteText"/>
      </w:pPr>
      <w:r>
        <w:rPr>
          <w:rStyle w:val="FootnoteReference"/>
        </w:rPr>
        <w:footnoteRef/>
      </w:r>
      <w:r>
        <w:t xml:space="preserve"> </w:t>
      </w:r>
      <w:r w:rsidRPr="00D7109B">
        <w:rPr>
          <w:sz w:val="22"/>
          <w:szCs w:val="22"/>
          <w:u w:val="single"/>
        </w:rPr>
        <w:t>Id</w:t>
      </w:r>
      <w:r w:rsidRPr="00214618">
        <w:rPr>
          <w:sz w:val="22"/>
          <w:szCs w:val="22"/>
          <w:u w:val="single"/>
        </w:rPr>
        <w:t>.</w:t>
      </w:r>
      <w:r w:rsidRPr="00D7109B">
        <w:rPr>
          <w:sz w:val="22"/>
          <w:szCs w:val="22"/>
        </w:rPr>
        <w:t xml:space="preserve"> at 306-7 (relying on “the objective viewpoint[]” of the National Institute on Drug Abuse, which reported that the criminal activity of individuals receiving methadone decreased by 51%</w:t>
      </w:r>
      <w:r>
        <w:rPr>
          <w:sz w:val="22"/>
          <w:szCs w:val="22"/>
        </w:rPr>
        <w:t xml:space="preserve">, and </w:t>
      </w:r>
      <w:r w:rsidRPr="00D7109B">
        <w:rPr>
          <w:sz w:val="22"/>
          <w:szCs w:val="22"/>
        </w:rPr>
        <w:t>concluding that the record demonstrated no link between methad</w:t>
      </w:r>
      <w:r>
        <w:rPr>
          <w:sz w:val="22"/>
          <w:szCs w:val="22"/>
        </w:rPr>
        <w:t>one clinics and increased crime</w:t>
      </w:r>
      <w:r w:rsidRPr="00D7109B">
        <w:rPr>
          <w:sz w:val="22"/>
          <w:szCs w:val="22"/>
        </w:rPr>
        <w:t>).</w:t>
      </w:r>
    </w:p>
  </w:footnote>
  <w:footnote w:id="134">
    <w:p w:rsidR="009A3240" w:rsidRPr="00C9270B" w:rsidRDefault="009A3240" w:rsidP="00B76C8F">
      <w:pPr>
        <w:pStyle w:val="FootnoteText"/>
      </w:pPr>
      <w:r>
        <w:rPr>
          <w:rStyle w:val="FootnoteReference"/>
        </w:rPr>
        <w:footnoteRef/>
      </w:r>
      <w:r>
        <w:t xml:space="preserve"> </w:t>
      </w:r>
      <w:r w:rsidRPr="00C9270B">
        <w:rPr>
          <w:sz w:val="22"/>
          <w:szCs w:val="22"/>
          <w:u w:val="single"/>
        </w:rPr>
        <w:t>Id.</w:t>
      </w:r>
      <w:r w:rsidRPr="00C9270B">
        <w:rPr>
          <w:sz w:val="22"/>
          <w:szCs w:val="22"/>
        </w:rPr>
        <w:t xml:space="preserve"> at 307.</w:t>
      </w:r>
    </w:p>
  </w:footnote>
  <w:footnote w:id="135">
    <w:p w:rsidR="009A3240" w:rsidRDefault="009A3240" w:rsidP="00B76C8F">
      <w:pPr>
        <w:pStyle w:val="FootnoteText"/>
      </w:pPr>
      <w:r>
        <w:rPr>
          <w:rStyle w:val="FootnoteReference"/>
        </w:rPr>
        <w:footnoteRef/>
      </w:r>
      <w:r>
        <w:t xml:space="preserve"> </w:t>
      </w:r>
      <w:r w:rsidR="00377A22">
        <w:fldChar w:fldCharType="begin"/>
      </w:r>
      <w:r>
        <w:instrText xml:space="preserve"> TA \l "" \s "WSFTA_80d4770cf6244eddb3df9f15b6ffe02f" \c 3 </w:instrText>
      </w:r>
      <w:r w:rsidR="00377A22">
        <w:fldChar w:fldCharType="end"/>
      </w:r>
      <w:r>
        <w:rPr>
          <w:sz w:val="22"/>
          <w:szCs w:val="22"/>
        </w:rPr>
        <w:t>179 F.3d at 727-28.</w:t>
      </w:r>
    </w:p>
  </w:footnote>
  <w:footnote w:id="136">
    <w:p w:rsidR="009A3240" w:rsidRPr="00667CBD" w:rsidRDefault="009A3240" w:rsidP="00B76C8F">
      <w:pPr>
        <w:pStyle w:val="FootnoteText"/>
        <w:rPr>
          <w:sz w:val="22"/>
          <w:szCs w:val="22"/>
        </w:rPr>
      </w:pPr>
      <w:r w:rsidRPr="00667CBD">
        <w:rPr>
          <w:rStyle w:val="FootnoteReference"/>
          <w:sz w:val="22"/>
          <w:szCs w:val="22"/>
        </w:rPr>
        <w:footnoteRef/>
      </w:r>
      <w:r w:rsidRPr="00667CBD">
        <w:rPr>
          <w:sz w:val="22"/>
          <w:szCs w:val="22"/>
        </w:rPr>
        <w:t xml:space="preserve"> </w:t>
      </w:r>
      <w:r w:rsidR="00377A22">
        <w:rPr>
          <w:sz w:val="22"/>
          <w:szCs w:val="22"/>
        </w:rPr>
        <w:fldChar w:fldCharType="begin"/>
      </w:r>
      <w:r>
        <w:instrText xml:space="preserve"> TA \l "" \s "WSFTA_80d4770cf6244eddb3df9f15b6ffe02f" \c 3 </w:instrText>
      </w:r>
      <w:r w:rsidR="00377A22">
        <w:rPr>
          <w:sz w:val="22"/>
          <w:szCs w:val="22"/>
        </w:rPr>
        <w:fldChar w:fldCharType="end"/>
      </w:r>
      <w:r w:rsidRPr="00667CBD">
        <w:rPr>
          <w:sz w:val="22"/>
          <w:szCs w:val="22"/>
          <w:u w:val="single"/>
        </w:rPr>
        <w:t>Id.</w:t>
      </w:r>
      <w:r w:rsidRPr="00667CBD">
        <w:rPr>
          <w:sz w:val="22"/>
          <w:szCs w:val="22"/>
        </w:rPr>
        <w:t xml:space="preserve"> at 734</w:t>
      </w:r>
      <w:r>
        <w:rPr>
          <w:sz w:val="22"/>
          <w:szCs w:val="22"/>
        </w:rPr>
        <w:t>-35</w:t>
      </w:r>
      <w:r w:rsidRPr="00667CBD">
        <w:rPr>
          <w:sz w:val="22"/>
          <w:szCs w:val="22"/>
        </w:rPr>
        <w:t xml:space="preserve">.  </w:t>
      </w:r>
    </w:p>
  </w:footnote>
  <w:footnote w:id="137">
    <w:p w:rsidR="009A3240" w:rsidRPr="00B76120" w:rsidRDefault="009A3240" w:rsidP="00B76C8F">
      <w:pPr>
        <w:pStyle w:val="FootnoteText"/>
        <w:rPr>
          <w:sz w:val="22"/>
          <w:szCs w:val="22"/>
        </w:rPr>
      </w:pPr>
      <w:r>
        <w:rPr>
          <w:rStyle w:val="FootnoteReference"/>
        </w:rPr>
        <w:footnoteRef/>
      </w:r>
      <w:r w:rsidRPr="00B76120">
        <w:rPr>
          <w:sz w:val="22"/>
          <w:szCs w:val="22"/>
        </w:rPr>
        <w:t xml:space="preserve"> </w:t>
      </w:r>
      <w:r w:rsidR="00377A22" w:rsidRPr="00B76120">
        <w:rPr>
          <w:sz w:val="22"/>
          <w:szCs w:val="22"/>
        </w:rPr>
        <w:fldChar w:fldCharType="begin"/>
      </w:r>
      <w:r w:rsidRPr="00B76120">
        <w:rPr>
          <w:sz w:val="22"/>
          <w:szCs w:val="22"/>
        </w:rPr>
        <w:instrText xml:space="preserve"> TA \l "" \s "WSFTA_80d4770cf6244eddb3df9f15b6ffe02f" \c 3 </w:instrText>
      </w:r>
      <w:r w:rsidR="00377A22" w:rsidRPr="00B76120">
        <w:rPr>
          <w:sz w:val="22"/>
          <w:szCs w:val="22"/>
        </w:rPr>
        <w:fldChar w:fldCharType="end"/>
      </w:r>
      <w:r w:rsidRPr="00B76120">
        <w:rPr>
          <w:sz w:val="22"/>
          <w:szCs w:val="22"/>
          <w:u w:val="single"/>
        </w:rPr>
        <w:t>Id.</w:t>
      </w:r>
      <w:r w:rsidRPr="00B76120">
        <w:rPr>
          <w:sz w:val="22"/>
          <w:szCs w:val="22"/>
        </w:rPr>
        <w:t xml:space="preserve"> at 735, 737.  </w:t>
      </w:r>
    </w:p>
  </w:footnote>
  <w:footnote w:id="138">
    <w:p w:rsidR="009A3240" w:rsidRPr="00667CBD" w:rsidRDefault="009A3240" w:rsidP="00B76C8F">
      <w:pPr>
        <w:pStyle w:val="FootnoteText"/>
        <w:rPr>
          <w:sz w:val="22"/>
          <w:szCs w:val="22"/>
        </w:rPr>
      </w:pPr>
      <w:r w:rsidRPr="00667CBD">
        <w:rPr>
          <w:rStyle w:val="FootnoteReference"/>
          <w:sz w:val="22"/>
          <w:szCs w:val="22"/>
        </w:rPr>
        <w:footnoteRef/>
      </w:r>
      <w:r w:rsidRPr="00667CBD">
        <w:rPr>
          <w:sz w:val="22"/>
          <w:szCs w:val="22"/>
        </w:rPr>
        <w:t xml:space="preserve"> </w:t>
      </w:r>
      <w:r w:rsidR="00377A22">
        <w:rPr>
          <w:sz w:val="22"/>
          <w:szCs w:val="22"/>
        </w:rPr>
        <w:fldChar w:fldCharType="begin"/>
      </w:r>
      <w:r>
        <w:instrText xml:space="preserve"> TA \l "" \s "WSFTA_80d4770cf6244eddb3df9f15b6ffe02f" \c 3 </w:instrText>
      </w:r>
      <w:r w:rsidR="00377A22">
        <w:rPr>
          <w:sz w:val="22"/>
          <w:szCs w:val="22"/>
        </w:rPr>
        <w:fldChar w:fldCharType="end"/>
      </w:r>
      <w:r w:rsidRPr="00667CBD">
        <w:rPr>
          <w:sz w:val="22"/>
          <w:szCs w:val="22"/>
          <w:u w:val="single"/>
        </w:rPr>
        <w:t>Id.</w:t>
      </w:r>
      <w:r>
        <w:rPr>
          <w:sz w:val="22"/>
          <w:szCs w:val="22"/>
        </w:rPr>
        <w:t xml:space="preserve"> at 737.</w:t>
      </w:r>
      <w:r w:rsidRPr="00667CBD">
        <w:rPr>
          <w:sz w:val="22"/>
          <w:szCs w:val="22"/>
        </w:rPr>
        <w:t xml:space="preserve">  </w:t>
      </w:r>
    </w:p>
  </w:footnote>
  <w:footnote w:id="139">
    <w:p w:rsidR="009A3240" w:rsidRPr="00C9270B" w:rsidRDefault="009A3240" w:rsidP="00B76C8F">
      <w:pPr>
        <w:pStyle w:val="FootnoteText"/>
        <w:rPr>
          <w:sz w:val="22"/>
          <w:szCs w:val="22"/>
        </w:rPr>
      </w:pPr>
      <w:r w:rsidRPr="00667CBD">
        <w:rPr>
          <w:rStyle w:val="FootnoteReference"/>
          <w:sz w:val="22"/>
          <w:szCs w:val="22"/>
        </w:rPr>
        <w:footnoteRef/>
      </w:r>
      <w:r w:rsidRPr="00667CBD">
        <w:rPr>
          <w:sz w:val="22"/>
          <w:szCs w:val="22"/>
        </w:rPr>
        <w:t xml:space="preserve"> </w:t>
      </w:r>
      <w:r w:rsidR="00377A22" w:rsidRPr="00C9270B">
        <w:rPr>
          <w:sz w:val="22"/>
          <w:szCs w:val="22"/>
        </w:rPr>
        <w:fldChar w:fldCharType="begin"/>
      </w:r>
      <w:r w:rsidRPr="00C9270B">
        <w:rPr>
          <w:sz w:val="22"/>
          <w:szCs w:val="22"/>
        </w:rPr>
        <w:instrText xml:space="preserve"> TA \l "</w:instrText>
      </w:r>
      <w:r w:rsidRPr="00C9270B">
        <w:rPr>
          <w:sz w:val="22"/>
          <w:szCs w:val="22"/>
          <w:u w:val="single"/>
        </w:rPr>
        <w:instrText>Bay Area Addiction Research and Treatment, Inc. v. City of Antioch</w:instrText>
      </w:r>
      <w:r w:rsidRPr="00C9270B">
        <w:rPr>
          <w:sz w:val="22"/>
          <w:szCs w:val="22"/>
        </w:rPr>
        <w:instrText>,</w:instrText>
      </w:r>
      <w:r w:rsidRPr="00C9270B">
        <w:rPr>
          <w:sz w:val="22"/>
          <w:szCs w:val="22"/>
        </w:rPr>
        <w:br/>
        <w:instrText xml:space="preserve">No. C 98-2651, 2000 WL 33716782 (N.D. Cal. 2000)" \s "WSFTA_3ed1e5e2fdb446698b3aebd36202a59c" \c 3 </w:instrText>
      </w:r>
      <w:r w:rsidR="00377A22" w:rsidRPr="00C9270B">
        <w:rPr>
          <w:sz w:val="22"/>
          <w:szCs w:val="22"/>
        </w:rPr>
        <w:fldChar w:fldCharType="end"/>
      </w:r>
      <w:r w:rsidRPr="00C9270B">
        <w:rPr>
          <w:sz w:val="22"/>
          <w:szCs w:val="22"/>
          <w:u w:val="single"/>
        </w:rPr>
        <w:t>Bay Area Addiction Research and Treatment, Inc. v. City of Antioch</w:t>
      </w:r>
      <w:r w:rsidRPr="00C9270B">
        <w:rPr>
          <w:sz w:val="22"/>
          <w:szCs w:val="22"/>
        </w:rPr>
        <w:t>, No. C 98-2651 SI, 2000 WL 33716782, at *</w:t>
      </w:r>
      <w:r>
        <w:rPr>
          <w:sz w:val="22"/>
          <w:szCs w:val="22"/>
        </w:rPr>
        <w:t>11-</w:t>
      </w:r>
      <w:r w:rsidRPr="00C9270B">
        <w:rPr>
          <w:sz w:val="22"/>
          <w:szCs w:val="22"/>
        </w:rPr>
        <w:t xml:space="preserve">12 (N.D. Cal. </w:t>
      </w:r>
      <w:r>
        <w:rPr>
          <w:sz w:val="22"/>
          <w:szCs w:val="22"/>
        </w:rPr>
        <w:t xml:space="preserve">March 16, </w:t>
      </w:r>
      <w:r w:rsidRPr="00C9270B">
        <w:rPr>
          <w:sz w:val="22"/>
          <w:szCs w:val="22"/>
        </w:rPr>
        <w:t>2000).</w:t>
      </w:r>
    </w:p>
  </w:footnote>
  <w:footnote w:id="140">
    <w:p w:rsidR="009A3240" w:rsidRPr="00667CBD" w:rsidRDefault="009A3240" w:rsidP="00B76C8F">
      <w:pPr>
        <w:pStyle w:val="FootnoteText"/>
        <w:rPr>
          <w:sz w:val="22"/>
          <w:szCs w:val="22"/>
        </w:rPr>
      </w:pPr>
      <w:r w:rsidRPr="00667CBD">
        <w:rPr>
          <w:rStyle w:val="FootnoteReference"/>
          <w:sz w:val="22"/>
          <w:szCs w:val="22"/>
        </w:rPr>
        <w:footnoteRef/>
      </w:r>
      <w:r w:rsidRPr="00667CBD">
        <w:rPr>
          <w:sz w:val="22"/>
          <w:szCs w:val="22"/>
        </w:rPr>
        <w:t xml:space="preserve"> </w:t>
      </w:r>
      <w:r w:rsidR="00377A22">
        <w:rPr>
          <w:sz w:val="22"/>
          <w:szCs w:val="22"/>
        </w:rPr>
        <w:fldChar w:fldCharType="begin"/>
      </w:r>
      <w:r>
        <w:instrText xml:space="preserve"> TA \l "" \s "WSFTA_ca868d52afc646c5b2d767a2577cbab9" \c 3 </w:instrText>
      </w:r>
      <w:r w:rsidR="00377A22">
        <w:rPr>
          <w:sz w:val="22"/>
          <w:szCs w:val="22"/>
        </w:rPr>
        <w:fldChar w:fldCharType="end"/>
      </w:r>
      <w:r w:rsidRPr="00667CBD">
        <w:rPr>
          <w:sz w:val="22"/>
          <w:szCs w:val="22"/>
        </w:rPr>
        <w:t>293 F.3d at 329</w:t>
      </w:r>
      <w:r>
        <w:rPr>
          <w:sz w:val="22"/>
          <w:szCs w:val="22"/>
        </w:rPr>
        <w:t>-330</w:t>
      </w:r>
      <w:r w:rsidRPr="00667CBD">
        <w:rPr>
          <w:sz w:val="22"/>
          <w:szCs w:val="22"/>
        </w:rPr>
        <w:t xml:space="preserve">.  </w:t>
      </w:r>
    </w:p>
  </w:footnote>
  <w:footnote w:id="141">
    <w:p w:rsidR="009A3240" w:rsidRPr="00667CBD" w:rsidRDefault="009A3240" w:rsidP="00B76C8F">
      <w:pPr>
        <w:pStyle w:val="FootnoteText"/>
        <w:rPr>
          <w:sz w:val="22"/>
          <w:szCs w:val="22"/>
        </w:rPr>
      </w:pPr>
      <w:r w:rsidRPr="00667CBD">
        <w:rPr>
          <w:rStyle w:val="FootnoteReference"/>
          <w:sz w:val="22"/>
          <w:szCs w:val="22"/>
        </w:rPr>
        <w:footnoteRef/>
      </w:r>
      <w:r w:rsidRPr="00667CBD">
        <w:rPr>
          <w:sz w:val="22"/>
          <w:szCs w:val="22"/>
        </w:rPr>
        <w:t xml:space="preserve"> </w:t>
      </w:r>
      <w:r w:rsidR="00377A22">
        <w:rPr>
          <w:sz w:val="22"/>
          <w:szCs w:val="22"/>
        </w:rPr>
        <w:fldChar w:fldCharType="begin"/>
      </w:r>
      <w:r>
        <w:instrText xml:space="preserve"> TA \l "" \s "WSFTA_ca868d52afc646c5b2d767a2577cbab9" \c 3 </w:instrText>
      </w:r>
      <w:r w:rsidR="00377A22">
        <w:rPr>
          <w:sz w:val="22"/>
          <w:szCs w:val="22"/>
        </w:rPr>
        <w:fldChar w:fldCharType="end"/>
      </w:r>
      <w:r w:rsidRPr="00667CBD">
        <w:rPr>
          <w:sz w:val="22"/>
          <w:szCs w:val="22"/>
          <w:u w:val="single"/>
        </w:rPr>
        <w:t>Id.</w:t>
      </w:r>
      <w:r>
        <w:rPr>
          <w:sz w:val="22"/>
          <w:szCs w:val="22"/>
        </w:rPr>
        <w:t xml:space="preserve"> at 330-</w:t>
      </w:r>
      <w:r w:rsidRPr="00667CBD">
        <w:rPr>
          <w:sz w:val="22"/>
          <w:szCs w:val="22"/>
        </w:rPr>
        <w:t xml:space="preserve">31.  </w:t>
      </w:r>
    </w:p>
  </w:footnote>
  <w:footnote w:id="142">
    <w:p w:rsidR="009A3240" w:rsidRPr="00667CBD" w:rsidRDefault="009A3240" w:rsidP="00B76C8F">
      <w:pPr>
        <w:pStyle w:val="FootnoteText"/>
        <w:rPr>
          <w:sz w:val="22"/>
          <w:szCs w:val="22"/>
        </w:rPr>
      </w:pPr>
      <w:r w:rsidRPr="00667CBD">
        <w:rPr>
          <w:rStyle w:val="FootnoteReference"/>
          <w:sz w:val="22"/>
          <w:szCs w:val="22"/>
        </w:rPr>
        <w:footnoteRef/>
      </w:r>
      <w:r w:rsidRPr="00667CBD">
        <w:rPr>
          <w:sz w:val="22"/>
          <w:szCs w:val="22"/>
        </w:rPr>
        <w:t xml:space="preserve"> </w:t>
      </w:r>
      <w:r w:rsidR="00377A22">
        <w:rPr>
          <w:sz w:val="22"/>
          <w:szCs w:val="22"/>
        </w:rPr>
        <w:fldChar w:fldCharType="begin"/>
      </w:r>
      <w:r>
        <w:instrText xml:space="preserve"> TA \l "" \s "WSFTA_ca868d52afc646c5b2d767a2577cbab9" \c 3 </w:instrText>
      </w:r>
      <w:r w:rsidR="00377A22">
        <w:rPr>
          <w:sz w:val="22"/>
          <w:szCs w:val="22"/>
        </w:rPr>
        <w:fldChar w:fldCharType="end"/>
      </w:r>
      <w:r w:rsidRPr="00667CBD">
        <w:rPr>
          <w:sz w:val="22"/>
          <w:szCs w:val="22"/>
          <w:u w:val="single"/>
        </w:rPr>
        <w:t>Id.</w:t>
      </w:r>
      <w:r>
        <w:rPr>
          <w:sz w:val="22"/>
          <w:szCs w:val="22"/>
        </w:rPr>
        <w:t xml:space="preserve"> at 328, 344-</w:t>
      </w:r>
      <w:r w:rsidRPr="00667CBD">
        <w:rPr>
          <w:sz w:val="22"/>
          <w:szCs w:val="22"/>
        </w:rPr>
        <w:t xml:space="preserve">45.  </w:t>
      </w:r>
    </w:p>
  </w:footnote>
  <w:footnote w:id="143">
    <w:p w:rsidR="009A3240" w:rsidRPr="00667CBD" w:rsidRDefault="009A3240" w:rsidP="00B76C8F">
      <w:pPr>
        <w:pStyle w:val="FootnoteText"/>
        <w:rPr>
          <w:sz w:val="22"/>
          <w:szCs w:val="22"/>
        </w:rPr>
      </w:pPr>
      <w:r w:rsidRPr="00667CBD">
        <w:rPr>
          <w:rStyle w:val="FootnoteReference"/>
          <w:sz w:val="22"/>
          <w:szCs w:val="22"/>
        </w:rPr>
        <w:footnoteRef/>
      </w:r>
      <w:r w:rsidRPr="00667CBD">
        <w:rPr>
          <w:sz w:val="22"/>
          <w:szCs w:val="22"/>
        </w:rPr>
        <w:t xml:space="preserve"> </w:t>
      </w:r>
      <w:r w:rsidR="00377A22">
        <w:rPr>
          <w:sz w:val="22"/>
          <w:szCs w:val="22"/>
        </w:rPr>
        <w:fldChar w:fldCharType="begin"/>
      </w:r>
      <w:r>
        <w:instrText xml:space="preserve"> TA \l "" \s "WSFTA_ca868d52afc646c5b2d767a2577cbab9" \c 3 </w:instrText>
      </w:r>
      <w:r w:rsidR="00377A22">
        <w:rPr>
          <w:sz w:val="22"/>
          <w:szCs w:val="22"/>
        </w:rPr>
        <w:fldChar w:fldCharType="end"/>
      </w:r>
      <w:r w:rsidRPr="00667CBD">
        <w:rPr>
          <w:sz w:val="22"/>
          <w:szCs w:val="22"/>
          <w:u w:val="single"/>
        </w:rPr>
        <w:t>Id</w:t>
      </w:r>
      <w:r w:rsidRPr="00214618">
        <w:rPr>
          <w:sz w:val="22"/>
          <w:szCs w:val="22"/>
          <w:u w:val="single"/>
        </w:rPr>
        <w:t>.</w:t>
      </w:r>
      <w:r w:rsidRPr="00667CBD">
        <w:rPr>
          <w:sz w:val="22"/>
          <w:szCs w:val="22"/>
        </w:rPr>
        <w:t xml:space="preserve"> at 342.</w:t>
      </w:r>
    </w:p>
  </w:footnote>
  <w:footnote w:id="144">
    <w:p w:rsidR="009A3240" w:rsidRPr="00667CBD" w:rsidRDefault="009A3240" w:rsidP="00B76C8F">
      <w:pPr>
        <w:pStyle w:val="FootnoteText"/>
        <w:rPr>
          <w:sz w:val="22"/>
          <w:szCs w:val="22"/>
        </w:rPr>
      </w:pPr>
      <w:r w:rsidRPr="00667CBD">
        <w:rPr>
          <w:rStyle w:val="FootnoteReference"/>
          <w:sz w:val="22"/>
          <w:szCs w:val="22"/>
        </w:rPr>
        <w:footnoteRef/>
      </w:r>
      <w:r w:rsidRPr="00667CBD">
        <w:rPr>
          <w:sz w:val="22"/>
          <w:szCs w:val="22"/>
        </w:rPr>
        <w:t xml:space="preserve"> </w:t>
      </w:r>
      <w:r w:rsidR="00377A22">
        <w:rPr>
          <w:sz w:val="22"/>
          <w:szCs w:val="22"/>
        </w:rPr>
        <w:fldChar w:fldCharType="begin"/>
      </w:r>
      <w:r>
        <w:instrText xml:space="preserve"> TA \l "" \s "WSFTA_ca868d52afc646c5b2d767a2577cbab9" \c 3 </w:instrText>
      </w:r>
      <w:r w:rsidR="00377A22">
        <w:rPr>
          <w:sz w:val="22"/>
          <w:szCs w:val="22"/>
        </w:rPr>
        <w:fldChar w:fldCharType="end"/>
      </w:r>
      <w:r w:rsidRPr="00667CBD">
        <w:rPr>
          <w:sz w:val="22"/>
          <w:szCs w:val="22"/>
          <w:u w:val="single"/>
        </w:rPr>
        <w:t>Id.</w:t>
      </w:r>
    </w:p>
  </w:footnote>
  <w:footnote w:id="145">
    <w:p w:rsidR="009A3240" w:rsidRPr="00243F2E" w:rsidRDefault="009A3240" w:rsidP="00B76C8F">
      <w:pPr>
        <w:pStyle w:val="FootnoteText"/>
        <w:rPr>
          <w:sz w:val="22"/>
          <w:szCs w:val="22"/>
        </w:rPr>
      </w:pPr>
      <w:r w:rsidRPr="008A0E23">
        <w:rPr>
          <w:rStyle w:val="FootnoteReference"/>
          <w:sz w:val="22"/>
          <w:szCs w:val="22"/>
        </w:rPr>
        <w:footnoteRef/>
      </w:r>
      <w:r w:rsidRPr="008A0E23">
        <w:rPr>
          <w:sz w:val="22"/>
          <w:szCs w:val="22"/>
        </w:rPr>
        <w:t xml:space="preserve"> Procedural burdens and delays violate the ADA.  </w:t>
      </w:r>
      <w:r w:rsidRPr="008A0E23">
        <w:rPr>
          <w:sz w:val="22"/>
          <w:szCs w:val="22"/>
          <w:u w:val="single"/>
        </w:rPr>
        <w:t xml:space="preserve">See </w:t>
      </w:r>
      <w:r w:rsidR="00377A22">
        <w:rPr>
          <w:sz w:val="22"/>
          <w:szCs w:val="22"/>
          <w:u w:val="single"/>
        </w:rPr>
        <w:fldChar w:fldCharType="begin"/>
      </w:r>
      <w:r>
        <w:instrText xml:space="preserve"> TA \l "</w:instrText>
      </w:r>
      <w:r w:rsidRPr="00487D52">
        <w:rPr>
          <w:u w:val="single"/>
        </w:rPr>
        <w:instrText>Project Life, Inc. v. Glendening</w:instrText>
      </w:r>
      <w:r w:rsidRPr="00487D52">
        <w:instrText>,</w:instrText>
      </w:r>
      <w:r w:rsidRPr="00487D52">
        <w:br/>
        <w:instrText>139 F.Supp.2d 703 (D. Md. 2001)</w:instrText>
      </w:r>
      <w:r>
        <w:instrText xml:space="preserve">" \s "WSFTA_50e9969ede4b4fcdbd8cdbcd20bee522" \c 3 </w:instrText>
      </w:r>
      <w:r w:rsidR="00377A22">
        <w:rPr>
          <w:sz w:val="22"/>
          <w:szCs w:val="22"/>
          <w:u w:val="single"/>
        </w:rPr>
        <w:fldChar w:fldCharType="end"/>
      </w:r>
      <w:r w:rsidRPr="008A0E23">
        <w:rPr>
          <w:sz w:val="22"/>
          <w:szCs w:val="22"/>
          <w:u w:val="single"/>
        </w:rPr>
        <w:t>Project Life, Inc. v. Glendening</w:t>
      </w:r>
      <w:r w:rsidRPr="008A0E23">
        <w:rPr>
          <w:sz w:val="22"/>
          <w:szCs w:val="22"/>
        </w:rPr>
        <w:t>, 139 F.</w:t>
      </w:r>
      <w:r>
        <w:rPr>
          <w:sz w:val="22"/>
          <w:szCs w:val="22"/>
        </w:rPr>
        <w:t xml:space="preserve"> </w:t>
      </w:r>
      <w:r w:rsidRPr="008A0E23">
        <w:rPr>
          <w:sz w:val="22"/>
          <w:szCs w:val="22"/>
        </w:rPr>
        <w:t>Supp.</w:t>
      </w:r>
      <w:r>
        <w:rPr>
          <w:sz w:val="22"/>
          <w:szCs w:val="22"/>
        </w:rPr>
        <w:t xml:space="preserve"> </w:t>
      </w:r>
      <w:r w:rsidRPr="008A0E23">
        <w:rPr>
          <w:sz w:val="22"/>
          <w:szCs w:val="22"/>
        </w:rPr>
        <w:t>2d 703, 705-</w:t>
      </w:r>
      <w:r>
        <w:rPr>
          <w:sz w:val="22"/>
          <w:szCs w:val="22"/>
        </w:rPr>
        <w:t>0</w:t>
      </w:r>
      <w:r w:rsidRPr="008A0E23">
        <w:rPr>
          <w:sz w:val="22"/>
          <w:szCs w:val="22"/>
        </w:rPr>
        <w:t xml:space="preserve">6 (D. Md. 2001) (a lengthy delay in granting a long-term lease, done for discriminatory reasons, violates the ADA, even if ultimately granted); </w:t>
      </w:r>
      <w:r w:rsidR="00377A22">
        <w:rPr>
          <w:sz w:val="22"/>
          <w:szCs w:val="22"/>
        </w:rPr>
        <w:fldChar w:fldCharType="begin"/>
      </w:r>
      <w:r>
        <w:instrText xml:space="preserve"> TA \l "</w:instrText>
      </w:r>
      <w:r w:rsidRPr="00487D52">
        <w:rPr>
          <w:u w:val="single"/>
        </w:rPr>
        <w:instrText>Potomac Group Home Corp. v. Montgomery County, Md.</w:instrText>
      </w:r>
      <w:r w:rsidRPr="00487D52">
        <w:instrText>,</w:instrText>
      </w:r>
      <w:r w:rsidRPr="00487D52">
        <w:br/>
        <w:instrText>823 F. Supp. 1285 (D. Md. 1993)</w:instrText>
      </w:r>
      <w:r>
        <w:instrText xml:space="preserve">" \s "WSFTA_53e4b62eff684cb587e748988c243d33" \c 3 </w:instrText>
      </w:r>
      <w:r w:rsidR="00377A22">
        <w:rPr>
          <w:sz w:val="22"/>
          <w:szCs w:val="22"/>
        </w:rPr>
        <w:fldChar w:fldCharType="end"/>
      </w:r>
      <w:r w:rsidRPr="008A0E23">
        <w:rPr>
          <w:sz w:val="22"/>
          <w:szCs w:val="22"/>
          <w:u w:val="single"/>
        </w:rPr>
        <w:t>Potomac Group Home Corp. v. Montgomery County, Md.</w:t>
      </w:r>
      <w:r w:rsidRPr="008A0E23">
        <w:rPr>
          <w:sz w:val="22"/>
          <w:szCs w:val="22"/>
        </w:rPr>
        <w:t xml:space="preserve">, 823 F. Supp. 1285, </w:t>
      </w:r>
      <w:r>
        <w:rPr>
          <w:sz w:val="22"/>
          <w:szCs w:val="22"/>
        </w:rPr>
        <w:t>1296-</w:t>
      </w:r>
      <w:r w:rsidRPr="008A0E23">
        <w:rPr>
          <w:sz w:val="22"/>
          <w:szCs w:val="22"/>
        </w:rPr>
        <w:t xml:space="preserve">97 (D. Md. 1993) (discriminatory procedural requirements themselves </w:t>
      </w:r>
      <w:r w:rsidRPr="005030B4">
        <w:rPr>
          <w:sz w:val="22"/>
          <w:szCs w:val="22"/>
        </w:rPr>
        <w:t>violate the FHAA</w:t>
      </w:r>
      <w:r w:rsidRPr="008A0E23">
        <w:rPr>
          <w:sz w:val="22"/>
          <w:szCs w:val="22"/>
        </w:rPr>
        <w:t xml:space="preserve">; the requirement that a prospective provider of group home services to the elderly must notify neighbors and civic organizations of the type of disabilities of the persons who will live in the group home and must invite neighbors to comment is facially discriminatory); </w:t>
      </w:r>
      <w:r w:rsidRPr="008A0E23">
        <w:rPr>
          <w:sz w:val="22"/>
          <w:szCs w:val="22"/>
          <w:u w:val="single"/>
        </w:rPr>
        <w:t xml:space="preserve">Cmty. </w:t>
      </w:r>
      <w:r w:rsidR="00377A22">
        <w:rPr>
          <w:sz w:val="22"/>
          <w:szCs w:val="22"/>
          <w:u w:val="single"/>
        </w:rPr>
        <w:fldChar w:fldCharType="begin"/>
      </w:r>
      <w:r>
        <w:instrText xml:space="preserve"> TA \l "</w:instrText>
      </w:r>
      <w:r w:rsidRPr="00487D52">
        <w:rPr>
          <w:u w:val="single"/>
        </w:rPr>
        <w:instrText>Hous. Trust v. Dep't of Consumer and Regulatory Affairs</w:instrText>
      </w:r>
      <w:r w:rsidRPr="00487D52">
        <w:instrText>,</w:instrText>
      </w:r>
      <w:r w:rsidRPr="00487D52">
        <w:br/>
        <w:instrText>257 F.Supp.2d 208 (D.D.C. 2003)</w:instrText>
      </w:r>
      <w:r>
        <w:instrText xml:space="preserve">" \s "WSFTA_aa6750fcf0d342e7b4422e66f7bac7fc" \c 3 </w:instrText>
      </w:r>
      <w:r w:rsidR="00377A22">
        <w:rPr>
          <w:sz w:val="22"/>
          <w:szCs w:val="22"/>
          <w:u w:val="single"/>
        </w:rPr>
        <w:fldChar w:fldCharType="end"/>
      </w:r>
      <w:r w:rsidRPr="008A0E23">
        <w:rPr>
          <w:sz w:val="22"/>
          <w:szCs w:val="22"/>
          <w:u w:val="single"/>
        </w:rPr>
        <w:t xml:space="preserve">Hous. Trust v. Dep’t of Consumer </w:t>
      </w:r>
      <w:r>
        <w:rPr>
          <w:sz w:val="22"/>
          <w:szCs w:val="22"/>
          <w:u w:val="single"/>
        </w:rPr>
        <w:t>&amp;</w:t>
      </w:r>
      <w:r w:rsidRPr="008A0E23">
        <w:rPr>
          <w:sz w:val="22"/>
          <w:szCs w:val="22"/>
          <w:u w:val="single"/>
        </w:rPr>
        <w:t xml:space="preserve"> Regulatory Affairs</w:t>
      </w:r>
      <w:r>
        <w:rPr>
          <w:sz w:val="22"/>
          <w:szCs w:val="22"/>
        </w:rPr>
        <w:t>, 257 F. </w:t>
      </w:r>
      <w:r w:rsidRPr="008A0E23">
        <w:rPr>
          <w:sz w:val="22"/>
          <w:szCs w:val="22"/>
        </w:rPr>
        <w:t>Supp.</w:t>
      </w:r>
      <w:r>
        <w:rPr>
          <w:sz w:val="22"/>
          <w:szCs w:val="22"/>
        </w:rPr>
        <w:t xml:space="preserve"> </w:t>
      </w:r>
      <w:r w:rsidRPr="008A0E23">
        <w:rPr>
          <w:sz w:val="22"/>
          <w:szCs w:val="22"/>
        </w:rPr>
        <w:t>2d 208</w:t>
      </w:r>
      <w:r>
        <w:rPr>
          <w:sz w:val="22"/>
          <w:szCs w:val="22"/>
        </w:rPr>
        <w:t>, 223-24</w:t>
      </w:r>
      <w:r w:rsidRPr="008A0E23">
        <w:rPr>
          <w:sz w:val="22"/>
          <w:szCs w:val="22"/>
        </w:rPr>
        <w:t xml:space="preserve"> (D.D.C. 2003) ($57 certificate of occupancy filing fee plus inspection requirement is sufficiently burdensome to violate the FHAA).</w:t>
      </w:r>
      <w:r>
        <w:rPr>
          <w:sz w:val="22"/>
          <w:szCs w:val="22"/>
        </w:rPr>
        <w:t xml:space="preserve">  Courts have often analyzed the ADA and the FHA in tandem, noting similarities between the statutes</w:t>
      </w:r>
      <w:r w:rsidRPr="00243F2E">
        <w:rPr>
          <w:sz w:val="22"/>
          <w:szCs w:val="22"/>
        </w:rPr>
        <w:t xml:space="preserve">.  </w:t>
      </w:r>
      <w:r w:rsidRPr="00243F2E">
        <w:rPr>
          <w:sz w:val="22"/>
          <w:szCs w:val="22"/>
          <w:u w:val="single"/>
        </w:rPr>
        <w:t>See, e.g.</w:t>
      </w:r>
      <w:r w:rsidRPr="00243F2E">
        <w:rPr>
          <w:sz w:val="22"/>
          <w:szCs w:val="22"/>
        </w:rPr>
        <w:t xml:space="preserve">, </w:t>
      </w:r>
      <w:r w:rsidR="00377A22" w:rsidRPr="00243F2E">
        <w:rPr>
          <w:sz w:val="22"/>
          <w:szCs w:val="22"/>
        </w:rPr>
        <w:fldChar w:fldCharType="begin"/>
      </w:r>
      <w:r w:rsidRPr="00243F2E">
        <w:rPr>
          <w:sz w:val="22"/>
          <w:szCs w:val="22"/>
        </w:rPr>
        <w:instrText xml:space="preserve"> TA \l "</w:instrText>
      </w:r>
      <w:r w:rsidRPr="00243F2E">
        <w:rPr>
          <w:sz w:val="22"/>
          <w:szCs w:val="22"/>
          <w:u w:val="single"/>
        </w:rPr>
        <w:instrText>Tsombanidis v. West Haven Fire Dept.</w:instrText>
      </w:r>
      <w:r w:rsidRPr="00243F2E">
        <w:rPr>
          <w:sz w:val="22"/>
          <w:szCs w:val="22"/>
        </w:rPr>
        <w:instrText>,</w:instrText>
      </w:r>
      <w:r w:rsidRPr="00243F2E">
        <w:rPr>
          <w:sz w:val="22"/>
          <w:szCs w:val="22"/>
        </w:rPr>
        <w:br/>
        <w:instrText xml:space="preserve">352 F.3d 565 n.4 (2d Cir. 2003)" \s "WSFTA_a4956f7fce1d454eb4ccc8a01099e005" \c 3 </w:instrText>
      </w:r>
      <w:r w:rsidR="00377A22" w:rsidRPr="00243F2E">
        <w:rPr>
          <w:sz w:val="22"/>
          <w:szCs w:val="22"/>
        </w:rPr>
        <w:fldChar w:fldCharType="end"/>
      </w:r>
      <w:r w:rsidRPr="00243F2E">
        <w:rPr>
          <w:sz w:val="22"/>
          <w:szCs w:val="22"/>
          <w:u w:val="single"/>
        </w:rPr>
        <w:t>Tsombanidis v. West Haven Fire Dep’t</w:t>
      </w:r>
      <w:r w:rsidRPr="00243F2E">
        <w:rPr>
          <w:sz w:val="22"/>
          <w:szCs w:val="22"/>
        </w:rPr>
        <w:t>, 352 F.3d 565, 573 n.4 (2d Cir. 2003).</w:t>
      </w:r>
    </w:p>
  </w:footnote>
  <w:footnote w:id="146">
    <w:p w:rsidR="009A3240" w:rsidRPr="008A0E23" w:rsidRDefault="009A3240" w:rsidP="00B76C8F">
      <w:pPr>
        <w:pStyle w:val="FootnoteText"/>
        <w:rPr>
          <w:sz w:val="22"/>
          <w:szCs w:val="22"/>
        </w:rPr>
      </w:pPr>
      <w:r w:rsidRPr="008A0E23">
        <w:rPr>
          <w:rStyle w:val="FootnoteReference"/>
          <w:sz w:val="22"/>
          <w:szCs w:val="22"/>
        </w:rPr>
        <w:footnoteRef/>
      </w:r>
      <w:r w:rsidRPr="008A0E23">
        <w:rPr>
          <w:sz w:val="22"/>
          <w:szCs w:val="22"/>
        </w:rPr>
        <w:t xml:space="preserve"> </w:t>
      </w:r>
      <w:r w:rsidR="00377A22">
        <w:rPr>
          <w:sz w:val="22"/>
          <w:szCs w:val="22"/>
        </w:rPr>
        <w:fldChar w:fldCharType="begin"/>
      </w:r>
      <w:r>
        <w:instrText xml:space="preserve"> TA \l "</w:instrText>
      </w:r>
      <w:r w:rsidRPr="00487D52">
        <w:instrText>Md. Code Ann., Health – Gen. §§10-518(b), 10-514(b),(d),(e), 7-603(b), (h)</w:instrText>
      </w:r>
      <w:r>
        <w:instrText xml:space="preserve">" \s "WSFTA_5c753c5abbed492f8678c9ef3ca6998c" \c 6 </w:instrText>
      </w:r>
      <w:r w:rsidR="00377A22">
        <w:rPr>
          <w:sz w:val="22"/>
          <w:szCs w:val="22"/>
        </w:rPr>
        <w:fldChar w:fldCharType="end"/>
      </w:r>
      <w:r w:rsidRPr="008A0E23">
        <w:rPr>
          <w:sz w:val="22"/>
          <w:szCs w:val="22"/>
        </w:rPr>
        <w:t>Md. Code Ann., Health – Gen. §§</w:t>
      </w:r>
      <w:r>
        <w:rPr>
          <w:sz w:val="22"/>
          <w:szCs w:val="22"/>
        </w:rPr>
        <w:t xml:space="preserve"> </w:t>
      </w:r>
      <w:r w:rsidRPr="008A0E23">
        <w:rPr>
          <w:sz w:val="22"/>
          <w:szCs w:val="22"/>
        </w:rPr>
        <w:t>7-603(b)</w:t>
      </w:r>
      <w:r>
        <w:rPr>
          <w:sz w:val="22"/>
          <w:szCs w:val="22"/>
        </w:rPr>
        <w:t>, 10-514(b, d-</w:t>
      </w:r>
      <w:r w:rsidRPr="008A0E23">
        <w:rPr>
          <w:sz w:val="22"/>
          <w:szCs w:val="22"/>
        </w:rPr>
        <w:t>e)</w:t>
      </w:r>
      <w:r>
        <w:rPr>
          <w:sz w:val="22"/>
          <w:szCs w:val="22"/>
        </w:rPr>
        <w:t>, 10-518(b)</w:t>
      </w:r>
      <w:r w:rsidRPr="008A0E23">
        <w:rPr>
          <w:sz w:val="22"/>
          <w:szCs w:val="22"/>
        </w:rPr>
        <w:t xml:space="preserve">; Bhattacharyya Letter </w:t>
      </w:r>
      <w:r>
        <w:rPr>
          <w:sz w:val="22"/>
          <w:szCs w:val="22"/>
        </w:rPr>
        <w:t xml:space="preserve">3/19/2008 (Ex. 15) </w:t>
      </w:r>
      <w:r w:rsidRPr="008A0E23">
        <w:rPr>
          <w:sz w:val="22"/>
          <w:szCs w:val="22"/>
        </w:rPr>
        <w:t xml:space="preserve">at 3.  </w:t>
      </w:r>
    </w:p>
  </w:footnote>
  <w:footnote w:id="147">
    <w:p w:rsidR="009A3240" w:rsidRPr="008A0E23" w:rsidRDefault="009A3240" w:rsidP="00B76C8F">
      <w:pPr>
        <w:pStyle w:val="FootnoteText"/>
        <w:rPr>
          <w:sz w:val="22"/>
          <w:szCs w:val="22"/>
        </w:rPr>
      </w:pPr>
      <w:r w:rsidRPr="008A0E23">
        <w:rPr>
          <w:rStyle w:val="FootnoteReference"/>
          <w:sz w:val="22"/>
          <w:szCs w:val="22"/>
        </w:rPr>
        <w:footnoteRef/>
      </w:r>
      <w:r>
        <w:rPr>
          <w:sz w:val="22"/>
          <w:szCs w:val="22"/>
        </w:rPr>
        <w:t xml:space="preserve"> Development Guidebook (Ex. 3) at 14</w:t>
      </w:r>
      <w:r w:rsidRPr="008A0E23">
        <w:rPr>
          <w:sz w:val="22"/>
          <w:szCs w:val="22"/>
        </w:rPr>
        <w:t xml:space="preserve">.  </w:t>
      </w:r>
    </w:p>
  </w:footnote>
  <w:footnote w:id="148">
    <w:p w:rsidR="009A3240" w:rsidRPr="008A0E23" w:rsidRDefault="009A3240" w:rsidP="00B76C8F">
      <w:pPr>
        <w:pStyle w:val="FootnoteText"/>
        <w:rPr>
          <w:sz w:val="22"/>
          <w:szCs w:val="22"/>
        </w:rPr>
      </w:pPr>
      <w:r w:rsidRPr="008A0E23">
        <w:rPr>
          <w:rStyle w:val="FootnoteReference"/>
          <w:sz w:val="22"/>
          <w:szCs w:val="22"/>
        </w:rPr>
        <w:footnoteRef/>
      </w:r>
      <w:r w:rsidRPr="008A0E23">
        <w:rPr>
          <w:sz w:val="22"/>
          <w:szCs w:val="22"/>
        </w:rPr>
        <w:t xml:space="preserve"> </w:t>
      </w:r>
      <w:r w:rsidRPr="008A0E23">
        <w:rPr>
          <w:sz w:val="22"/>
          <w:szCs w:val="22"/>
          <w:u w:val="single"/>
        </w:rPr>
        <w:t>See</w:t>
      </w:r>
      <w:r w:rsidRPr="008A0E23">
        <w:rPr>
          <w:sz w:val="22"/>
          <w:szCs w:val="22"/>
        </w:rPr>
        <w:t xml:space="preserve"> Bhattacharyya</w:t>
      </w:r>
      <w:r>
        <w:rPr>
          <w:sz w:val="22"/>
          <w:szCs w:val="22"/>
        </w:rPr>
        <w:t xml:space="preserve"> Mem. 9/5/2008 (Ex. 81) at </w:t>
      </w:r>
      <w:r w:rsidRPr="008A0E23">
        <w:rPr>
          <w:sz w:val="22"/>
          <w:szCs w:val="22"/>
        </w:rPr>
        <w:t>¶ 2 (group homes for individuals with mental illness and developmental disabilities enjoy an advantage over residential substance abuse treatment programs under the Zoning Code).</w:t>
      </w:r>
    </w:p>
  </w:footnote>
  <w:footnote w:id="149">
    <w:p w:rsidR="009A3240" w:rsidRPr="008A0E23" w:rsidRDefault="009A3240" w:rsidP="00B76C8F">
      <w:pPr>
        <w:pStyle w:val="FootnoteText"/>
        <w:rPr>
          <w:sz w:val="22"/>
          <w:szCs w:val="22"/>
        </w:rPr>
      </w:pPr>
      <w:r w:rsidRPr="008A0E23">
        <w:rPr>
          <w:rStyle w:val="FootnoteReference"/>
          <w:sz w:val="22"/>
          <w:szCs w:val="22"/>
        </w:rPr>
        <w:footnoteRef/>
      </w:r>
      <w:r w:rsidRPr="008A0E23">
        <w:rPr>
          <w:sz w:val="22"/>
          <w:szCs w:val="22"/>
        </w:rPr>
        <w:t xml:space="preserve"> </w:t>
      </w:r>
      <w:r w:rsidR="00377A22">
        <w:rPr>
          <w:sz w:val="22"/>
          <w:szCs w:val="22"/>
        </w:rPr>
        <w:fldChar w:fldCharType="begin"/>
      </w:r>
      <w:r>
        <w:instrText xml:space="preserve"> TA \l "</w:instrText>
      </w:r>
      <w:r w:rsidRPr="00487D52">
        <w:instrText>Md. Code Ann., Health – Gen. §10-514(d)(1)</w:instrText>
      </w:r>
      <w:r>
        <w:instrText xml:space="preserve">" \s "WSFTA_bc9a20c135404356aae836789449d002" \c 6 </w:instrText>
      </w:r>
      <w:r w:rsidR="00377A22">
        <w:rPr>
          <w:sz w:val="22"/>
          <w:szCs w:val="22"/>
        </w:rPr>
        <w:fldChar w:fldCharType="end"/>
      </w:r>
      <w:r w:rsidRPr="008A0E23">
        <w:rPr>
          <w:sz w:val="22"/>
          <w:szCs w:val="22"/>
        </w:rPr>
        <w:t>Md. Code Ann., Health – Gen. §</w:t>
      </w:r>
      <w:r>
        <w:rPr>
          <w:sz w:val="22"/>
          <w:szCs w:val="22"/>
        </w:rPr>
        <w:t xml:space="preserve"> </w:t>
      </w:r>
      <w:r w:rsidRPr="008A0E23">
        <w:rPr>
          <w:sz w:val="22"/>
          <w:szCs w:val="22"/>
        </w:rPr>
        <w:t>10-514(d)(1).</w:t>
      </w:r>
    </w:p>
  </w:footnote>
  <w:footnote w:id="150">
    <w:p w:rsidR="009A3240" w:rsidRPr="008A0E23" w:rsidRDefault="009A3240" w:rsidP="00B76C8F">
      <w:pPr>
        <w:pStyle w:val="FootnoteText"/>
        <w:rPr>
          <w:sz w:val="22"/>
          <w:szCs w:val="22"/>
        </w:rPr>
      </w:pPr>
      <w:r w:rsidRPr="008A0E23">
        <w:rPr>
          <w:rStyle w:val="FootnoteReference"/>
          <w:sz w:val="22"/>
          <w:szCs w:val="22"/>
        </w:rPr>
        <w:footnoteRef/>
      </w:r>
      <w:r w:rsidRPr="008A0E23">
        <w:rPr>
          <w:sz w:val="22"/>
          <w:szCs w:val="22"/>
        </w:rPr>
        <w:t xml:space="preserve"> </w:t>
      </w:r>
      <w:r w:rsidRPr="008A0E23">
        <w:rPr>
          <w:sz w:val="22"/>
          <w:szCs w:val="22"/>
          <w:u w:val="single"/>
        </w:rPr>
        <w:t>Id.</w:t>
      </w:r>
      <w:r>
        <w:rPr>
          <w:sz w:val="22"/>
          <w:szCs w:val="22"/>
        </w:rPr>
        <w:t xml:space="preserve"> </w:t>
      </w:r>
      <w:r w:rsidRPr="008A0E23">
        <w:rPr>
          <w:sz w:val="22"/>
          <w:szCs w:val="22"/>
        </w:rPr>
        <w:t>§</w:t>
      </w:r>
      <w:r>
        <w:rPr>
          <w:sz w:val="22"/>
          <w:szCs w:val="22"/>
        </w:rPr>
        <w:t xml:space="preserve"> 10-514(e, </w:t>
      </w:r>
      <w:r w:rsidRPr="008A0E23">
        <w:rPr>
          <w:sz w:val="22"/>
          <w:szCs w:val="22"/>
        </w:rPr>
        <w:t>b).</w:t>
      </w:r>
    </w:p>
  </w:footnote>
  <w:footnote w:id="151">
    <w:p w:rsidR="009A3240" w:rsidRPr="008A0E23" w:rsidRDefault="009A3240" w:rsidP="00AB764B">
      <w:pPr>
        <w:pStyle w:val="FootnoteText"/>
        <w:rPr>
          <w:sz w:val="22"/>
          <w:szCs w:val="22"/>
        </w:rPr>
      </w:pPr>
      <w:r w:rsidRPr="008A0E23">
        <w:rPr>
          <w:rStyle w:val="FootnoteReference"/>
          <w:sz w:val="22"/>
          <w:szCs w:val="22"/>
        </w:rPr>
        <w:footnoteRef/>
      </w:r>
      <w:r w:rsidRPr="008A0E23">
        <w:rPr>
          <w:sz w:val="22"/>
          <w:szCs w:val="22"/>
        </w:rPr>
        <w:t xml:space="preserve"> </w:t>
      </w:r>
      <w:r w:rsidR="00377A22" w:rsidRPr="00DF6912">
        <w:rPr>
          <w:sz w:val="22"/>
          <w:szCs w:val="22"/>
          <w:u w:val="single"/>
        </w:rPr>
        <w:fldChar w:fldCharType="begin"/>
      </w:r>
      <w:r w:rsidRPr="00DF6912">
        <w:rPr>
          <w:u w:val="single"/>
        </w:rPr>
        <w:instrText xml:space="preserve"> TA \l "Md. Code Ann., Health – Gen. §10-518(b)" \s "WSFTA_a08b46528e794df9bc15ae66fd912b07" \c 6 </w:instrText>
      </w:r>
      <w:r w:rsidR="00377A22" w:rsidRPr="00DF6912">
        <w:rPr>
          <w:sz w:val="22"/>
          <w:szCs w:val="22"/>
          <w:u w:val="single"/>
        </w:rPr>
        <w:fldChar w:fldCharType="end"/>
      </w:r>
      <w:r w:rsidRPr="00DF6912">
        <w:rPr>
          <w:sz w:val="22"/>
          <w:szCs w:val="22"/>
          <w:u w:val="single"/>
        </w:rPr>
        <w:t>Id.</w:t>
      </w:r>
      <w:r w:rsidRPr="008A0E23">
        <w:rPr>
          <w:sz w:val="22"/>
          <w:szCs w:val="22"/>
        </w:rPr>
        <w:t xml:space="preserve"> §</w:t>
      </w:r>
      <w:r>
        <w:rPr>
          <w:sz w:val="22"/>
          <w:szCs w:val="22"/>
        </w:rPr>
        <w:t xml:space="preserve"> </w:t>
      </w:r>
      <w:r w:rsidRPr="008A0E23">
        <w:rPr>
          <w:sz w:val="22"/>
          <w:szCs w:val="22"/>
        </w:rPr>
        <w:t xml:space="preserve">10-518(b).  </w:t>
      </w:r>
    </w:p>
  </w:footnote>
  <w:footnote w:id="152">
    <w:p w:rsidR="009A3240" w:rsidRPr="008A0E23" w:rsidRDefault="009A3240" w:rsidP="00B76C8F">
      <w:pPr>
        <w:pStyle w:val="FootnoteText"/>
        <w:rPr>
          <w:sz w:val="22"/>
          <w:szCs w:val="22"/>
        </w:rPr>
      </w:pPr>
      <w:r w:rsidRPr="008A0E23">
        <w:rPr>
          <w:rStyle w:val="FootnoteReference"/>
          <w:sz w:val="22"/>
          <w:szCs w:val="22"/>
        </w:rPr>
        <w:footnoteRef/>
      </w:r>
      <w:r w:rsidRPr="008A0E23">
        <w:rPr>
          <w:sz w:val="22"/>
          <w:szCs w:val="22"/>
        </w:rPr>
        <w:t xml:space="preserve"> </w:t>
      </w:r>
      <w:r w:rsidR="00377A22">
        <w:rPr>
          <w:sz w:val="22"/>
          <w:szCs w:val="22"/>
        </w:rPr>
        <w:fldChar w:fldCharType="begin"/>
      </w:r>
      <w:r>
        <w:instrText xml:space="preserve"> TA \l "</w:instrText>
      </w:r>
      <w:r w:rsidRPr="00487D52">
        <w:instrText>Md. Code Ann., Health – Gen. §7-101(h)</w:instrText>
      </w:r>
      <w:r>
        <w:instrText xml:space="preserve">" \s "WSFTA_f9d847d90655465c833db25ba45f15e8" \c 6 </w:instrText>
      </w:r>
      <w:r w:rsidR="00377A22">
        <w:rPr>
          <w:sz w:val="22"/>
          <w:szCs w:val="22"/>
        </w:rPr>
        <w:fldChar w:fldCharType="end"/>
      </w:r>
      <w:r w:rsidRPr="008A0E23">
        <w:rPr>
          <w:sz w:val="22"/>
          <w:szCs w:val="22"/>
        </w:rPr>
        <w:t>Md. Code Ann., Health – Gen. §</w:t>
      </w:r>
      <w:r>
        <w:rPr>
          <w:sz w:val="22"/>
          <w:szCs w:val="22"/>
        </w:rPr>
        <w:t xml:space="preserve"> </w:t>
      </w:r>
      <w:r w:rsidRPr="008A0E23">
        <w:rPr>
          <w:sz w:val="22"/>
          <w:szCs w:val="22"/>
        </w:rPr>
        <w:t xml:space="preserve">7-101(h).  </w:t>
      </w:r>
    </w:p>
  </w:footnote>
  <w:footnote w:id="153">
    <w:p w:rsidR="009A3240" w:rsidRPr="008A0E23" w:rsidRDefault="009A3240" w:rsidP="00B76C8F">
      <w:pPr>
        <w:pStyle w:val="FootnoteText"/>
        <w:rPr>
          <w:sz w:val="22"/>
          <w:szCs w:val="22"/>
        </w:rPr>
      </w:pPr>
      <w:r w:rsidRPr="008A0E23">
        <w:rPr>
          <w:rStyle w:val="FootnoteReference"/>
          <w:sz w:val="22"/>
          <w:szCs w:val="22"/>
        </w:rPr>
        <w:footnoteRef/>
      </w:r>
      <w:r w:rsidRPr="008A0E23">
        <w:rPr>
          <w:sz w:val="22"/>
          <w:szCs w:val="22"/>
        </w:rPr>
        <w:t xml:space="preserve"> </w:t>
      </w:r>
      <w:r w:rsidRPr="008A0E23">
        <w:rPr>
          <w:sz w:val="22"/>
          <w:szCs w:val="22"/>
          <w:u w:val="single"/>
        </w:rPr>
        <w:t>Id.</w:t>
      </w:r>
      <w:r w:rsidRPr="008A0E23">
        <w:rPr>
          <w:sz w:val="22"/>
          <w:szCs w:val="22"/>
        </w:rPr>
        <w:t xml:space="preserve"> §</w:t>
      </w:r>
      <w:r>
        <w:rPr>
          <w:sz w:val="22"/>
          <w:szCs w:val="22"/>
        </w:rPr>
        <w:t xml:space="preserve"> </w:t>
      </w:r>
      <w:r w:rsidRPr="008A0E23">
        <w:rPr>
          <w:sz w:val="22"/>
          <w:szCs w:val="22"/>
        </w:rPr>
        <w:t>7-603(b)(1).</w:t>
      </w:r>
    </w:p>
  </w:footnote>
  <w:footnote w:id="154">
    <w:p w:rsidR="009A3240" w:rsidRPr="008A0E23" w:rsidRDefault="009A3240" w:rsidP="00B76C8F">
      <w:pPr>
        <w:pStyle w:val="FootnoteText"/>
        <w:rPr>
          <w:sz w:val="22"/>
          <w:szCs w:val="22"/>
        </w:rPr>
      </w:pPr>
      <w:r w:rsidRPr="008A0E23">
        <w:rPr>
          <w:rStyle w:val="FootnoteReference"/>
          <w:sz w:val="22"/>
          <w:szCs w:val="22"/>
        </w:rPr>
        <w:footnoteRef/>
      </w:r>
      <w:r w:rsidRPr="008A0E23">
        <w:rPr>
          <w:sz w:val="22"/>
          <w:szCs w:val="22"/>
        </w:rPr>
        <w:t xml:space="preserve"> Zoning Code </w:t>
      </w:r>
      <w:r>
        <w:rPr>
          <w:sz w:val="22"/>
          <w:szCs w:val="22"/>
        </w:rPr>
        <w:t xml:space="preserve">(Ex. 2) </w:t>
      </w:r>
      <w:r w:rsidRPr="008A0E23">
        <w:rPr>
          <w:sz w:val="22"/>
          <w:szCs w:val="22"/>
        </w:rPr>
        <w:t>§§</w:t>
      </w:r>
      <w:r>
        <w:rPr>
          <w:sz w:val="22"/>
          <w:szCs w:val="22"/>
        </w:rPr>
        <w:t xml:space="preserve"> </w:t>
      </w:r>
      <w:r w:rsidRPr="008A0E23">
        <w:rPr>
          <w:sz w:val="22"/>
          <w:szCs w:val="22"/>
        </w:rPr>
        <w:t>4-201(1), 4-501(1), 4-601, 4-701</w:t>
      </w:r>
      <w:r>
        <w:rPr>
          <w:sz w:val="22"/>
          <w:szCs w:val="22"/>
        </w:rPr>
        <w:t>, 4-901(1-2), 4-1001(1-2), 4-1101(1-2), 4-1201(1),</w:t>
      </w:r>
      <w:r w:rsidRPr="008A0E23">
        <w:rPr>
          <w:sz w:val="22"/>
          <w:szCs w:val="22"/>
        </w:rPr>
        <w:t xml:space="preserve"> 4-1301(1).  </w:t>
      </w:r>
    </w:p>
  </w:footnote>
  <w:footnote w:id="155">
    <w:p w:rsidR="009A3240" w:rsidRPr="008A0E23" w:rsidRDefault="009A3240" w:rsidP="00B76C8F">
      <w:pPr>
        <w:pStyle w:val="FootnoteText"/>
        <w:rPr>
          <w:sz w:val="22"/>
          <w:szCs w:val="22"/>
        </w:rPr>
      </w:pPr>
      <w:r w:rsidRPr="008A0E23">
        <w:rPr>
          <w:rStyle w:val="FootnoteReference"/>
          <w:sz w:val="22"/>
          <w:szCs w:val="22"/>
        </w:rPr>
        <w:footnoteRef/>
      </w:r>
      <w:r w:rsidRPr="008A0E23">
        <w:rPr>
          <w:sz w:val="22"/>
          <w:szCs w:val="22"/>
        </w:rPr>
        <w:t xml:space="preserve"> </w:t>
      </w:r>
      <w:r w:rsidRPr="00C70098">
        <w:rPr>
          <w:sz w:val="22"/>
          <w:szCs w:val="22"/>
          <w:u w:val="single"/>
        </w:rPr>
        <w:t>Id.</w:t>
      </w:r>
      <w:r>
        <w:rPr>
          <w:sz w:val="22"/>
          <w:szCs w:val="22"/>
        </w:rPr>
        <w:t xml:space="preserve"> §§ 4-901(3), 4-1001(3-4), 4-1101(3-4),</w:t>
      </w:r>
      <w:r w:rsidRPr="008A0E23">
        <w:rPr>
          <w:sz w:val="22"/>
          <w:szCs w:val="22"/>
        </w:rPr>
        <w:t xml:space="preserve"> 4-1301(1).  </w:t>
      </w:r>
    </w:p>
  </w:footnote>
  <w:footnote w:id="156">
    <w:p w:rsidR="009A3240" w:rsidRPr="00A937C2" w:rsidRDefault="009A3240" w:rsidP="00B76C8F">
      <w:pPr>
        <w:pStyle w:val="FootnoteText"/>
        <w:rPr>
          <w:sz w:val="22"/>
          <w:szCs w:val="22"/>
        </w:rPr>
      </w:pPr>
      <w:r w:rsidRPr="00DF6912">
        <w:rPr>
          <w:rStyle w:val="FootnoteReference"/>
          <w:sz w:val="22"/>
          <w:szCs w:val="22"/>
        </w:rPr>
        <w:footnoteRef/>
      </w:r>
      <w:r w:rsidRPr="00DF6912">
        <w:rPr>
          <w:sz w:val="22"/>
          <w:szCs w:val="22"/>
        </w:rPr>
        <w:t xml:space="preserve"> </w:t>
      </w:r>
      <w:r w:rsidRPr="00DF6912">
        <w:rPr>
          <w:sz w:val="22"/>
          <w:szCs w:val="22"/>
          <w:u w:val="single"/>
        </w:rPr>
        <w:t>See</w:t>
      </w:r>
      <w:r w:rsidRPr="00DF6912">
        <w:rPr>
          <w:sz w:val="22"/>
          <w:szCs w:val="22"/>
        </w:rPr>
        <w:t xml:space="preserve"> Bhattacharyya</w:t>
      </w:r>
      <w:r>
        <w:rPr>
          <w:sz w:val="22"/>
          <w:szCs w:val="22"/>
        </w:rPr>
        <w:t xml:space="preserve"> Mem. 9/5/2008 (Ex. 81) at</w:t>
      </w:r>
      <w:r w:rsidRPr="00DF6912">
        <w:rPr>
          <w:sz w:val="22"/>
          <w:szCs w:val="22"/>
        </w:rPr>
        <w:t xml:space="preserve"> ¶ 2 (hospitals enjoy an advantage in the Zoning Code over licensed substance abuse t</w:t>
      </w:r>
      <w:r>
        <w:rPr>
          <w:sz w:val="22"/>
          <w:szCs w:val="22"/>
        </w:rPr>
        <w:t>reatment programs).</w:t>
      </w:r>
    </w:p>
  </w:footnote>
  <w:footnote w:id="157">
    <w:p w:rsidR="009A3240" w:rsidRDefault="009A3240" w:rsidP="00B76C8F">
      <w:pPr>
        <w:pStyle w:val="FootnoteText"/>
      </w:pPr>
      <w:r>
        <w:rPr>
          <w:rStyle w:val="FootnoteReference"/>
        </w:rPr>
        <w:footnoteRef/>
      </w:r>
      <w:r>
        <w:t xml:space="preserve"> </w:t>
      </w:r>
      <w:r>
        <w:rPr>
          <w:sz w:val="22"/>
          <w:szCs w:val="22"/>
        </w:rPr>
        <w:t xml:space="preserve">Zoning Code (Ex. 2) </w:t>
      </w:r>
      <w:r w:rsidRPr="00DF6912">
        <w:rPr>
          <w:sz w:val="22"/>
          <w:szCs w:val="22"/>
        </w:rPr>
        <w:t>§§</w:t>
      </w:r>
      <w:r w:rsidRPr="00A937C2">
        <w:rPr>
          <w:sz w:val="22"/>
          <w:szCs w:val="22"/>
        </w:rPr>
        <w:t xml:space="preserve"> 4-1101(6), 4-1201, 4-1301, 6-406(29), 6-606(1).</w:t>
      </w:r>
    </w:p>
  </w:footnote>
  <w:footnote w:id="158">
    <w:p w:rsidR="009A3240" w:rsidRPr="003D504C" w:rsidRDefault="009A3240" w:rsidP="00B76C8F">
      <w:pPr>
        <w:pStyle w:val="FootnoteText"/>
        <w:rPr>
          <w:sz w:val="22"/>
          <w:szCs w:val="22"/>
        </w:rPr>
      </w:pPr>
      <w:r w:rsidRPr="003D504C">
        <w:rPr>
          <w:rStyle w:val="FootnoteReference"/>
          <w:sz w:val="22"/>
          <w:szCs w:val="22"/>
        </w:rPr>
        <w:footnoteRef/>
      </w:r>
      <w:r w:rsidRPr="003D504C">
        <w:rPr>
          <w:sz w:val="22"/>
          <w:szCs w:val="22"/>
        </w:rPr>
        <w:t xml:space="preserve"> </w:t>
      </w:r>
      <w:r>
        <w:rPr>
          <w:sz w:val="22"/>
          <w:szCs w:val="22"/>
          <w:u w:val="single"/>
        </w:rPr>
        <w:t>Id.</w:t>
      </w:r>
      <w:r>
        <w:rPr>
          <w:sz w:val="22"/>
          <w:szCs w:val="22"/>
        </w:rPr>
        <w:t xml:space="preserve"> </w:t>
      </w:r>
      <w:r w:rsidRPr="003D504C">
        <w:rPr>
          <w:sz w:val="22"/>
          <w:szCs w:val="22"/>
        </w:rPr>
        <w:t>§§ 5-203(9), 6-306(33).</w:t>
      </w:r>
    </w:p>
  </w:footnote>
  <w:footnote w:id="159">
    <w:p w:rsidR="009A3240" w:rsidRPr="003D504C" w:rsidRDefault="009A3240" w:rsidP="00B76C8F">
      <w:pPr>
        <w:pStyle w:val="FootnoteText"/>
        <w:rPr>
          <w:sz w:val="22"/>
          <w:szCs w:val="22"/>
        </w:rPr>
      </w:pPr>
      <w:r w:rsidRPr="003D504C">
        <w:rPr>
          <w:rStyle w:val="FootnoteReference"/>
          <w:sz w:val="22"/>
          <w:szCs w:val="22"/>
        </w:rPr>
        <w:footnoteRef/>
      </w:r>
      <w:r w:rsidRPr="003D504C">
        <w:rPr>
          <w:sz w:val="22"/>
          <w:szCs w:val="22"/>
        </w:rPr>
        <w:t xml:space="preserve"> </w:t>
      </w:r>
      <w:r w:rsidRPr="003D504C">
        <w:rPr>
          <w:sz w:val="22"/>
          <w:szCs w:val="22"/>
          <w:u w:val="single"/>
        </w:rPr>
        <w:t>Id.</w:t>
      </w:r>
      <w:r w:rsidRPr="003D504C">
        <w:rPr>
          <w:sz w:val="22"/>
          <w:szCs w:val="22"/>
        </w:rPr>
        <w:t xml:space="preserve"> §§ 4-1103(4), 4-1201(3), 4-1203(2), 5-201(8), 5-203(20), 6-306(72).</w:t>
      </w:r>
    </w:p>
  </w:footnote>
  <w:footnote w:id="160">
    <w:p w:rsidR="009A3240" w:rsidRPr="003D504C" w:rsidRDefault="009A3240" w:rsidP="00B76C8F">
      <w:pPr>
        <w:pStyle w:val="FootnoteText"/>
        <w:rPr>
          <w:sz w:val="22"/>
          <w:szCs w:val="22"/>
        </w:rPr>
      </w:pPr>
      <w:r w:rsidRPr="003D504C">
        <w:rPr>
          <w:rStyle w:val="FootnoteReference"/>
          <w:sz w:val="22"/>
          <w:szCs w:val="22"/>
        </w:rPr>
        <w:footnoteRef/>
      </w:r>
      <w:r w:rsidRPr="003D504C">
        <w:rPr>
          <w:sz w:val="22"/>
          <w:szCs w:val="22"/>
        </w:rPr>
        <w:t xml:space="preserve"> </w:t>
      </w:r>
      <w:r w:rsidRPr="003D504C">
        <w:rPr>
          <w:sz w:val="22"/>
          <w:szCs w:val="22"/>
          <w:u w:val="single"/>
        </w:rPr>
        <w:t>Id.</w:t>
      </w:r>
      <w:r w:rsidRPr="003D504C">
        <w:rPr>
          <w:sz w:val="22"/>
          <w:szCs w:val="22"/>
        </w:rPr>
        <w:t xml:space="preserve"> §§ 5-203(8), 6-206(19).</w:t>
      </w:r>
    </w:p>
  </w:footnote>
  <w:footnote w:id="161">
    <w:p w:rsidR="009A3240" w:rsidRPr="003D504C" w:rsidRDefault="009A3240" w:rsidP="00B76C8F">
      <w:pPr>
        <w:pStyle w:val="FootnoteText"/>
        <w:rPr>
          <w:sz w:val="22"/>
          <w:szCs w:val="22"/>
        </w:rPr>
      </w:pPr>
      <w:r w:rsidRPr="003D504C">
        <w:rPr>
          <w:rStyle w:val="FootnoteReference"/>
          <w:sz w:val="22"/>
          <w:szCs w:val="22"/>
        </w:rPr>
        <w:footnoteRef/>
      </w:r>
      <w:r w:rsidRPr="003D504C">
        <w:rPr>
          <w:sz w:val="22"/>
          <w:szCs w:val="22"/>
        </w:rPr>
        <w:t xml:space="preserve"> </w:t>
      </w:r>
      <w:r w:rsidRPr="003D504C">
        <w:rPr>
          <w:sz w:val="22"/>
          <w:szCs w:val="22"/>
          <w:u w:val="single"/>
        </w:rPr>
        <w:t>Id.</w:t>
      </w:r>
      <w:r w:rsidRPr="003D504C">
        <w:rPr>
          <w:sz w:val="22"/>
          <w:szCs w:val="22"/>
        </w:rPr>
        <w:t xml:space="preserve"> §§ 4-201(6), 5-201(7), 6-306(70).</w:t>
      </w:r>
    </w:p>
  </w:footnote>
  <w:footnote w:id="162">
    <w:p w:rsidR="009A3240" w:rsidRPr="003D504C" w:rsidRDefault="009A3240" w:rsidP="00B76C8F">
      <w:pPr>
        <w:pStyle w:val="FootnoteText"/>
        <w:rPr>
          <w:sz w:val="22"/>
          <w:szCs w:val="22"/>
        </w:rPr>
      </w:pPr>
      <w:r w:rsidRPr="003D504C">
        <w:rPr>
          <w:rStyle w:val="FootnoteReference"/>
          <w:sz w:val="22"/>
          <w:szCs w:val="22"/>
        </w:rPr>
        <w:footnoteRef/>
      </w:r>
      <w:r w:rsidRPr="003D504C">
        <w:rPr>
          <w:sz w:val="22"/>
          <w:szCs w:val="22"/>
        </w:rPr>
        <w:t xml:space="preserve"> </w:t>
      </w:r>
      <w:r w:rsidRPr="003D504C">
        <w:rPr>
          <w:sz w:val="22"/>
          <w:szCs w:val="22"/>
          <w:u w:val="single"/>
        </w:rPr>
        <w:t>See Human Res. Research</w:t>
      </w:r>
      <w:r w:rsidRPr="003D504C">
        <w:rPr>
          <w:sz w:val="22"/>
          <w:szCs w:val="22"/>
        </w:rPr>
        <w:t xml:space="preserve">, </w:t>
      </w:r>
      <w:r w:rsidR="00377A22" w:rsidRPr="003D504C">
        <w:rPr>
          <w:sz w:val="22"/>
          <w:szCs w:val="22"/>
        </w:rPr>
        <w:fldChar w:fldCharType="begin"/>
      </w:r>
      <w:r w:rsidRPr="003D504C">
        <w:rPr>
          <w:sz w:val="22"/>
          <w:szCs w:val="22"/>
        </w:rPr>
        <w:instrText xml:space="preserve"> TA \l "" \s "WSFTA_7ad7a9f0bbed49c0ae69646765855cf2" \c 3 </w:instrText>
      </w:r>
      <w:r w:rsidR="00377A22" w:rsidRPr="003D504C">
        <w:rPr>
          <w:sz w:val="22"/>
          <w:szCs w:val="22"/>
        </w:rPr>
        <w:fldChar w:fldCharType="end"/>
      </w:r>
      <w:r>
        <w:rPr>
          <w:sz w:val="22"/>
          <w:szCs w:val="22"/>
        </w:rPr>
        <w:t xml:space="preserve">687 F. </w:t>
      </w:r>
      <w:r w:rsidRPr="003D504C">
        <w:rPr>
          <w:sz w:val="22"/>
          <w:szCs w:val="22"/>
        </w:rPr>
        <w:t>Supp.</w:t>
      </w:r>
      <w:r>
        <w:rPr>
          <w:sz w:val="22"/>
          <w:szCs w:val="22"/>
        </w:rPr>
        <w:t xml:space="preserve"> </w:t>
      </w:r>
      <w:r w:rsidRPr="003D504C">
        <w:rPr>
          <w:sz w:val="22"/>
          <w:szCs w:val="22"/>
        </w:rPr>
        <w:t>2d at 254 (holding law facially discriminatory under Fair Housing Amendments Act because it applied restrictions to substance abuse residences that were not applied to apartment houses, dormitories, multiple dwellings, or fraternity and sorority houses).</w:t>
      </w:r>
    </w:p>
  </w:footnote>
  <w:footnote w:id="163">
    <w:p w:rsidR="009A3240" w:rsidRPr="003D504C" w:rsidRDefault="009A3240" w:rsidP="00B76C8F">
      <w:pPr>
        <w:pStyle w:val="FootnoteText"/>
        <w:widowControl/>
        <w:rPr>
          <w:sz w:val="22"/>
          <w:szCs w:val="22"/>
        </w:rPr>
      </w:pPr>
      <w:r w:rsidRPr="003D504C">
        <w:rPr>
          <w:sz w:val="22"/>
          <w:szCs w:val="22"/>
          <w:vertAlign w:val="superscript"/>
        </w:rPr>
        <w:footnoteRef/>
      </w:r>
      <w:r w:rsidRPr="003D504C">
        <w:rPr>
          <w:sz w:val="22"/>
          <w:szCs w:val="22"/>
        </w:rPr>
        <w:t xml:space="preserve"> The only residential use comparable in terms of zoning characteristics to residential drug treatment facilities, which is also required to get a CO in all zones, is nursing homes (includin</w:t>
      </w:r>
      <w:r>
        <w:rPr>
          <w:sz w:val="22"/>
          <w:szCs w:val="22"/>
        </w:rPr>
        <w:t>g assistive living facilities).</w:t>
      </w:r>
      <w:r w:rsidRPr="003D504C">
        <w:rPr>
          <w:sz w:val="22"/>
          <w:szCs w:val="22"/>
        </w:rPr>
        <w:t xml:space="preserve">  Zoning Code </w:t>
      </w:r>
      <w:r>
        <w:rPr>
          <w:sz w:val="22"/>
          <w:szCs w:val="22"/>
        </w:rPr>
        <w:t xml:space="preserve">(Ex. 2) </w:t>
      </w:r>
      <w:r w:rsidRPr="003D504C">
        <w:rPr>
          <w:sz w:val="22"/>
          <w:szCs w:val="22"/>
        </w:rPr>
        <w:t>§§</w:t>
      </w:r>
      <w:r>
        <w:rPr>
          <w:sz w:val="22"/>
          <w:szCs w:val="22"/>
        </w:rPr>
        <w:t xml:space="preserve"> 4-203(9), 4-204(2), 5-204(2), 6-309(3),</w:t>
      </w:r>
      <w:r w:rsidRPr="003D504C">
        <w:rPr>
          <w:sz w:val="22"/>
          <w:szCs w:val="22"/>
        </w:rPr>
        <w:t xml:space="preserve"> 6-509(2). </w:t>
      </w:r>
      <w:r>
        <w:rPr>
          <w:sz w:val="22"/>
          <w:szCs w:val="22"/>
        </w:rPr>
        <w:t xml:space="preserve"> </w:t>
      </w:r>
      <w:r w:rsidRPr="003D504C">
        <w:rPr>
          <w:sz w:val="22"/>
          <w:szCs w:val="22"/>
        </w:rPr>
        <w:t>Nursing homes also house persons with disabilities and arguably are similarly discriminated against by the CO requirement.  Nursing homes are not part of this suit, however, so we take no position here on the legality of the CO requirement applicable to them.</w:t>
      </w:r>
    </w:p>
    <w:p w:rsidR="009A3240" w:rsidRPr="00A937C2" w:rsidRDefault="009A3240" w:rsidP="00B76C8F">
      <w:pPr>
        <w:rPr>
          <w:sz w:val="22"/>
          <w:szCs w:val="22"/>
        </w:rPr>
      </w:pPr>
      <w:r w:rsidRPr="00A937C2">
        <w:rPr>
          <w:sz w:val="22"/>
          <w:szCs w:val="22"/>
        </w:rPr>
        <w:tab/>
        <w:t xml:space="preserve">Other land uses that house unrelated individuals and are subject to the CO requirement in all zones are not comparable to RSATPs – “Housing for the Elderly,” “Community Correction Centers,” and “Service and Housing Centers”.  First, none of these is a land use for individuals with disabilities or another protected class, and thus they do not get the protection of federal anti-discrimination law.  Further, the “Housing for the Elderly” land use classification is subject to a CO because it allows a multiple-family dwelling to have greater density and fewer parking spaces than normal.  Tanner Dep. </w:t>
      </w:r>
      <w:r>
        <w:rPr>
          <w:sz w:val="22"/>
          <w:szCs w:val="22"/>
        </w:rPr>
        <w:t xml:space="preserve">(Ex. 1) </w:t>
      </w:r>
      <w:r w:rsidRPr="00A937C2">
        <w:rPr>
          <w:sz w:val="22"/>
          <w:szCs w:val="22"/>
        </w:rPr>
        <w:t>240:</w:t>
      </w:r>
      <w:r>
        <w:rPr>
          <w:sz w:val="22"/>
          <w:szCs w:val="22"/>
        </w:rPr>
        <w:t>10</w:t>
      </w:r>
      <w:r w:rsidRPr="00A937C2">
        <w:rPr>
          <w:sz w:val="22"/>
          <w:szCs w:val="22"/>
        </w:rPr>
        <w:t>-241:</w:t>
      </w:r>
      <w:r>
        <w:rPr>
          <w:sz w:val="22"/>
          <w:szCs w:val="22"/>
        </w:rPr>
        <w:t>10</w:t>
      </w:r>
      <w:r w:rsidRPr="00A937C2">
        <w:rPr>
          <w:sz w:val="22"/>
          <w:szCs w:val="22"/>
        </w:rPr>
        <w:t xml:space="preserve">; </w:t>
      </w:r>
      <w:r w:rsidRPr="00A937C2">
        <w:rPr>
          <w:sz w:val="22"/>
          <w:szCs w:val="22"/>
          <w:u w:val="single"/>
        </w:rPr>
        <w:t>see, e.g.,</w:t>
      </w:r>
      <w:r w:rsidRPr="00A937C2">
        <w:rPr>
          <w:sz w:val="22"/>
          <w:szCs w:val="22"/>
        </w:rPr>
        <w:t xml:space="preserve"> Zoning Code </w:t>
      </w:r>
      <w:r>
        <w:rPr>
          <w:sz w:val="22"/>
          <w:szCs w:val="22"/>
        </w:rPr>
        <w:t xml:space="preserve">(Ex. 2) </w:t>
      </w:r>
      <w:r w:rsidRPr="00A937C2">
        <w:rPr>
          <w:sz w:val="22"/>
          <w:szCs w:val="22"/>
        </w:rPr>
        <w:t>§§</w:t>
      </w:r>
      <w:r>
        <w:rPr>
          <w:sz w:val="22"/>
          <w:szCs w:val="22"/>
        </w:rPr>
        <w:t xml:space="preserve"> </w:t>
      </w:r>
      <w:r w:rsidRPr="00A937C2">
        <w:rPr>
          <w:sz w:val="22"/>
          <w:szCs w:val="22"/>
        </w:rPr>
        <w:t xml:space="preserve">4-506(c), </w:t>
      </w:r>
      <w:r>
        <w:rPr>
          <w:sz w:val="22"/>
          <w:szCs w:val="22"/>
        </w:rPr>
        <w:t>4-</w:t>
      </w:r>
      <w:r w:rsidRPr="00A937C2">
        <w:rPr>
          <w:sz w:val="22"/>
          <w:szCs w:val="22"/>
        </w:rPr>
        <w:t xml:space="preserve">706(c), 10-207(d).  Because this use does not follow normal zoning requirements for its density, it is reasonable for it to be treated as a conditional use.   A “Service and Housing Center” is permitted by CO only in M-2, an industrial zone.  Zoning Code </w:t>
      </w:r>
      <w:r>
        <w:rPr>
          <w:sz w:val="22"/>
          <w:szCs w:val="22"/>
        </w:rPr>
        <w:t xml:space="preserve">(Ex. 2) </w:t>
      </w:r>
      <w:r w:rsidRPr="00A937C2">
        <w:rPr>
          <w:sz w:val="22"/>
          <w:szCs w:val="22"/>
        </w:rPr>
        <w:t>§</w:t>
      </w:r>
      <w:r>
        <w:rPr>
          <w:sz w:val="22"/>
          <w:szCs w:val="22"/>
        </w:rPr>
        <w:t xml:space="preserve"> </w:t>
      </w:r>
      <w:r w:rsidRPr="00A937C2">
        <w:rPr>
          <w:sz w:val="22"/>
          <w:szCs w:val="22"/>
        </w:rPr>
        <w:t xml:space="preserve">7-308.  Dwellings are not permitted in industrial zones.  </w:t>
      </w:r>
      <w:r w:rsidRPr="0040420E">
        <w:rPr>
          <w:sz w:val="22"/>
          <w:szCs w:val="22"/>
          <w:u w:val="single"/>
        </w:rPr>
        <w:t>Id.</w:t>
      </w:r>
      <w:r>
        <w:rPr>
          <w:sz w:val="22"/>
          <w:szCs w:val="22"/>
        </w:rPr>
        <w:t xml:space="preserve"> </w:t>
      </w:r>
      <w:r w:rsidRPr="00A937C2">
        <w:rPr>
          <w:sz w:val="22"/>
          <w:szCs w:val="22"/>
        </w:rPr>
        <w:t>§</w:t>
      </w:r>
      <w:r>
        <w:rPr>
          <w:sz w:val="22"/>
          <w:szCs w:val="22"/>
        </w:rPr>
        <w:t xml:space="preserve"> </w:t>
      </w:r>
      <w:r w:rsidRPr="00A937C2">
        <w:rPr>
          <w:sz w:val="22"/>
          <w:szCs w:val="22"/>
        </w:rPr>
        <w:t xml:space="preserve">7-105.  Thus, a Service and Housing Center is not a residential dwelling and not comparable to RSATPs.  A “Community Correction Center” cannot be compared to a drug treatment program, pursuant to state law.  </w:t>
      </w:r>
      <w:r w:rsidR="00377A22">
        <w:rPr>
          <w:sz w:val="22"/>
          <w:szCs w:val="22"/>
        </w:rPr>
        <w:fldChar w:fldCharType="begin"/>
      </w:r>
      <w:r>
        <w:instrText xml:space="preserve"> TA \l "</w:instrText>
      </w:r>
      <w:r w:rsidRPr="00487D52">
        <w:instrText>Md. Code Health – General §8-402(c)</w:instrText>
      </w:r>
      <w:r>
        <w:instrText xml:space="preserve">" \s "WSFTA_4d72b23bf91049488b67885fa0a276e8" \c 6 </w:instrText>
      </w:r>
      <w:r w:rsidR="00377A22">
        <w:rPr>
          <w:sz w:val="22"/>
          <w:szCs w:val="22"/>
        </w:rPr>
        <w:fldChar w:fldCharType="end"/>
      </w:r>
      <w:r w:rsidRPr="00A937C2">
        <w:rPr>
          <w:sz w:val="22"/>
          <w:szCs w:val="22"/>
        </w:rPr>
        <w:t>Md. Code Health – General §</w:t>
      </w:r>
      <w:r>
        <w:rPr>
          <w:sz w:val="22"/>
          <w:szCs w:val="22"/>
        </w:rPr>
        <w:t> </w:t>
      </w:r>
      <w:r w:rsidRPr="00A937C2">
        <w:rPr>
          <w:sz w:val="22"/>
          <w:szCs w:val="22"/>
        </w:rPr>
        <w:t>8-402(c).</w:t>
      </w:r>
    </w:p>
  </w:footnote>
  <w:footnote w:id="164">
    <w:p w:rsidR="009A3240" w:rsidRPr="00A937C2" w:rsidRDefault="009A3240" w:rsidP="00B76C8F">
      <w:pPr>
        <w:pStyle w:val="FootnoteText"/>
        <w:rPr>
          <w:sz w:val="22"/>
          <w:szCs w:val="22"/>
        </w:rPr>
      </w:pPr>
      <w:r w:rsidRPr="00A937C2">
        <w:rPr>
          <w:rStyle w:val="FootnoteReference"/>
          <w:sz w:val="22"/>
          <w:szCs w:val="22"/>
        </w:rPr>
        <w:footnoteRef/>
      </w:r>
      <w:r w:rsidRPr="00A937C2">
        <w:rPr>
          <w:sz w:val="22"/>
          <w:szCs w:val="22"/>
        </w:rPr>
        <w:t xml:space="preserve"> Zoning Code </w:t>
      </w:r>
      <w:r>
        <w:rPr>
          <w:sz w:val="22"/>
          <w:szCs w:val="22"/>
        </w:rPr>
        <w:t xml:space="preserve">(Ex. 2) </w:t>
      </w:r>
      <w:r w:rsidRPr="00A937C2">
        <w:rPr>
          <w:sz w:val="22"/>
          <w:szCs w:val="22"/>
        </w:rPr>
        <w:t>§ 1-136(c)(5);</w:t>
      </w:r>
      <w:r>
        <w:rPr>
          <w:sz w:val="22"/>
          <w:szCs w:val="22"/>
        </w:rPr>
        <w:t xml:space="preserve"> Ex. A to </w:t>
      </w:r>
      <w:r w:rsidRPr="00E32CB8">
        <w:rPr>
          <w:sz w:val="22"/>
          <w:szCs w:val="22"/>
        </w:rPr>
        <w:t>Interrog. Resp. 9/27/2010</w:t>
      </w:r>
      <w:r>
        <w:rPr>
          <w:sz w:val="22"/>
          <w:szCs w:val="22"/>
        </w:rPr>
        <w:t xml:space="preserve"> (Ex. 4)</w:t>
      </w:r>
      <w:r w:rsidRPr="00A937C2">
        <w:rPr>
          <w:sz w:val="22"/>
          <w:szCs w:val="22"/>
        </w:rPr>
        <w:t xml:space="preserve">.  </w:t>
      </w:r>
    </w:p>
  </w:footnote>
  <w:footnote w:id="165">
    <w:p w:rsidR="009A3240" w:rsidRPr="00C922F4" w:rsidRDefault="009A3240" w:rsidP="00B76C8F">
      <w:pPr>
        <w:pStyle w:val="FootnoteText"/>
        <w:rPr>
          <w:sz w:val="22"/>
          <w:szCs w:val="22"/>
        </w:rPr>
      </w:pPr>
      <w:r w:rsidRPr="00C922F4">
        <w:rPr>
          <w:rStyle w:val="FootnoteReference"/>
          <w:sz w:val="22"/>
          <w:szCs w:val="22"/>
        </w:rPr>
        <w:footnoteRef/>
      </w:r>
      <w:r w:rsidRPr="00C922F4">
        <w:rPr>
          <w:sz w:val="22"/>
          <w:szCs w:val="22"/>
        </w:rPr>
        <w:t xml:space="preserve"> </w:t>
      </w:r>
      <w:r>
        <w:rPr>
          <w:sz w:val="22"/>
          <w:szCs w:val="22"/>
        </w:rPr>
        <w:t xml:space="preserve">Ex. A to </w:t>
      </w:r>
      <w:r w:rsidRPr="00E32CB8">
        <w:rPr>
          <w:sz w:val="22"/>
          <w:szCs w:val="22"/>
        </w:rPr>
        <w:t>Interrog. Resp. 9/27/2010</w:t>
      </w:r>
      <w:r>
        <w:rPr>
          <w:sz w:val="22"/>
          <w:szCs w:val="22"/>
        </w:rPr>
        <w:t xml:space="preserve"> (Ex. 4)</w:t>
      </w:r>
      <w:r w:rsidRPr="00C922F4">
        <w:rPr>
          <w:sz w:val="22"/>
          <w:szCs w:val="22"/>
        </w:rPr>
        <w:t xml:space="preserve"> at ID# 2</w:t>
      </w:r>
      <w:r>
        <w:rPr>
          <w:sz w:val="22"/>
          <w:szCs w:val="22"/>
        </w:rPr>
        <w:t>-</w:t>
      </w:r>
      <w:r w:rsidRPr="00C922F4">
        <w:rPr>
          <w:sz w:val="22"/>
          <w:szCs w:val="22"/>
        </w:rPr>
        <w:t xml:space="preserve"> 6, 8</w:t>
      </w:r>
      <w:r>
        <w:rPr>
          <w:sz w:val="22"/>
          <w:szCs w:val="22"/>
        </w:rPr>
        <w:t>-11, 16-</w:t>
      </w:r>
      <w:r w:rsidRPr="00C922F4">
        <w:rPr>
          <w:sz w:val="22"/>
          <w:szCs w:val="22"/>
        </w:rPr>
        <w:t xml:space="preserve"> 17, 19, 21, 23</w:t>
      </w:r>
      <w:r>
        <w:rPr>
          <w:sz w:val="22"/>
          <w:szCs w:val="22"/>
        </w:rPr>
        <w:t>-26, 28, 30-32, 43-</w:t>
      </w:r>
      <w:r w:rsidRPr="00C922F4">
        <w:rPr>
          <w:sz w:val="22"/>
          <w:szCs w:val="22"/>
        </w:rPr>
        <w:t xml:space="preserve">44, 46, 18/22, “new”.  </w:t>
      </w:r>
    </w:p>
  </w:footnote>
  <w:footnote w:id="166">
    <w:p w:rsidR="009A3240" w:rsidRPr="00C922F4" w:rsidRDefault="009A3240" w:rsidP="00B76C8F">
      <w:pPr>
        <w:pStyle w:val="FootnoteText"/>
        <w:rPr>
          <w:sz w:val="22"/>
          <w:szCs w:val="22"/>
        </w:rPr>
      </w:pPr>
      <w:r w:rsidRPr="00C922F4">
        <w:rPr>
          <w:rStyle w:val="FootnoteReference"/>
          <w:sz w:val="22"/>
          <w:szCs w:val="22"/>
        </w:rPr>
        <w:footnoteRef/>
      </w:r>
      <w:r>
        <w:rPr>
          <w:sz w:val="22"/>
          <w:szCs w:val="22"/>
        </w:rPr>
        <w:t xml:space="preserve"> Tanner Dep. (Ex. 1) 138:10</w:t>
      </w:r>
      <w:r w:rsidRPr="00C922F4">
        <w:rPr>
          <w:sz w:val="22"/>
          <w:szCs w:val="22"/>
        </w:rPr>
        <w:t>-17.</w:t>
      </w:r>
    </w:p>
  </w:footnote>
  <w:footnote w:id="167">
    <w:p w:rsidR="009A3240" w:rsidRPr="00C922F4" w:rsidRDefault="009A3240" w:rsidP="00B76C8F">
      <w:pPr>
        <w:pStyle w:val="FootnoteText"/>
        <w:rPr>
          <w:sz w:val="22"/>
          <w:szCs w:val="22"/>
        </w:rPr>
      </w:pPr>
      <w:r w:rsidRPr="00C922F4">
        <w:rPr>
          <w:rStyle w:val="FootnoteReference"/>
          <w:sz w:val="22"/>
          <w:szCs w:val="22"/>
        </w:rPr>
        <w:footnoteRef/>
      </w:r>
      <w:r w:rsidRPr="00C922F4">
        <w:rPr>
          <w:sz w:val="22"/>
          <w:szCs w:val="22"/>
        </w:rPr>
        <w:t xml:space="preserve"> </w:t>
      </w:r>
      <w:r w:rsidRPr="00C922F4">
        <w:rPr>
          <w:sz w:val="22"/>
          <w:szCs w:val="22"/>
          <w:u w:val="single"/>
        </w:rPr>
        <w:t>See Human Res. Research</w:t>
      </w:r>
      <w:r w:rsidRPr="00C922F4">
        <w:rPr>
          <w:sz w:val="22"/>
          <w:szCs w:val="22"/>
        </w:rPr>
        <w:t xml:space="preserve">, </w:t>
      </w:r>
      <w:r w:rsidR="00377A22">
        <w:rPr>
          <w:sz w:val="22"/>
          <w:szCs w:val="22"/>
        </w:rPr>
        <w:fldChar w:fldCharType="begin"/>
      </w:r>
      <w:r>
        <w:instrText xml:space="preserve"> TA \l "" \s "WSFTA_7ad7a9f0bbed49c0ae69646765855cf2" \c 3 </w:instrText>
      </w:r>
      <w:r w:rsidR="00377A22">
        <w:rPr>
          <w:sz w:val="22"/>
          <w:szCs w:val="22"/>
        </w:rPr>
        <w:fldChar w:fldCharType="end"/>
      </w:r>
      <w:r w:rsidRPr="00C922F4">
        <w:rPr>
          <w:sz w:val="22"/>
          <w:szCs w:val="22"/>
        </w:rPr>
        <w:t>687 F.</w:t>
      </w:r>
      <w:r>
        <w:rPr>
          <w:sz w:val="22"/>
          <w:szCs w:val="22"/>
        </w:rPr>
        <w:t xml:space="preserve"> </w:t>
      </w:r>
      <w:r w:rsidRPr="00C922F4">
        <w:rPr>
          <w:sz w:val="22"/>
          <w:szCs w:val="22"/>
        </w:rPr>
        <w:t>Supp.</w:t>
      </w:r>
      <w:r>
        <w:rPr>
          <w:sz w:val="22"/>
          <w:szCs w:val="22"/>
        </w:rPr>
        <w:t xml:space="preserve"> </w:t>
      </w:r>
      <w:r w:rsidRPr="00C922F4">
        <w:rPr>
          <w:sz w:val="22"/>
          <w:szCs w:val="22"/>
        </w:rPr>
        <w:t xml:space="preserve">2d at 254 (holding law facially discriminatory under Fair Housing Amendments Act because it applied restrictions to substance abuse recovery houses that were not applied to apartment houses or multiple dwellings, among other uses.)  </w:t>
      </w:r>
    </w:p>
  </w:footnote>
  <w:footnote w:id="168">
    <w:p w:rsidR="009A3240" w:rsidRPr="00C922F4" w:rsidRDefault="009A3240" w:rsidP="00B76C8F">
      <w:pPr>
        <w:pStyle w:val="FootnoteText"/>
        <w:rPr>
          <w:sz w:val="22"/>
          <w:szCs w:val="22"/>
        </w:rPr>
      </w:pPr>
      <w:r w:rsidRPr="00C922F4">
        <w:rPr>
          <w:rStyle w:val="FootnoteReference"/>
          <w:sz w:val="22"/>
          <w:szCs w:val="22"/>
        </w:rPr>
        <w:footnoteRef/>
      </w:r>
      <w:r>
        <w:rPr>
          <w:sz w:val="22"/>
          <w:szCs w:val="22"/>
        </w:rPr>
        <w:t xml:space="preserve"> Ex. A to </w:t>
      </w:r>
      <w:r w:rsidRPr="00E32CB8">
        <w:rPr>
          <w:sz w:val="22"/>
          <w:szCs w:val="22"/>
        </w:rPr>
        <w:t>Interrog. Resp. 9/27/2010</w:t>
      </w:r>
      <w:r w:rsidRPr="00C922F4">
        <w:rPr>
          <w:sz w:val="22"/>
          <w:szCs w:val="22"/>
        </w:rPr>
        <w:t xml:space="preserve"> </w:t>
      </w:r>
      <w:r>
        <w:rPr>
          <w:sz w:val="22"/>
          <w:szCs w:val="22"/>
        </w:rPr>
        <w:t xml:space="preserve">(Ex. 4) </w:t>
      </w:r>
      <w:r w:rsidRPr="00C922F4">
        <w:rPr>
          <w:sz w:val="22"/>
          <w:szCs w:val="22"/>
        </w:rPr>
        <w:t>at ID# 1, 20</w:t>
      </w:r>
      <w:r>
        <w:rPr>
          <w:sz w:val="22"/>
          <w:szCs w:val="22"/>
        </w:rPr>
        <w:t>/</w:t>
      </w:r>
      <w:r w:rsidRPr="00C922F4">
        <w:rPr>
          <w:sz w:val="22"/>
          <w:szCs w:val="22"/>
        </w:rPr>
        <w:t>29</w:t>
      </w:r>
      <w:r>
        <w:rPr>
          <w:sz w:val="22"/>
          <w:szCs w:val="22"/>
        </w:rPr>
        <w:t xml:space="preserve"> (same facility)</w:t>
      </w:r>
      <w:r w:rsidRPr="00C922F4">
        <w:rPr>
          <w:sz w:val="22"/>
          <w:szCs w:val="22"/>
        </w:rPr>
        <w:t>, 35, 41.</w:t>
      </w:r>
    </w:p>
  </w:footnote>
  <w:footnote w:id="169">
    <w:p w:rsidR="009A3240" w:rsidRPr="00C922F4" w:rsidRDefault="009A3240" w:rsidP="00B76C8F">
      <w:pPr>
        <w:pStyle w:val="FootnoteText"/>
        <w:rPr>
          <w:sz w:val="22"/>
          <w:szCs w:val="22"/>
        </w:rPr>
      </w:pPr>
      <w:r w:rsidRPr="00C922F4">
        <w:rPr>
          <w:rStyle w:val="FootnoteReference"/>
          <w:sz w:val="22"/>
          <w:szCs w:val="22"/>
        </w:rPr>
        <w:footnoteRef/>
      </w:r>
      <w:r w:rsidRPr="00C922F4">
        <w:rPr>
          <w:sz w:val="22"/>
          <w:szCs w:val="22"/>
        </w:rPr>
        <w:t xml:space="preserve"> Tanner Dep. </w:t>
      </w:r>
      <w:r>
        <w:rPr>
          <w:sz w:val="22"/>
          <w:szCs w:val="22"/>
        </w:rPr>
        <w:t xml:space="preserve">(Ex. 1) </w:t>
      </w:r>
      <w:r w:rsidRPr="00C922F4">
        <w:rPr>
          <w:sz w:val="22"/>
          <w:szCs w:val="22"/>
        </w:rPr>
        <w:t>38:18-</w:t>
      </w:r>
      <w:r>
        <w:rPr>
          <w:sz w:val="22"/>
          <w:szCs w:val="22"/>
        </w:rPr>
        <w:t>39:2</w:t>
      </w:r>
      <w:r w:rsidRPr="00C922F4">
        <w:rPr>
          <w:sz w:val="22"/>
          <w:szCs w:val="22"/>
        </w:rPr>
        <w:t xml:space="preserve">.  </w:t>
      </w:r>
    </w:p>
  </w:footnote>
  <w:footnote w:id="170">
    <w:p w:rsidR="009A3240" w:rsidRPr="00C922F4" w:rsidRDefault="009A3240" w:rsidP="00B76C8F">
      <w:pPr>
        <w:pStyle w:val="FootnoteText"/>
        <w:rPr>
          <w:sz w:val="22"/>
          <w:szCs w:val="22"/>
        </w:rPr>
      </w:pPr>
      <w:r w:rsidRPr="00C922F4">
        <w:rPr>
          <w:rStyle w:val="FootnoteReference"/>
          <w:sz w:val="22"/>
          <w:szCs w:val="22"/>
        </w:rPr>
        <w:footnoteRef/>
      </w:r>
      <w:r w:rsidRPr="00C922F4">
        <w:rPr>
          <w:sz w:val="22"/>
          <w:szCs w:val="22"/>
        </w:rPr>
        <w:t xml:space="preserve"> </w:t>
      </w:r>
      <w:r w:rsidRPr="00E45EEE">
        <w:rPr>
          <w:sz w:val="22"/>
          <w:szCs w:val="22"/>
          <w:u w:val="single"/>
        </w:rPr>
        <w:t>Id.</w:t>
      </w:r>
      <w:r>
        <w:rPr>
          <w:sz w:val="22"/>
          <w:szCs w:val="22"/>
        </w:rPr>
        <w:t xml:space="preserve"> 85:17-90:9</w:t>
      </w:r>
      <w:r w:rsidRPr="00C922F4">
        <w:rPr>
          <w:sz w:val="22"/>
          <w:szCs w:val="22"/>
        </w:rPr>
        <w:t xml:space="preserve"> (</w:t>
      </w:r>
      <w:r>
        <w:rPr>
          <w:sz w:val="22"/>
          <w:szCs w:val="22"/>
        </w:rPr>
        <w:t xml:space="preserve">e.g., </w:t>
      </w:r>
      <w:r w:rsidRPr="00C922F4">
        <w:rPr>
          <w:sz w:val="22"/>
          <w:szCs w:val="22"/>
        </w:rPr>
        <w:t xml:space="preserve">Zoning Code regulates the size and location of structures on a lot and the Housing Code regulates the number of residents under light and air requirements).  </w:t>
      </w:r>
    </w:p>
  </w:footnote>
  <w:footnote w:id="171">
    <w:p w:rsidR="009A3240" w:rsidRPr="00C922F4" w:rsidRDefault="009A3240" w:rsidP="00B76C8F">
      <w:pPr>
        <w:pStyle w:val="FootnoteText"/>
        <w:rPr>
          <w:sz w:val="22"/>
          <w:szCs w:val="22"/>
        </w:rPr>
      </w:pPr>
      <w:r w:rsidRPr="00C922F4">
        <w:rPr>
          <w:rStyle w:val="FootnoteReference"/>
          <w:sz w:val="22"/>
          <w:szCs w:val="22"/>
        </w:rPr>
        <w:footnoteRef/>
      </w:r>
      <w:r w:rsidRPr="00C922F4">
        <w:rPr>
          <w:sz w:val="22"/>
          <w:szCs w:val="22"/>
        </w:rPr>
        <w:t xml:space="preserve"> Zoning Code </w:t>
      </w:r>
      <w:r>
        <w:rPr>
          <w:sz w:val="22"/>
          <w:szCs w:val="22"/>
        </w:rPr>
        <w:t xml:space="preserve">(Ex. 2) </w:t>
      </w:r>
      <w:r w:rsidRPr="00C922F4">
        <w:rPr>
          <w:sz w:val="22"/>
          <w:szCs w:val="22"/>
        </w:rPr>
        <w:t>§</w:t>
      </w:r>
      <w:r>
        <w:rPr>
          <w:sz w:val="22"/>
          <w:szCs w:val="22"/>
        </w:rPr>
        <w:t xml:space="preserve"> </w:t>
      </w:r>
      <w:r w:rsidRPr="00C922F4">
        <w:rPr>
          <w:sz w:val="22"/>
          <w:szCs w:val="22"/>
        </w:rPr>
        <w:t xml:space="preserve">10-405.  </w:t>
      </w:r>
    </w:p>
  </w:footnote>
  <w:footnote w:id="172">
    <w:p w:rsidR="009A3240" w:rsidRPr="00C922F4" w:rsidRDefault="009A3240" w:rsidP="00B76C8F">
      <w:pPr>
        <w:pStyle w:val="FootnoteText"/>
        <w:rPr>
          <w:sz w:val="22"/>
          <w:szCs w:val="22"/>
        </w:rPr>
      </w:pPr>
      <w:r w:rsidRPr="00C922F4">
        <w:rPr>
          <w:rStyle w:val="FootnoteReference"/>
          <w:sz w:val="22"/>
          <w:szCs w:val="22"/>
        </w:rPr>
        <w:footnoteRef/>
      </w:r>
      <w:r>
        <w:rPr>
          <w:sz w:val="22"/>
          <w:szCs w:val="22"/>
        </w:rPr>
        <w:t xml:space="preserve"> Tanner Dep. (Ex. 1) 133</w:t>
      </w:r>
      <w:r w:rsidRPr="00C922F4">
        <w:rPr>
          <w:sz w:val="22"/>
          <w:szCs w:val="22"/>
        </w:rPr>
        <w:t>:</w:t>
      </w:r>
      <w:r>
        <w:rPr>
          <w:sz w:val="22"/>
          <w:szCs w:val="22"/>
        </w:rPr>
        <w:t>10-137:8</w:t>
      </w:r>
      <w:r w:rsidRPr="00C922F4">
        <w:rPr>
          <w:sz w:val="22"/>
          <w:szCs w:val="22"/>
        </w:rPr>
        <w:t xml:space="preserve">.  </w:t>
      </w:r>
    </w:p>
  </w:footnote>
  <w:footnote w:id="173">
    <w:p w:rsidR="009A3240" w:rsidRPr="00C922F4" w:rsidRDefault="009A3240" w:rsidP="00B76C8F">
      <w:pPr>
        <w:pStyle w:val="FootnoteText"/>
        <w:rPr>
          <w:sz w:val="22"/>
          <w:szCs w:val="22"/>
        </w:rPr>
      </w:pPr>
      <w:r w:rsidRPr="00C922F4">
        <w:rPr>
          <w:rStyle w:val="FootnoteReference"/>
          <w:sz w:val="22"/>
          <w:szCs w:val="22"/>
        </w:rPr>
        <w:footnoteRef/>
      </w:r>
      <w:r w:rsidRPr="00C922F4">
        <w:rPr>
          <w:sz w:val="22"/>
          <w:szCs w:val="22"/>
        </w:rPr>
        <w:t xml:space="preserve"> </w:t>
      </w:r>
      <w:r w:rsidRPr="00C922F4">
        <w:rPr>
          <w:sz w:val="22"/>
          <w:szCs w:val="22"/>
          <w:u w:val="single"/>
        </w:rPr>
        <w:t>Id.</w:t>
      </w:r>
      <w:r w:rsidRPr="00C922F4">
        <w:rPr>
          <w:sz w:val="22"/>
          <w:szCs w:val="22"/>
        </w:rPr>
        <w:t xml:space="preserve">  </w:t>
      </w:r>
    </w:p>
  </w:footnote>
  <w:footnote w:id="174">
    <w:p w:rsidR="009A3240" w:rsidRPr="00C922F4" w:rsidRDefault="009A3240" w:rsidP="00B76C8F">
      <w:pPr>
        <w:pStyle w:val="FootnoteText"/>
        <w:rPr>
          <w:sz w:val="22"/>
          <w:szCs w:val="22"/>
        </w:rPr>
      </w:pPr>
      <w:r w:rsidRPr="00C922F4">
        <w:rPr>
          <w:rStyle w:val="FootnoteReference"/>
          <w:sz w:val="22"/>
          <w:szCs w:val="22"/>
        </w:rPr>
        <w:footnoteRef/>
      </w:r>
      <w:r w:rsidRPr="00C922F4">
        <w:rPr>
          <w:sz w:val="22"/>
          <w:szCs w:val="22"/>
        </w:rPr>
        <w:t xml:space="preserve"> </w:t>
      </w:r>
      <w:r w:rsidRPr="00E45EEE">
        <w:rPr>
          <w:sz w:val="22"/>
          <w:szCs w:val="22"/>
          <w:u w:val="single"/>
        </w:rPr>
        <w:t>Id.</w:t>
      </w:r>
      <w:r>
        <w:rPr>
          <w:sz w:val="22"/>
          <w:szCs w:val="22"/>
        </w:rPr>
        <w:t xml:space="preserve"> 85:17</w:t>
      </w:r>
      <w:r w:rsidRPr="00C922F4">
        <w:rPr>
          <w:sz w:val="22"/>
          <w:szCs w:val="22"/>
        </w:rPr>
        <w:t>-90:9.</w:t>
      </w:r>
    </w:p>
  </w:footnote>
  <w:footnote w:id="175">
    <w:p w:rsidR="009A3240" w:rsidRPr="00C922F4" w:rsidRDefault="009A3240" w:rsidP="00B76C8F">
      <w:pPr>
        <w:pStyle w:val="FootnoteText"/>
        <w:rPr>
          <w:sz w:val="22"/>
          <w:szCs w:val="22"/>
        </w:rPr>
      </w:pPr>
      <w:r w:rsidRPr="00C922F4">
        <w:rPr>
          <w:rStyle w:val="FootnoteReference"/>
          <w:sz w:val="22"/>
          <w:szCs w:val="22"/>
        </w:rPr>
        <w:footnoteRef/>
      </w:r>
      <w:r w:rsidRPr="00C922F4">
        <w:rPr>
          <w:sz w:val="22"/>
          <w:szCs w:val="22"/>
        </w:rPr>
        <w:t xml:space="preserve"> Every court to have considered this issue in the context of drug treatment programs concluded that such programs did not pose a significant risk to the health or safety of others.  </w:t>
      </w:r>
      <w:r w:rsidRPr="00C922F4">
        <w:rPr>
          <w:sz w:val="22"/>
          <w:szCs w:val="22"/>
          <w:u w:val="single"/>
        </w:rPr>
        <w:t>See, e.g.</w:t>
      </w:r>
      <w:r w:rsidRPr="00C922F4">
        <w:rPr>
          <w:sz w:val="22"/>
          <w:szCs w:val="22"/>
        </w:rPr>
        <w:t xml:space="preserve">, </w:t>
      </w:r>
      <w:r w:rsidR="00377A22">
        <w:rPr>
          <w:sz w:val="22"/>
          <w:szCs w:val="22"/>
        </w:rPr>
        <w:fldChar w:fldCharType="begin"/>
      </w:r>
      <w:r>
        <w:instrText xml:space="preserve"> TA \l "" \s "WSFTA_3ed1e5e2fdb446698b3aebd36202a59c" \c 3 </w:instrText>
      </w:r>
      <w:r w:rsidR="00377A22">
        <w:rPr>
          <w:sz w:val="22"/>
          <w:szCs w:val="22"/>
        </w:rPr>
        <w:fldChar w:fldCharType="end"/>
      </w:r>
      <w:r w:rsidRPr="00C922F4">
        <w:rPr>
          <w:sz w:val="22"/>
          <w:szCs w:val="22"/>
          <w:u w:val="single"/>
        </w:rPr>
        <w:t>Bay Area Addiction Research and Treatment, Inc.</w:t>
      </w:r>
      <w:r w:rsidRPr="00C922F4">
        <w:rPr>
          <w:sz w:val="22"/>
          <w:szCs w:val="22"/>
        </w:rPr>
        <w:t xml:space="preserve">, 2000 WL 33716782, </w:t>
      </w:r>
      <w:r>
        <w:rPr>
          <w:sz w:val="22"/>
          <w:szCs w:val="22"/>
        </w:rPr>
        <w:t xml:space="preserve">at </w:t>
      </w:r>
      <w:r w:rsidRPr="00C922F4">
        <w:rPr>
          <w:sz w:val="22"/>
          <w:szCs w:val="22"/>
        </w:rPr>
        <w:t xml:space="preserve">*12; </w:t>
      </w:r>
      <w:r w:rsidR="00377A22">
        <w:rPr>
          <w:sz w:val="22"/>
          <w:szCs w:val="22"/>
        </w:rPr>
        <w:fldChar w:fldCharType="begin"/>
      </w:r>
      <w:r>
        <w:instrText xml:space="preserve"> TA \l "" \s "WSFTA_ca868d52afc646c5b2d767a2577cbab9" \c 3 </w:instrText>
      </w:r>
      <w:r w:rsidR="00377A22">
        <w:rPr>
          <w:sz w:val="22"/>
          <w:szCs w:val="22"/>
        </w:rPr>
        <w:fldChar w:fldCharType="end"/>
      </w:r>
      <w:r w:rsidRPr="00C922F4">
        <w:rPr>
          <w:sz w:val="22"/>
          <w:szCs w:val="22"/>
          <w:u w:val="single"/>
        </w:rPr>
        <w:t>MX Group,</w:t>
      </w:r>
      <w:r w:rsidRPr="00C922F4">
        <w:rPr>
          <w:sz w:val="22"/>
          <w:szCs w:val="22"/>
        </w:rPr>
        <w:t xml:space="preserve"> 293 F.3d at 342; </w:t>
      </w:r>
      <w:r w:rsidR="00377A22">
        <w:rPr>
          <w:sz w:val="22"/>
          <w:szCs w:val="22"/>
        </w:rPr>
        <w:fldChar w:fldCharType="begin"/>
      </w:r>
      <w:r>
        <w:instrText xml:space="preserve"> TA \l "" \s "WSFTA_28a3db6492fb49fdad1f1da8cea00e05" \c 3 </w:instrText>
      </w:r>
      <w:r w:rsidR="00377A22">
        <w:rPr>
          <w:sz w:val="22"/>
          <w:szCs w:val="22"/>
        </w:rPr>
        <w:fldChar w:fldCharType="end"/>
      </w:r>
      <w:r w:rsidRPr="00C922F4">
        <w:rPr>
          <w:sz w:val="22"/>
          <w:szCs w:val="22"/>
          <w:u w:val="single"/>
        </w:rPr>
        <w:t>New Directions</w:t>
      </w:r>
      <w:r w:rsidRPr="00C922F4">
        <w:rPr>
          <w:sz w:val="22"/>
          <w:szCs w:val="22"/>
        </w:rPr>
        <w:t xml:space="preserve">, 490 F.3d at 306-7; </w:t>
      </w:r>
      <w:r w:rsidR="00377A22">
        <w:rPr>
          <w:sz w:val="22"/>
          <w:szCs w:val="22"/>
        </w:rPr>
        <w:fldChar w:fldCharType="begin"/>
      </w:r>
      <w:r>
        <w:instrText xml:space="preserve"> TA \l "</w:instrText>
      </w:r>
      <w:r w:rsidRPr="00487D52">
        <w:rPr>
          <w:u w:val="single"/>
        </w:rPr>
        <w:instrText>A Helping Hand, L.L.C.</w:instrText>
      </w:r>
      <w:r w:rsidRPr="00487D52">
        <w:instrText>,</w:instrText>
      </w:r>
      <w:r w:rsidRPr="00487D52">
        <w:br/>
        <w:instrText>2005 WL 2453062</w:instrText>
      </w:r>
      <w:r>
        <w:instrText xml:space="preserve">" \s "WSFTA_96653e80032048ebb2f11048f3f12f20" \c 3 </w:instrText>
      </w:r>
      <w:r w:rsidR="00377A22">
        <w:rPr>
          <w:sz w:val="22"/>
          <w:szCs w:val="22"/>
        </w:rPr>
        <w:fldChar w:fldCharType="end"/>
      </w:r>
      <w:r w:rsidRPr="00AB369D">
        <w:rPr>
          <w:sz w:val="22"/>
          <w:szCs w:val="22"/>
          <w:u w:val="single"/>
        </w:rPr>
        <w:t xml:space="preserve"> </w:t>
      </w:r>
      <w:r w:rsidRPr="00C922F4">
        <w:rPr>
          <w:sz w:val="22"/>
          <w:szCs w:val="22"/>
          <w:u w:val="single"/>
        </w:rPr>
        <w:t>A Helping Hand, L</w:t>
      </w:r>
      <w:r>
        <w:rPr>
          <w:sz w:val="22"/>
          <w:szCs w:val="22"/>
          <w:u w:val="single"/>
        </w:rPr>
        <w:t>.</w:t>
      </w:r>
      <w:r w:rsidRPr="00C922F4">
        <w:rPr>
          <w:sz w:val="22"/>
          <w:szCs w:val="22"/>
          <w:u w:val="single"/>
        </w:rPr>
        <w:t>L</w:t>
      </w:r>
      <w:r>
        <w:rPr>
          <w:sz w:val="22"/>
          <w:szCs w:val="22"/>
          <w:u w:val="single"/>
        </w:rPr>
        <w:t>.</w:t>
      </w:r>
      <w:r w:rsidRPr="00C922F4">
        <w:rPr>
          <w:sz w:val="22"/>
          <w:szCs w:val="22"/>
          <w:u w:val="single"/>
        </w:rPr>
        <w:t>C</w:t>
      </w:r>
      <w:r>
        <w:rPr>
          <w:sz w:val="22"/>
          <w:szCs w:val="22"/>
          <w:u w:val="single"/>
        </w:rPr>
        <w:t>. v. Baltimore Cnty.</w:t>
      </w:r>
      <w:r w:rsidRPr="00C922F4">
        <w:rPr>
          <w:sz w:val="22"/>
          <w:szCs w:val="22"/>
        </w:rPr>
        <w:t xml:space="preserve">, No. Civ. A. CCB-02-2568, 2005 WL 2453062, </w:t>
      </w:r>
      <w:r>
        <w:rPr>
          <w:sz w:val="22"/>
          <w:szCs w:val="22"/>
        </w:rPr>
        <w:t xml:space="preserve">at </w:t>
      </w:r>
      <w:r w:rsidRPr="00C922F4">
        <w:rPr>
          <w:sz w:val="22"/>
          <w:szCs w:val="22"/>
        </w:rPr>
        <w:t xml:space="preserve">*15 (D. Md. Sept. 30, 2005); </w:t>
      </w:r>
      <w:r w:rsidR="00377A22">
        <w:rPr>
          <w:sz w:val="22"/>
          <w:szCs w:val="22"/>
        </w:rPr>
        <w:fldChar w:fldCharType="begin"/>
      </w:r>
      <w:r>
        <w:instrText xml:space="preserve"> TA \l "" \s "WSFTA_e7fb4a6786d843049df320e86cbd099c" \c 3 </w:instrText>
      </w:r>
      <w:r w:rsidR="00377A22">
        <w:rPr>
          <w:sz w:val="22"/>
          <w:szCs w:val="22"/>
        </w:rPr>
        <w:fldChar w:fldCharType="end"/>
      </w:r>
      <w:r w:rsidRPr="00C922F4">
        <w:rPr>
          <w:sz w:val="22"/>
          <w:szCs w:val="22"/>
          <w:u w:val="single"/>
        </w:rPr>
        <w:t>Habit Management</w:t>
      </w:r>
      <w:r w:rsidRPr="00C922F4">
        <w:rPr>
          <w:sz w:val="22"/>
          <w:szCs w:val="22"/>
        </w:rPr>
        <w:t>, 235 F.</w:t>
      </w:r>
      <w:r>
        <w:rPr>
          <w:sz w:val="22"/>
          <w:szCs w:val="22"/>
        </w:rPr>
        <w:t xml:space="preserve"> </w:t>
      </w:r>
      <w:r w:rsidRPr="00C922F4">
        <w:rPr>
          <w:sz w:val="22"/>
          <w:szCs w:val="22"/>
        </w:rPr>
        <w:t>Supp.</w:t>
      </w:r>
      <w:r>
        <w:rPr>
          <w:sz w:val="22"/>
          <w:szCs w:val="22"/>
        </w:rPr>
        <w:t xml:space="preserve"> </w:t>
      </w:r>
      <w:r w:rsidRPr="00C922F4">
        <w:rPr>
          <w:sz w:val="22"/>
          <w:szCs w:val="22"/>
        </w:rPr>
        <w:t xml:space="preserve">2d at 29.  </w:t>
      </w:r>
    </w:p>
  </w:footnote>
  <w:footnote w:id="176">
    <w:p w:rsidR="009A3240" w:rsidRPr="00C922F4" w:rsidRDefault="009A3240" w:rsidP="00B76C8F">
      <w:pPr>
        <w:pStyle w:val="FootnoteText"/>
        <w:rPr>
          <w:sz w:val="22"/>
          <w:szCs w:val="22"/>
        </w:rPr>
      </w:pPr>
      <w:r w:rsidRPr="00C922F4">
        <w:rPr>
          <w:rStyle w:val="FootnoteReference"/>
          <w:sz w:val="22"/>
          <w:szCs w:val="22"/>
        </w:rPr>
        <w:footnoteRef/>
      </w:r>
      <w:r>
        <w:rPr>
          <w:sz w:val="22"/>
          <w:szCs w:val="22"/>
        </w:rPr>
        <w:t xml:space="preserve"> Skinner </w:t>
      </w:r>
      <w:r w:rsidRPr="00C922F4">
        <w:rPr>
          <w:sz w:val="22"/>
          <w:szCs w:val="22"/>
        </w:rPr>
        <w:t xml:space="preserve">Dep. </w:t>
      </w:r>
      <w:r>
        <w:rPr>
          <w:sz w:val="22"/>
          <w:szCs w:val="22"/>
        </w:rPr>
        <w:t xml:space="preserve">(Ex. 77) </w:t>
      </w:r>
      <w:r w:rsidRPr="00C922F4">
        <w:rPr>
          <w:sz w:val="22"/>
          <w:szCs w:val="22"/>
        </w:rPr>
        <w:t>10:6-8, 20:22-22:15 (“Q: Do residential substance abuse treatment programs cause a significant risk to the health o</w:t>
      </w:r>
      <w:r>
        <w:rPr>
          <w:sz w:val="22"/>
          <w:szCs w:val="22"/>
        </w:rPr>
        <w:t>r the safety of others?  A: No</w:t>
      </w:r>
      <w:r w:rsidRPr="00C922F4">
        <w:rPr>
          <w:sz w:val="22"/>
          <w:szCs w:val="22"/>
        </w:rPr>
        <w:t xml:space="preserve">. . .”).  </w:t>
      </w:r>
    </w:p>
  </w:footnote>
  <w:footnote w:id="177">
    <w:p w:rsidR="009A3240" w:rsidRPr="00C922F4" w:rsidRDefault="009A3240" w:rsidP="00B76C8F">
      <w:pPr>
        <w:pStyle w:val="FootnoteText"/>
        <w:rPr>
          <w:sz w:val="22"/>
          <w:szCs w:val="22"/>
        </w:rPr>
      </w:pPr>
      <w:r w:rsidRPr="00C922F4">
        <w:rPr>
          <w:rStyle w:val="FootnoteReference"/>
          <w:sz w:val="22"/>
          <w:szCs w:val="22"/>
        </w:rPr>
        <w:footnoteRef/>
      </w:r>
      <w:r w:rsidRPr="00C922F4">
        <w:rPr>
          <w:sz w:val="22"/>
          <w:szCs w:val="22"/>
        </w:rPr>
        <w:t xml:space="preserve"> </w:t>
      </w:r>
      <w:r w:rsidRPr="00546F60">
        <w:rPr>
          <w:sz w:val="22"/>
          <w:szCs w:val="22"/>
          <w:u w:val="single"/>
        </w:rPr>
        <w:t>See supra</w:t>
      </w:r>
      <w:r w:rsidRPr="00546F60">
        <w:rPr>
          <w:sz w:val="22"/>
          <w:szCs w:val="22"/>
        </w:rPr>
        <w:t xml:space="preserve"> Section III.</w:t>
      </w:r>
      <w:r>
        <w:rPr>
          <w:sz w:val="22"/>
          <w:szCs w:val="22"/>
        </w:rPr>
        <w:t>E</w:t>
      </w:r>
      <w:r w:rsidRPr="00C922F4">
        <w:rPr>
          <w:sz w:val="22"/>
          <w:szCs w:val="22"/>
        </w:rPr>
        <w:t xml:space="preserve">; </w:t>
      </w:r>
      <w:r w:rsidRPr="00C922F4">
        <w:rPr>
          <w:sz w:val="22"/>
          <w:szCs w:val="22"/>
          <w:u w:val="single"/>
        </w:rPr>
        <w:t>see also</w:t>
      </w:r>
      <w:r w:rsidRPr="00C922F4">
        <w:rPr>
          <w:sz w:val="22"/>
          <w:szCs w:val="22"/>
        </w:rPr>
        <w:t xml:space="preserve"> </w:t>
      </w:r>
      <w:r w:rsidR="00377A22">
        <w:rPr>
          <w:sz w:val="22"/>
          <w:szCs w:val="22"/>
        </w:rPr>
        <w:fldChar w:fldCharType="begin"/>
      </w:r>
      <w:r>
        <w:instrText xml:space="preserve"> TA \l "" \s "WSFTA_de8d8d3112384e9697950ab06edf1680" \c 3 </w:instrText>
      </w:r>
      <w:r w:rsidR="00377A22">
        <w:rPr>
          <w:sz w:val="22"/>
          <w:szCs w:val="22"/>
        </w:rPr>
        <w:fldChar w:fldCharType="end"/>
      </w:r>
      <w:r>
        <w:rPr>
          <w:sz w:val="22"/>
          <w:szCs w:val="22"/>
          <w:u w:val="single"/>
        </w:rPr>
        <w:t>Helping Hand,</w:t>
      </w:r>
      <w:r w:rsidRPr="00D55E5E">
        <w:rPr>
          <w:sz w:val="22"/>
          <w:szCs w:val="22"/>
        </w:rPr>
        <w:t xml:space="preserve"> </w:t>
      </w:r>
      <w:r w:rsidRPr="00C922F4">
        <w:rPr>
          <w:sz w:val="22"/>
          <w:szCs w:val="22"/>
        </w:rPr>
        <w:t xml:space="preserve">2005 WL 2453062, </w:t>
      </w:r>
      <w:r>
        <w:rPr>
          <w:sz w:val="22"/>
          <w:szCs w:val="22"/>
        </w:rPr>
        <w:t xml:space="preserve">at </w:t>
      </w:r>
      <w:r w:rsidRPr="00C922F4">
        <w:rPr>
          <w:sz w:val="22"/>
          <w:szCs w:val="22"/>
        </w:rPr>
        <w:t>*15</w:t>
      </w:r>
      <w:r>
        <w:rPr>
          <w:sz w:val="22"/>
          <w:szCs w:val="22"/>
        </w:rPr>
        <w:t xml:space="preserve"> </w:t>
      </w:r>
      <w:r w:rsidRPr="00C922F4">
        <w:rPr>
          <w:sz w:val="22"/>
          <w:szCs w:val="22"/>
        </w:rPr>
        <w:t xml:space="preserve">(citing 2002 Baltimore study that determined that “addiction-related crime decreases significantly as </w:t>
      </w:r>
      <w:r>
        <w:rPr>
          <w:sz w:val="22"/>
          <w:szCs w:val="22"/>
        </w:rPr>
        <w:t>a result of effective treatment”).</w:t>
      </w:r>
      <w:r w:rsidRPr="00C922F4">
        <w:rPr>
          <w:sz w:val="22"/>
          <w:szCs w:val="22"/>
        </w:rPr>
        <w:t xml:space="preserve">  </w:t>
      </w:r>
    </w:p>
  </w:footnote>
  <w:footnote w:id="178">
    <w:p w:rsidR="009A3240" w:rsidRPr="00DB3ACA" w:rsidRDefault="009A3240" w:rsidP="00B76C8F">
      <w:pPr>
        <w:pStyle w:val="FootnoteText"/>
        <w:rPr>
          <w:sz w:val="22"/>
          <w:szCs w:val="22"/>
        </w:rPr>
      </w:pPr>
      <w:r w:rsidRPr="00C922F4">
        <w:rPr>
          <w:rStyle w:val="FootnoteReference"/>
          <w:sz w:val="22"/>
          <w:szCs w:val="22"/>
        </w:rPr>
        <w:footnoteRef/>
      </w:r>
      <w:r w:rsidRPr="00C922F4">
        <w:rPr>
          <w:sz w:val="22"/>
          <w:szCs w:val="22"/>
        </w:rPr>
        <w:t xml:space="preserve"> </w:t>
      </w:r>
      <w:r w:rsidR="00377A22" w:rsidRPr="00DB3ACA">
        <w:rPr>
          <w:sz w:val="22"/>
          <w:szCs w:val="22"/>
        </w:rPr>
        <w:fldChar w:fldCharType="begin"/>
      </w:r>
      <w:r w:rsidRPr="00DB3ACA">
        <w:rPr>
          <w:sz w:val="22"/>
          <w:szCs w:val="22"/>
        </w:rPr>
        <w:instrText xml:space="preserve"> TA \l "</w:instrText>
      </w:r>
      <w:r w:rsidRPr="00DB3ACA">
        <w:rPr>
          <w:sz w:val="22"/>
          <w:szCs w:val="22"/>
          <w:u w:val="single"/>
        </w:rPr>
        <w:instrText>Pathways Psychosocial v. Town of Leonardtown, MD</w:instrText>
      </w:r>
      <w:r w:rsidRPr="00DB3ACA">
        <w:rPr>
          <w:sz w:val="22"/>
          <w:szCs w:val="22"/>
        </w:rPr>
        <w:instrText>,</w:instrText>
      </w:r>
      <w:r w:rsidRPr="00DB3ACA">
        <w:rPr>
          <w:sz w:val="22"/>
          <w:szCs w:val="22"/>
        </w:rPr>
        <w:br/>
        <w:instrText xml:space="preserve">133 F. Supp. 2d 772 (D. Md. 2001)" \s "WSFTA_9c32bdace59c4343a8f7dddf81fb3e72" \c 3 </w:instrText>
      </w:r>
      <w:r w:rsidR="00377A22" w:rsidRPr="00DB3ACA">
        <w:rPr>
          <w:sz w:val="22"/>
          <w:szCs w:val="22"/>
        </w:rPr>
        <w:fldChar w:fldCharType="end"/>
      </w:r>
      <w:r w:rsidRPr="00DB3ACA">
        <w:rPr>
          <w:sz w:val="22"/>
          <w:szCs w:val="22"/>
          <w:u w:val="single"/>
        </w:rPr>
        <w:t>Pathways Psychosocial v. Town of Leonardtown</w:t>
      </w:r>
      <w:r w:rsidRPr="00DB3ACA">
        <w:rPr>
          <w:sz w:val="22"/>
          <w:szCs w:val="22"/>
        </w:rPr>
        <w:t xml:space="preserve">, 133 F. Supp. 2d 772, 781 (D. Md. 2001); </w:t>
      </w:r>
      <w:r w:rsidRPr="00DB3ACA">
        <w:rPr>
          <w:sz w:val="22"/>
          <w:szCs w:val="22"/>
          <w:u w:val="single"/>
        </w:rPr>
        <w:t>see also</w:t>
      </w:r>
      <w:r w:rsidRPr="00DB3ACA">
        <w:rPr>
          <w:sz w:val="22"/>
          <w:szCs w:val="22"/>
        </w:rPr>
        <w:t xml:space="preserve"> </w:t>
      </w:r>
      <w:r w:rsidR="00377A22" w:rsidRPr="00DB3ACA">
        <w:rPr>
          <w:sz w:val="22"/>
          <w:szCs w:val="22"/>
        </w:rPr>
        <w:fldChar w:fldCharType="begin"/>
      </w:r>
      <w:r w:rsidRPr="00DB3ACA">
        <w:rPr>
          <w:sz w:val="22"/>
          <w:szCs w:val="22"/>
        </w:rPr>
        <w:instrText xml:space="preserve"> TA \l "" \s "WSFTA_96653e80032048ebb2f11048f3f12f20" \c 3 </w:instrText>
      </w:r>
      <w:r w:rsidR="00377A22" w:rsidRPr="00DB3ACA">
        <w:rPr>
          <w:sz w:val="22"/>
          <w:szCs w:val="22"/>
        </w:rPr>
        <w:fldChar w:fldCharType="end"/>
      </w:r>
      <w:r w:rsidRPr="00DB3ACA">
        <w:rPr>
          <w:sz w:val="22"/>
          <w:szCs w:val="22"/>
          <w:u w:val="single"/>
        </w:rPr>
        <w:t>Helping Hand, L.L.C.</w:t>
      </w:r>
      <w:r w:rsidRPr="00DB3ACA">
        <w:rPr>
          <w:sz w:val="22"/>
          <w:szCs w:val="22"/>
        </w:rPr>
        <w:t xml:space="preserve">,  2005 WL 2453062, at *16; </w:t>
      </w:r>
      <w:r w:rsidR="00377A22" w:rsidRPr="00DB3ACA">
        <w:rPr>
          <w:sz w:val="22"/>
          <w:szCs w:val="22"/>
        </w:rPr>
        <w:fldChar w:fldCharType="begin"/>
      </w:r>
      <w:r w:rsidRPr="00DB3ACA">
        <w:rPr>
          <w:sz w:val="22"/>
          <w:szCs w:val="22"/>
        </w:rPr>
        <w:instrText xml:space="preserve"> TA \l "" \s "WSFTA_a4956f7fce1d454eb4ccc8a01099e005" \c 3 </w:instrText>
      </w:r>
      <w:r w:rsidR="00377A22" w:rsidRPr="00DB3ACA">
        <w:rPr>
          <w:sz w:val="22"/>
          <w:szCs w:val="22"/>
        </w:rPr>
        <w:fldChar w:fldCharType="end"/>
      </w:r>
      <w:r w:rsidRPr="00DB3ACA">
        <w:rPr>
          <w:sz w:val="22"/>
          <w:szCs w:val="22"/>
          <w:u w:val="single"/>
        </w:rPr>
        <w:t>Tsombanidis v. West Haven Fire Dep’t</w:t>
      </w:r>
      <w:r w:rsidRPr="00DB3ACA">
        <w:rPr>
          <w:sz w:val="22"/>
          <w:szCs w:val="22"/>
        </w:rPr>
        <w:t xml:space="preserve">, 352 F.3d 565, 579-80 (2d Cir. 2003); </w:t>
      </w:r>
      <w:r w:rsidRPr="00DB3ACA">
        <w:rPr>
          <w:sz w:val="22"/>
          <w:szCs w:val="22"/>
          <w:u w:val="single"/>
        </w:rPr>
        <w:t>RECAP</w:t>
      </w:r>
      <w:r w:rsidRPr="00DB3ACA">
        <w:rPr>
          <w:sz w:val="22"/>
          <w:szCs w:val="22"/>
        </w:rPr>
        <w:t xml:space="preserve">, </w:t>
      </w:r>
      <w:r w:rsidR="00377A22" w:rsidRPr="00DB3ACA">
        <w:rPr>
          <w:sz w:val="22"/>
          <w:szCs w:val="22"/>
        </w:rPr>
        <w:fldChar w:fldCharType="begin"/>
      </w:r>
      <w:r w:rsidRPr="00DB3ACA">
        <w:rPr>
          <w:sz w:val="22"/>
          <w:szCs w:val="22"/>
        </w:rPr>
        <w:instrText xml:space="preserve"> TA \l "" \s "WSFTA_d7686192b63b4361bb95207999d1c520" \c 3 </w:instrText>
      </w:r>
      <w:r w:rsidR="00377A22" w:rsidRPr="00DB3ACA">
        <w:rPr>
          <w:sz w:val="22"/>
          <w:szCs w:val="22"/>
        </w:rPr>
        <w:fldChar w:fldCharType="end"/>
      </w:r>
      <w:r w:rsidRPr="00DB3ACA">
        <w:rPr>
          <w:sz w:val="22"/>
          <w:szCs w:val="22"/>
        </w:rPr>
        <w:t xml:space="preserve">294 F.3d at 49; </w:t>
      </w:r>
      <w:r w:rsidR="00377A22" w:rsidRPr="00DB3ACA">
        <w:rPr>
          <w:sz w:val="22"/>
          <w:szCs w:val="22"/>
        </w:rPr>
        <w:fldChar w:fldCharType="begin"/>
      </w:r>
      <w:r w:rsidRPr="00DB3ACA">
        <w:rPr>
          <w:sz w:val="22"/>
          <w:szCs w:val="22"/>
        </w:rPr>
        <w:instrText xml:space="preserve"> TA \l "</w:instrText>
      </w:r>
      <w:r w:rsidRPr="00DB3ACA">
        <w:rPr>
          <w:sz w:val="22"/>
          <w:szCs w:val="22"/>
          <w:u w:val="single"/>
        </w:rPr>
        <w:instrText>Horizon House Dev. Servs. Inc. v. Township of Upper Southampton</w:instrText>
      </w:r>
      <w:r w:rsidRPr="00DB3ACA">
        <w:rPr>
          <w:sz w:val="22"/>
          <w:szCs w:val="22"/>
        </w:rPr>
        <w:instrText>,</w:instrText>
      </w:r>
      <w:r w:rsidRPr="00DB3ACA">
        <w:rPr>
          <w:sz w:val="22"/>
          <w:szCs w:val="22"/>
        </w:rPr>
        <w:br/>
        <w:instrText xml:space="preserve">804 F. Supp. 683 (E.D. Pa. 1992)" \s "WSFTA_90170560db2b42178c83ce292a6c72c6" \c 3 </w:instrText>
      </w:r>
      <w:r w:rsidR="00377A22" w:rsidRPr="00DB3ACA">
        <w:rPr>
          <w:sz w:val="22"/>
          <w:szCs w:val="22"/>
        </w:rPr>
        <w:fldChar w:fldCharType="end"/>
      </w:r>
      <w:r w:rsidRPr="00DB3ACA">
        <w:rPr>
          <w:sz w:val="22"/>
          <w:szCs w:val="22"/>
          <w:u w:val="single"/>
        </w:rPr>
        <w:t>Horizon House Dev. Servs. Inc. v. Twp. of Upper Southampton</w:t>
      </w:r>
      <w:r w:rsidRPr="00DB3ACA">
        <w:rPr>
          <w:sz w:val="22"/>
          <w:szCs w:val="22"/>
        </w:rPr>
        <w:t xml:space="preserve">, 804 F. Supp. 683, 695-97 (E.D. Pa. 1992).  </w:t>
      </w:r>
    </w:p>
  </w:footnote>
  <w:footnote w:id="179">
    <w:p w:rsidR="009A3240" w:rsidRPr="00DB3ACA" w:rsidRDefault="009A3240" w:rsidP="00B76C8F">
      <w:pPr>
        <w:pStyle w:val="FootnoteText"/>
        <w:rPr>
          <w:sz w:val="22"/>
          <w:szCs w:val="22"/>
        </w:rPr>
      </w:pPr>
      <w:r w:rsidRPr="00DB3ACA">
        <w:rPr>
          <w:rStyle w:val="FootnoteReference"/>
          <w:sz w:val="22"/>
          <w:szCs w:val="22"/>
        </w:rPr>
        <w:footnoteRef/>
      </w:r>
      <w:r w:rsidRPr="00DB3ACA">
        <w:rPr>
          <w:sz w:val="22"/>
          <w:szCs w:val="22"/>
        </w:rPr>
        <w:t xml:space="preserve"> </w:t>
      </w:r>
      <w:r w:rsidR="00377A22" w:rsidRPr="00DB3ACA">
        <w:rPr>
          <w:sz w:val="22"/>
          <w:szCs w:val="22"/>
        </w:rPr>
        <w:fldChar w:fldCharType="begin"/>
      </w:r>
      <w:r w:rsidRPr="00DB3ACA">
        <w:rPr>
          <w:sz w:val="22"/>
          <w:szCs w:val="22"/>
        </w:rPr>
        <w:instrText xml:space="preserve"> TA \l "" \s "WSFTA_0f1e19778aa249408a01673f4b40d651" \c 3 </w:instrText>
      </w:r>
      <w:r w:rsidR="00377A22" w:rsidRPr="00DB3ACA">
        <w:rPr>
          <w:sz w:val="22"/>
          <w:szCs w:val="22"/>
        </w:rPr>
        <w:fldChar w:fldCharType="end"/>
      </w:r>
      <w:r w:rsidRPr="00DB3ACA">
        <w:rPr>
          <w:sz w:val="22"/>
          <w:szCs w:val="22"/>
          <w:u w:val="single"/>
        </w:rPr>
        <w:t>Innovative Health Sys.</w:t>
      </w:r>
      <w:r w:rsidRPr="00DB3ACA">
        <w:rPr>
          <w:sz w:val="22"/>
          <w:szCs w:val="22"/>
        </w:rPr>
        <w:t>, 117 F.3d at 49.</w:t>
      </w:r>
    </w:p>
  </w:footnote>
  <w:footnote w:id="180">
    <w:p w:rsidR="009A3240" w:rsidRPr="00DB3ACA" w:rsidRDefault="009A3240" w:rsidP="00B76C8F">
      <w:pPr>
        <w:pStyle w:val="FootnoteText"/>
        <w:rPr>
          <w:sz w:val="22"/>
          <w:szCs w:val="22"/>
        </w:rPr>
      </w:pPr>
      <w:r w:rsidRPr="00DB3ACA">
        <w:rPr>
          <w:rStyle w:val="FootnoteReference"/>
          <w:sz w:val="22"/>
          <w:szCs w:val="22"/>
        </w:rPr>
        <w:footnoteRef/>
      </w:r>
      <w:r w:rsidRPr="00DB3ACA">
        <w:rPr>
          <w:sz w:val="22"/>
          <w:szCs w:val="22"/>
        </w:rPr>
        <w:t xml:space="preserve"> </w:t>
      </w:r>
      <w:r w:rsidRPr="00DB3ACA">
        <w:rPr>
          <w:sz w:val="22"/>
          <w:szCs w:val="22"/>
          <w:u w:val="single"/>
        </w:rPr>
        <w:t>RECAP</w:t>
      </w:r>
      <w:r w:rsidRPr="00DB3ACA">
        <w:rPr>
          <w:sz w:val="22"/>
          <w:szCs w:val="22"/>
        </w:rPr>
        <w:t xml:space="preserve">, </w:t>
      </w:r>
      <w:r w:rsidR="00377A22" w:rsidRPr="00DB3ACA">
        <w:rPr>
          <w:sz w:val="22"/>
          <w:szCs w:val="22"/>
        </w:rPr>
        <w:fldChar w:fldCharType="begin"/>
      </w:r>
      <w:r w:rsidRPr="00DB3ACA">
        <w:rPr>
          <w:sz w:val="22"/>
          <w:szCs w:val="22"/>
        </w:rPr>
        <w:instrText xml:space="preserve"> TA \l "" \s "WSFTA_d7686192b63b4361bb95207999d1c520" \c 3 </w:instrText>
      </w:r>
      <w:r w:rsidR="00377A22" w:rsidRPr="00DB3ACA">
        <w:rPr>
          <w:sz w:val="22"/>
          <w:szCs w:val="22"/>
        </w:rPr>
        <w:fldChar w:fldCharType="end"/>
      </w:r>
      <w:r w:rsidRPr="00DB3ACA">
        <w:rPr>
          <w:sz w:val="22"/>
          <w:szCs w:val="22"/>
        </w:rPr>
        <w:t xml:space="preserve">294 F.3d at 49-50; </w:t>
      </w:r>
      <w:r w:rsidR="00377A22" w:rsidRPr="00DB3ACA">
        <w:rPr>
          <w:sz w:val="22"/>
          <w:szCs w:val="22"/>
        </w:rPr>
        <w:fldChar w:fldCharType="begin"/>
      </w:r>
      <w:r w:rsidRPr="00DB3ACA">
        <w:rPr>
          <w:sz w:val="22"/>
          <w:szCs w:val="22"/>
        </w:rPr>
        <w:instrText xml:space="preserve"> TA \l "" \s "WSFTA_96653e80032048ebb2f11048f3f12f20" \c 3 </w:instrText>
      </w:r>
      <w:r w:rsidR="00377A22" w:rsidRPr="00DB3ACA">
        <w:rPr>
          <w:sz w:val="22"/>
          <w:szCs w:val="22"/>
        </w:rPr>
        <w:fldChar w:fldCharType="end"/>
      </w:r>
      <w:r w:rsidRPr="00DB3ACA">
        <w:rPr>
          <w:sz w:val="22"/>
          <w:szCs w:val="22"/>
          <w:u w:val="single"/>
        </w:rPr>
        <w:t>Helping Hand</w:t>
      </w:r>
      <w:r w:rsidRPr="00DB3ACA">
        <w:rPr>
          <w:sz w:val="22"/>
          <w:szCs w:val="22"/>
        </w:rPr>
        <w:t xml:space="preserve">, 2005 WL 2453062, at *17; </w:t>
      </w:r>
      <w:r w:rsidR="00377A22" w:rsidRPr="00DB3ACA">
        <w:rPr>
          <w:sz w:val="22"/>
          <w:szCs w:val="22"/>
        </w:rPr>
        <w:fldChar w:fldCharType="begin"/>
      </w:r>
      <w:r w:rsidRPr="00DB3ACA">
        <w:rPr>
          <w:sz w:val="22"/>
          <w:szCs w:val="22"/>
        </w:rPr>
        <w:instrText xml:space="preserve"> TA \l "" \s "WSFTA_9c32bdace59c4343a8f7dddf81fb3e72" \c 3 </w:instrText>
      </w:r>
      <w:r w:rsidR="00377A22" w:rsidRPr="00DB3ACA">
        <w:rPr>
          <w:sz w:val="22"/>
          <w:szCs w:val="22"/>
        </w:rPr>
        <w:fldChar w:fldCharType="end"/>
      </w:r>
      <w:r w:rsidRPr="00DB3ACA">
        <w:rPr>
          <w:sz w:val="22"/>
          <w:szCs w:val="22"/>
          <w:u w:val="single"/>
        </w:rPr>
        <w:t>Pathways</w:t>
      </w:r>
      <w:r w:rsidRPr="00DB3ACA">
        <w:rPr>
          <w:sz w:val="22"/>
          <w:szCs w:val="22"/>
        </w:rPr>
        <w:t>, 133 F. Supp. 2d at 781-82.</w:t>
      </w:r>
    </w:p>
  </w:footnote>
  <w:footnote w:id="181">
    <w:p w:rsidR="009A3240" w:rsidRPr="00C922F4" w:rsidRDefault="009A3240" w:rsidP="00B76C8F">
      <w:pPr>
        <w:pStyle w:val="FootnoteText"/>
        <w:rPr>
          <w:sz w:val="22"/>
          <w:szCs w:val="22"/>
        </w:rPr>
      </w:pPr>
      <w:r w:rsidRPr="00C922F4">
        <w:rPr>
          <w:rStyle w:val="FootnoteReference"/>
          <w:sz w:val="22"/>
          <w:szCs w:val="22"/>
        </w:rPr>
        <w:footnoteRef/>
      </w:r>
      <w:r w:rsidRPr="00C922F4">
        <w:rPr>
          <w:sz w:val="22"/>
          <w:szCs w:val="22"/>
        </w:rPr>
        <w:t xml:space="preserve"> </w:t>
      </w:r>
      <w:r>
        <w:rPr>
          <w:sz w:val="22"/>
          <w:szCs w:val="22"/>
        </w:rPr>
        <w:t>Greene Notes 5/12/2008 (Ex. 74)</w:t>
      </w:r>
      <w:r w:rsidRPr="00C922F4">
        <w:rPr>
          <w:sz w:val="22"/>
          <w:szCs w:val="22"/>
        </w:rPr>
        <w:t xml:space="preserve">.  </w:t>
      </w:r>
    </w:p>
  </w:footnote>
  <w:footnote w:id="182">
    <w:p w:rsidR="009A3240" w:rsidRPr="007D0A79" w:rsidRDefault="009A3240" w:rsidP="00B76C8F">
      <w:pPr>
        <w:pStyle w:val="FootnoteText"/>
        <w:rPr>
          <w:sz w:val="22"/>
          <w:szCs w:val="22"/>
        </w:rPr>
      </w:pPr>
      <w:r w:rsidRPr="007D0A79">
        <w:rPr>
          <w:rStyle w:val="FootnoteReference"/>
          <w:sz w:val="22"/>
          <w:szCs w:val="22"/>
        </w:rPr>
        <w:footnoteRef/>
      </w:r>
      <w:r w:rsidRPr="007D0A79">
        <w:rPr>
          <w:sz w:val="22"/>
          <w:szCs w:val="22"/>
        </w:rPr>
        <w:t xml:space="preserve"> </w:t>
      </w:r>
      <w:r w:rsidR="00377A22">
        <w:rPr>
          <w:sz w:val="22"/>
          <w:szCs w:val="22"/>
        </w:rPr>
        <w:fldChar w:fldCharType="begin"/>
      </w:r>
      <w:r>
        <w:instrText xml:space="preserve"> TA \l "" \s "WSFTA_d7686192b63b4361bb95207999d1c520" \c 3 </w:instrText>
      </w:r>
      <w:r w:rsidR="00377A22">
        <w:rPr>
          <w:sz w:val="22"/>
          <w:szCs w:val="22"/>
        </w:rPr>
        <w:fldChar w:fldCharType="end"/>
      </w:r>
      <w:r w:rsidRPr="007D0A79">
        <w:rPr>
          <w:sz w:val="22"/>
          <w:szCs w:val="22"/>
        </w:rPr>
        <w:t xml:space="preserve">294 F.3d at 50.  </w:t>
      </w:r>
    </w:p>
  </w:footnote>
  <w:footnote w:id="183">
    <w:p w:rsidR="009A3240" w:rsidRPr="007D0A79" w:rsidRDefault="009A3240" w:rsidP="00B76C8F">
      <w:pPr>
        <w:pStyle w:val="FootnoteText"/>
        <w:rPr>
          <w:sz w:val="22"/>
          <w:szCs w:val="22"/>
        </w:rPr>
      </w:pPr>
      <w:r w:rsidRPr="007D0A79">
        <w:rPr>
          <w:rStyle w:val="FootnoteReference"/>
          <w:sz w:val="22"/>
          <w:szCs w:val="22"/>
        </w:rPr>
        <w:footnoteRef/>
      </w:r>
      <w:r w:rsidRPr="007D0A79">
        <w:rPr>
          <w:sz w:val="22"/>
          <w:szCs w:val="22"/>
        </w:rPr>
        <w:t xml:space="preserve"> </w:t>
      </w:r>
      <w:r w:rsidR="00377A22">
        <w:rPr>
          <w:sz w:val="22"/>
          <w:szCs w:val="22"/>
        </w:rPr>
        <w:fldChar w:fldCharType="begin"/>
      </w:r>
      <w:r>
        <w:instrText xml:space="preserve"> TA \l "" \s "WSFTA_d7686192b63b4361bb95207999d1c520" \c 3 </w:instrText>
      </w:r>
      <w:r w:rsidR="00377A22">
        <w:rPr>
          <w:sz w:val="22"/>
          <w:szCs w:val="22"/>
        </w:rPr>
        <w:fldChar w:fldCharType="end"/>
      </w:r>
      <w:r w:rsidRPr="007D0A79">
        <w:rPr>
          <w:sz w:val="22"/>
          <w:szCs w:val="22"/>
          <w:u w:val="single"/>
        </w:rPr>
        <w:t>Id.</w:t>
      </w:r>
      <w:r>
        <w:rPr>
          <w:sz w:val="22"/>
          <w:szCs w:val="22"/>
        </w:rPr>
        <w:t xml:space="preserve"> </w:t>
      </w:r>
      <w:r w:rsidRPr="007D0A79">
        <w:rPr>
          <w:sz w:val="22"/>
          <w:szCs w:val="22"/>
        </w:rPr>
        <w:t xml:space="preserve">  </w:t>
      </w:r>
    </w:p>
  </w:footnote>
  <w:footnote w:id="184">
    <w:p w:rsidR="009A3240" w:rsidRPr="007D0A79" w:rsidRDefault="009A3240" w:rsidP="00B76C8F">
      <w:pPr>
        <w:pStyle w:val="FootnoteText"/>
        <w:rPr>
          <w:sz w:val="22"/>
          <w:szCs w:val="22"/>
        </w:rPr>
      </w:pPr>
      <w:r w:rsidRPr="007D0A79">
        <w:rPr>
          <w:rStyle w:val="FootnoteReference"/>
          <w:sz w:val="22"/>
          <w:szCs w:val="22"/>
        </w:rPr>
        <w:footnoteRef/>
      </w:r>
      <w:r w:rsidRPr="007D0A79">
        <w:rPr>
          <w:sz w:val="22"/>
          <w:szCs w:val="22"/>
        </w:rPr>
        <w:t xml:space="preserve"> </w:t>
      </w:r>
      <w:r w:rsidR="00377A22">
        <w:rPr>
          <w:sz w:val="22"/>
          <w:szCs w:val="22"/>
        </w:rPr>
        <w:fldChar w:fldCharType="begin"/>
      </w:r>
      <w:r>
        <w:instrText xml:space="preserve"> TA \l "" \s "WSFTA_d7686192b63b4361bb95207999d1c520" \c 3 </w:instrText>
      </w:r>
      <w:r w:rsidR="00377A22">
        <w:rPr>
          <w:sz w:val="22"/>
          <w:szCs w:val="22"/>
        </w:rPr>
        <w:fldChar w:fldCharType="end"/>
      </w:r>
      <w:r w:rsidRPr="007D0A79">
        <w:rPr>
          <w:sz w:val="22"/>
          <w:szCs w:val="22"/>
          <w:u w:val="single"/>
        </w:rPr>
        <w:t>Id.</w:t>
      </w:r>
      <w:r w:rsidRPr="007D0A79">
        <w:rPr>
          <w:sz w:val="22"/>
          <w:szCs w:val="22"/>
        </w:rPr>
        <w:t xml:space="preserve">  </w:t>
      </w:r>
    </w:p>
  </w:footnote>
  <w:footnote w:id="185">
    <w:p w:rsidR="009A3240" w:rsidRPr="007D0A79" w:rsidRDefault="009A3240" w:rsidP="00B76C8F">
      <w:pPr>
        <w:pStyle w:val="FootnoteText"/>
        <w:rPr>
          <w:sz w:val="22"/>
          <w:szCs w:val="22"/>
        </w:rPr>
      </w:pPr>
      <w:r w:rsidRPr="007D0A79">
        <w:rPr>
          <w:rStyle w:val="FootnoteReference"/>
          <w:sz w:val="22"/>
          <w:szCs w:val="22"/>
        </w:rPr>
        <w:footnoteRef/>
      </w:r>
      <w:r w:rsidRPr="007D0A79">
        <w:rPr>
          <w:sz w:val="22"/>
          <w:szCs w:val="22"/>
        </w:rPr>
        <w:t xml:space="preserve"> </w:t>
      </w:r>
      <w:r w:rsidR="00377A22">
        <w:rPr>
          <w:sz w:val="22"/>
          <w:szCs w:val="22"/>
        </w:rPr>
        <w:fldChar w:fldCharType="begin"/>
      </w:r>
      <w:r>
        <w:instrText xml:space="preserve"> TA \l "" \s "WSFTA_d7686192b63b4361bb95207999d1c520" \c 3 </w:instrText>
      </w:r>
      <w:r w:rsidR="00377A22">
        <w:rPr>
          <w:sz w:val="22"/>
          <w:szCs w:val="22"/>
        </w:rPr>
        <w:fldChar w:fldCharType="end"/>
      </w:r>
      <w:r w:rsidRPr="007D0A79">
        <w:rPr>
          <w:sz w:val="22"/>
          <w:szCs w:val="22"/>
          <w:u w:val="single"/>
        </w:rPr>
        <w:t>Id.</w:t>
      </w:r>
      <w:r>
        <w:rPr>
          <w:sz w:val="22"/>
          <w:szCs w:val="22"/>
        </w:rPr>
        <w:t xml:space="preserve"> at 50-51; </w:t>
      </w:r>
      <w:r w:rsidRPr="00EB6D31">
        <w:rPr>
          <w:sz w:val="22"/>
          <w:szCs w:val="22"/>
          <w:u w:val="single"/>
        </w:rPr>
        <w:t>s</w:t>
      </w:r>
      <w:r w:rsidRPr="007D0A79">
        <w:rPr>
          <w:sz w:val="22"/>
          <w:szCs w:val="22"/>
          <w:u w:val="single"/>
        </w:rPr>
        <w:t>ee also</w:t>
      </w:r>
      <w:r w:rsidRPr="007D0A79">
        <w:rPr>
          <w:sz w:val="22"/>
          <w:szCs w:val="22"/>
        </w:rPr>
        <w:t xml:space="preserve"> </w:t>
      </w:r>
      <w:r w:rsidR="00377A22">
        <w:rPr>
          <w:sz w:val="22"/>
          <w:szCs w:val="22"/>
        </w:rPr>
        <w:fldChar w:fldCharType="begin"/>
      </w:r>
      <w:r>
        <w:instrText xml:space="preserve"> TA \l "" \s "WSFTA_90170560db2b42178c83ce292a6c72c6" \c 3 </w:instrText>
      </w:r>
      <w:r w:rsidR="00377A22">
        <w:rPr>
          <w:sz w:val="22"/>
          <w:szCs w:val="22"/>
        </w:rPr>
        <w:fldChar w:fldCharType="end"/>
      </w:r>
      <w:r w:rsidRPr="007D0A79">
        <w:rPr>
          <w:sz w:val="22"/>
          <w:szCs w:val="22"/>
          <w:u w:val="single"/>
        </w:rPr>
        <w:t>Horizon House</w:t>
      </w:r>
      <w:r w:rsidRPr="007D0A79">
        <w:rPr>
          <w:sz w:val="22"/>
          <w:szCs w:val="22"/>
        </w:rPr>
        <w:t xml:space="preserve">, 804 F. Supp at 690 (a town official’s statement that thirty group homes was enough for the town supported a finding of discriminatory intent); </w:t>
      </w:r>
      <w:r w:rsidR="00377A22">
        <w:rPr>
          <w:sz w:val="22"/>
          <w:szCs w:val="22"/>
        </w:rPr>
        <w:fldChar w:fldCharType="begin"/>
      </w:r>
      <w:r>
        <w:instrText xml:space="preserve"> TA \l "" \s "WSFTA_1c04d6fdae0b42a7ae82d2668854e0bd" \c 3 </w:instrText>
      </w:r>
      <w:r w:rsidR="00377A22">
        <w:rPr>
          <w:sz w:val="22"/>
          <w:szCs w:val="22"/>
        </w:rPr>
        <w:fldChar w:fldCharType="end"/>
      </w:r>
      <w:r w:rsidRPr="007D0A79">
        <w:rPr>
          <w:sz w:val="22"/>
          <w:szCs w:val="22"/>
          <w:u w:val="single"/>
        </w:rPr>
        <w:t>Sunrise Development</w:t>
      </w:r>
      <w:r>
        <w:rPr>
          <w:sz w:val="22"/>
          <w:szCs w:val="22"/>
        </w:rPr>
        <w:t>, 62 F. Supp. 2d at 768-76</w:t>
      </w:r>
      <w:r w:rsidRPr="007D0A79">
        <w:rPr>
          <w:sz w:val="22"/>
          <w:szCs w:val="22"/>
        </w:rPr>
        <w:t xml:space="preserve"> (a resident’s statement about an inundation of facilities that would alter the character of the town supported a finding of likelihood of success on the merits of a discriminatory intent claim).  </w:t>
      </w:r>
    </w:p>
  </w:footnote>
  <w:footnote w:id="186">
    <w:p w:rsidR="009A3240" w:rsidRPr="00C922F4" w:rsidRDefault="009A3240" w:rsidP="00B76C8F">
      <w:pPr>
        <w:pStyle w:val="FootnoteText"/>
        <w:rPr>
          <w:sz w:val="22"/>
          <w:szCs w:val="22"/>
        </w:rPr>
      </w:pPr>
      <w:r w:rsidRPr="00C922F4">
        <w:rPr>
          <w:rStyle w:val="FootnoteReference"/>
          <w:sz w:val="22"/>
          <w:szCs w:val="22"/>
        </w:rPr>
        <w:footnoteRef/>
      </w:r>
      <w:r w:rsidRPr="00C922F4">
        <w:rPr>
          <w:sz w:val="22"/>
          <w:szCs w:val="22"/>
        </w:rPr>
        <w:t xml:space="preserve"> </w:t>
      </w:r>
      <w:r>
        <w:rPr>
          <w:sz w:val="22"/>
          <w:szCs w:val="22"/>
        </w:rPr>
        <w:t>Council Mtg. Tr. (Ex. 24) at 1460 (52: 9-15)</w:t>
      </w:r>
    </w:p>
  </w:footnote>
  <w:footnote w:id="187">
    <w:p w:rsidR="009A3240" w:rsidRPr="00BB6816" w:rsidRDefault="009A3240" w:rsidP="00B76C8F">
      <w:pPr>
        <w:pStyle w:val="FootnoteText"/>
        <w:rPr>
          <w:u w:val="single"/>
        </w:rPr>
      </w:pPr>
      <w:r>
        <w:rPr>
          <w:rStyle w:val="FootnoteReference"/>
        </w:rPr>
        <w:footnoteRef/>
      </w:r>
      <w:r>
        <w:t xml:space="preserve"> </w:t>
      </w:r>
      <w:r w:rsidRPr="00BB6816">
        <w:rPr>
          <w:sz w:val="22"/>
          <w:szCs w:val="22"/>
          <w:u w:val="single"/>
        </w:rPr>
        <w:t>Id.</w:t>
      </w:r>
      <w:r w:rsidRPr="00BB6816">
        <w:rPr>
          <w:sz w:val="22"/>
          <w:szCs w:val="22"/>
        </w:rPr>
        <w:t xml:space="preserve"> at</w:t>
      </w:r>
      <w:r>
        <w:rPr>
          <w:sz w:val="22"/>
          <w:szCs w:val="22"/>
        </w:rPr>
        <w:t xml:space="preserve"> </w:t>
      </w:r>
      <w:r w:rsidRPr="00C922F4">
        <w:rPr>
          <w:sz w:val="22"/>
          <w:szCs w:val="22"/>
        </w:rPr>
        <w:t>1463 (55: 1-13)</w:t>
      </w:r>
    </w:p>
  </w:footnote>
  <w:footnote w:id="188">
    <w:p w:rsidR="009A3240" w:rsidRDefault="009A3240" w:rsidP="00B76C8F">
      <w:pPr>
        <w:pStyle w:val="FootnoteText"/>
      </w:pPr>
      <w:r>
        <w:rPr>
          <w:rStyle w:val="FootnoteReference"/>
        </w:rPr>
        <w:footnoteRef/>
      </w:r>
      <w:r>
        <w:t xml:space="preserve"> </w:t>
      </w:r>
      <w:r w:rsidRPr="00BB6816">
        <w:rPr>
          <w:sz w:val="22"/>
          <w:szCs w:val="22"/>
          <w:u w:val="single"/>
        </w:rPr>
        <w:t>Id.</w:t>
      </w:r>
      <w:r w:rsidRPr="00BB6816">
        <w:rPr>
          <w:sz w:val="22"/>
          <w:szCs w:val="22"/>
        </w:rPr>
        <w:t xml:space="preserve"> </w:t>
      </w:r>
      <w:r w:rsidRPr="00C922F4">
        <w:rPr>
          <w:sz w:val="22"/>
          <w:szCs w:val="22"/>
        </w:rPr>
        <w:t>at 1584 (176: 12-22)</w:t>
      </w:r>
    </w:p>
  </w:footnote>
  <w:footnote w:id="189">
    <w:p w:rsidR="009A3240" w:rsidRDefault="009A3240" w:rsidP="00B76C8F">
      <w:pPr>
        <w:pStyle w:val="FootnoteText"/>
      </w:pPr>
      <w:r>
        <w:rPr>
          <w:rStyle w:val="FootnoteReference"/>
        </w:rPr>
        <w:footnoteRef/>
      </w:r>
      <w:r>
        <w:t xml:space="preserve"> </w:t>
      </w:r>
      <w:r w:rsidRPr="00BB6816">
        <w:rPr>
          <w:sz w:val="22"/>
          <w:szCs w:val="22"/>
          <w:u w:val="single"/>
        </w:rPr>
        <w:t>Id.</w:t>
      </w:r>
      <w:r w:rsidRPr="00BB6816">
        <w:rPr>
          <w:sz w:val="22"/>
          <w:szCs w:val="22"/>
        </w:rPr>
        <w:t xml:space="preserve"> </w:t>
      </w:r>
      <w:r>
        <w:rPr>
          <w:sz w:val="22"/>
          <w:szCs w:val="22"/>
        </w:rPr>
        <w:t xml:space="preserve">at </w:t>
      </w:r>
      <w:r w:rsidRPr="00C922F4">
        <w:rPr>
          <w:sz w:val="22"/>
          <w:szCs w:val="22"/>
        </w:rPr>
        <w:t>1488 (80: 6-11)</w:t>
      </w:r>
    </w:p>
  </w:footnote>
  <w:footnote w:id="190">
    <w:p w:rsidR="009A3240" w:rsidRDefault="009A3240" w:rsidP="00B76C8F">
      <w:pPr>
        <w:pStyle w:val="FootnoteText"/>
      </w:pPr>
      <w:r>
        <w:rPr>
          <w:rStyle w:val="FootnoteReference"/>
        </w:rPr>
        <w:footnoteRef/>
      </w:r>
      <w:r>
        <w:t xml:space="preserve"> </w:t>
      </w:r>
      <w:r w:rsidRPr="00BB6816">
        <w:rPr>
          <w:sz w:val="22"/>
          <w:szCs w:val="22"/>
          <w:u w:val="single"/>
        </w:rPr>
        <w:t>Id.</w:t>
      </w:r>
      <w:r w:rsidRPr="00BB6816">
        <w:rPr>
          <w:sz w:val="22"/>
          <w:szCs w:val="22"/>
        </w:rPr>
        <w:t xml:space="preserve"> </w:t>
      </w:r>
      <w:r w:rsidRPr="00C922F4">
        <w:rPr>
          <w:sz w:val="22"/>
          <w:szCs w:val="22"/>
        </w:rPr>
        <w:t>at 1652 (244: 4-21)</w:t>
      </w:r>
    </w:p>
  </w:footnote>
  <w:footnote w:id="191">
    <w:p w:rsidR="009A3240" w:rsidRDefault="009A3240" w:rsidP="00B76C8F">
      <w:pPr>
        <w:pStyle w:val="FootnoteText"/>
      </w:pPr>
      <w:r>
        <w:rPr>
          <w:rStyle w:val="FootnoteReference"/>
        </w:rPr>
        <w:footnoteRef/>
      </w:r>
      <w:r>
        <w:t xml:space="preserve"> </w:t>
      </w:r>
      <w:r w:rsidRPr="00BB6816">
        <w:rPr>
          <w:sz w:val="22"/>
          <w:szCs w:val="22"/>
          <w:u w:val="single"/>
        </w:rPr>
        <w:t>Id.</w:t>
      </w:r>
      <w:r w:rsidRPr="00BB6816">
        <w:rPr>
          <w:sz w:val="22"/>
          <w:szCs w:val="22"/>
        </w:rPr>
        <w:t xml:space="preserve"> </w:t>
      </w:r>
      <w:r>
        <w:rPr>
          <w:sz w:val="22"/>
          <w:szCs w:val="22"/>
        </w:rPr>
        <w:t>at 1665-66, (257:17-: 258:6)</w:t>
      </w:r>
    </w:p>
  </w:footnote>
  <w:footnote w:id="192">
    <w:p w:rsidR="009A3240" w:rsidRPr="00DC0FA9" w:rsidRDefault="009A3240" w:rsidP="00B76C8F">
      <w:pPr>
        <w:pStyle w:val="FootnoteText"/>
        <w:rPr>
          <w:sz w:val="22"/>
          <w:szCs w:val="22"/>
        </w:rPr>
      </w:pPr>
      <w:r w:rsidRPr="00C922F4">
        <w:rPr>
          <w:rStyle w:val="FootnoteReference"/>
          <w:sz w:val="22"/>
          <w:szCs w:val="22"/>
        </w:rPr>
        <w:footnoteRef/>
      </w:r>
      <w:r w:rsidRPr="00C922F4">
        <w:rPr>
          <w:sz w:val="22"/>
          <w:szCs w:val="22"/>
        </w:rPr>
        <w:t xml:space="preserve"> </w:t>
      </w:r>
      <w:r>
        <w:rPr>
          <w:sz w:val="22"/>
          <w:szCs w:val="22"/>
        </w:rPr>
        <w:t>Council Mtg. Tr. (Ex. 24) at 1647-48 (239: 22-240:4) (testimony of Jody Landers)</w:t>
      </w:r>
    </w:p>
  </w:footnote>
  <w:footnote w:id="193">
    <w:p w:rsidR="009A3240" w:rsidRDefault="009A3240">
      <w:pPr>
        <w:pStyle w:val="FootnoteText"/>
      </w:pPr>
      <w:r>
        <w:rPr>
          <w:rStyle w:val="FootnoteReference"/>
        </w:rPr>
        <w:footnoteRef/>
      </w:r>
      <w:r>
        <w:t xml:space="preserve"> </w:t>
      </w:r>
      <w:r>
        <w:rPr>
          <w:sz w:val="22"/>
          <w:szCs w:val="22"/>
        </w:rPr>
        <w:t>Email</w:t>
      </w:r>
      <w:r w:rsidRPr="00C922F4">
        <w:rPr>
          <w:sz w:val="22"/>
          <w:szCs w:val="22"/>
        </w:rPr>
        <w:t xml:space="preserve"> from Sam Gallant forwarded to Councilma</w:t>
      </w:r>
      <w:r>
        <w:rPr>
          <w:sz w:val="22"/>
          <w:szCs w:val="22"/>
        </w:rPr>
        <w:t xml:space="preserve">n Robert Curran, Feb. 21, 2008 (Ex. 84),  </w:t>
      </w:r>
      <w:r w:rsidRPr="00C922F4">
        <w:rPr>
          <w:sz w:val="22"/>
          <w:szCs w:val="22"/>
        </w:rPr>
        <w:t>MCCB 6576</w:t>
      </w:r>
    </w:p>
  </w:footnote>
  <w:footnote w:id="194">
    <w:p w:rsidR="009A3240" w:rsidRDefault="009A3240">
      <w:pPr>
        <w:pStyle w:val="FootnoteText"/>
      </w:pPr>
      <w:r>
        <w:rPr>
          <w:rStyle w:val="FootnoteReference"/>
        </w:rPr>
        <w:footnoteRef/>
      </w:r>
      <w:r>
        <w:t xml:space="preserve"> </w:t>
      </w:r>
      <w:r>
        <w:rPr>
          <w:sz w:val="22"/>
          <w:szCs w:val="22"/>
        </w:rPr>
        <w:t>Written T</w:t>
      </w:r>
      <w:r w:rsidRPr="00C922F4">
        <w:rPr>
          <w:sz w:val="22"/>
          <w:szCs w:val="22"/>
        </w:rPr>
        <w:t xml:space="preserve">estimony of </w:t>
      </w:r>
      <w:r w:rsidRPr="00DC0FA9">
        <w:rPr>
          <w:sz w:val="22"/>
          <w:szCs w:val="22"/>
        </w:rPr>
        <w:t>Beverly Horozko, May 7, 2008</w:t>
      </w:r>
      <w:r>
        <w:rPr>
          <w:sz w:val="22"/>
          <w:szCs w:val="22"/>
        </w:rPr>
        <w:t xml:space="preserve"> (Ex. 85), MCCB 9187-90</w:t>
      </w:r>
    </w:p>
  </w:footnote>
  <w:footnote w:id="195">
    <w:p w:rsidR="009A3240" w:rsidRDefault="009A3240">
      <w:pPr>
        <w:pStyle w:val="FootnoteText"/>
      </w:pPr>
      <w:r>
        <w:rPr>
          <w:rStyle w:val="FootnoteReference"/>
        </w:rPr>
        <w:footnoteRef/>
      </w:r>
      <w:r>
        <w:t xml:space="preserve"> </w:t>
      </w:r>
      <w:r w:rsidRPr="00DC0FA9">
        <w:rPr>
          <w:sz w:val="22"/>
          <w:szCs w:val="22"/>
        </w:rPr>
        <w:t>Letter from George Collins, President of Central Forest Park Community Association, to Councilman Edward Reisinger</w:t>
      </w:r>
      <w:r>
        <w:rPr>
          <w:sz w:val="22"/>
          <w:szCs w:val="22"/>
        </w:rPr>
        <w:t>,</w:t>
      </w:r>
      <w:r w:rsidRPr="00DC0FA9">
        <w:rPr>
          <w:sz w:val="22"/>
          <w:szCs w:val="22"/>
        </w:rPr>
        <w:t xml:space="preserve"> (hereinafter “Collins Letter”)</w:t>
      </w:r>
      <w:r>
        <w:rPr>
          <w:sz w:val="22"/>
          <w:szCs w:val="22"/>
        </w:rPr>
        <w:t xml:space="preserve"> (Ex. 86), MCCB 9116-18</w:t>
      </w:r>
    </w:p>
  </w:footnote>
  <w:footnote w:id="196">
    <w:p w:rsidR="009A3240" w:rsidRPr="00DC0FA9" w:rsidRDefault="009A3240" w:rsidP="00B76C8F">
      <w:pPr>
        <w:pStyle w:val="FootnoteText"/>
        <w:rPr>
          <w:sz w:val="22"/>
          <w:szCs w:val="22"/>
        </w:rPr>
      </w:pPr>
      <w:r w:rsidRPr="00DC0FA9">
        <w:rPr>
          <w:rStyle w:val="FootnoteReference"/>
          <w:sz w:val="22"/>
          <w:szCs w:val="22"/>
        </w:rPr>
        <w:footnoteRef/>
      </w:r>
      <w:r w:rsidRPr="00DC0FA9">
        <w:rPr>
          <w:sz w:val="22"/>
          <w:szCs w:val="22"/>
        </w:rPr>
        <w:t xml:space="preserve"> </w:t>
      </w:r>
      <w:r w:rsidR="00377A22" w:rsidRPr="00DC0FA9">
        <w:rPr>
          <w:sz w:val="22"/>
          <w:szCs w:val="22"/>
        </w:rPr>
        <w:fldChar w:fldCharType="begin"/>
      </w:r>
      <w:r w:rsidRPr="00DC0FA9">
        <w:rPr>
          <w:sz w:val="22"/>
          <w:szCs w:val="22"/>
        </w:rPr>
        <w:instrText xml:space="preserve"> TA \l "" \s "WSFTA_53e4b62eff684cb587e748988c243d33" \c 3 </w:instrText>
      </w:r>
      <w:r w:rsidR="00377A22" w:rsidRPr="00DC0FA9">
        <w:rPr>
          <w:sz w:val="22"/>
          <w:szCs w:val="22"/>
        </w:rPr>
        <w:fldChar w:fldCharType="end"/>
      </w:r>
      <w:r w:rsidRPr="00DC0FA9">
        <w:rPr>
          <w:sz w:val="22"/>
          <w:szCs w:val="22"/>
        </w:rPr>
        <w:t xml:space="preserve">823 F. Supp. 1285, 1302 (D. Md. 1993).  </w:t>
      </w:r>
    </w:p>
  </w:footnote>
  <w:footnote w:id="197">
    <w:p w:rsidR="009A3240" w:rsidRPr="00DC0FA9" w:rsidRDefault="009A3240" w:rsidP="00B76C8F">
      <w:pPr>
        <w:pStyle w:val="FootnoteText"/>
        <w:rPr>
          <w:sz w:val="22"/>
          <w:szCs w:val="22"/>
        </w:rPr>
      </w:pPr>
      <w:r w:rsidRPr="00DC0FA9">
        <w:rPr>
          <w:rStyle w:val="FootnoteReference"/>
          <w:sz w:val="22"/>
          <w:szCs w:val="22"/>
        </w:rPr>
        <w:footnoteRef/>
      </w:r>
      <w:r w:rsidRPr="00DC0FA9">
        <w:rPr>
          <w:sz w:val="22"/>
          <w:szCs w:val="22"/>
        </w:rPr>
        <w:t xml:space="preserve"> </w:t>
      </w:r>
      <w:r w:rsidR="00377A22" w:rsidRPr="00DC0FA9">
        <w:rPr>
          <w:sz w:val="22"/>
          <w:szCs w:val="22"/>
        </w:rPr>
        <w:fldChar w:fldCharType="begin"/>
      </w:r>
      <w:r w:rsidRPr="00DC0FA9">
        <w:rPr>
          <w:sz w:val="22"/>
          <w:szCs w:val="22"/>
        </w:rPr>
        <w:instrText xml:space="preserve"> TA \l "" \s "WSFTA_53e4b62eff684cb587e748988c243d33" \c 3 </w:instrText>
      </w:r>
      <w:r w:rsidR="00377A22" w:rsidRPr="00DC0FA9">
        <w:rPr>
          <w:sz w:val="22"/>
          <w:szCs w:val="22"/>
        </w:rPr>
        <w:fldChar w:fldCharType="end"/>
      </w:r>
      <w:r w:rsidRPr="00DC0FA9">
        <w:rPr>
          <w:sz w:val="22"/>
          <w:szCs w:val="22"/>
          <w:u w:val="single"/>
        </w:rPr>
        <w:t>Id</w:t>
      </w:r>
      <w:r w:rsidRPr="00D55E5E">
        <w:rPr>
          <w:sz w:val="22"/>
          <w:szCs w:val="22"/>
          <w:u w:val="single"/>
        </w:rPr>
        <w:t>.</w:t>
      </w:r>
      <w:r w:rsidRPr="00DC0FA9">
        <w:rPr>
          <w:sz w:val="22"/>
          <w:szCs w:val="22"/>
        </w:rPr>
        <w:t xml:space="preserve"> at 1290.  </w:t>
      </w:r>
    </w:p>
  </w:footnote>
  <w:footnote w:id="198">
    <w:p w:rsidR="009A3240" w:rsidRPr="00DC0FA9" w:rsidRDefault="009A3240" w:rsidP="00B76C8F">
      <w:pPr>
        <w:pStyle w:val="FootnoteText"/>
        <w:rPr>
          <w:sz w:val="22"/>
          <w:szCs w:val="22"/>
        </w:rPr>
      </w:pPr>
      <w:r w:rsidRPr="00DC0FA9">
        <w:rPr>
          <w:rStyle w:val="FootnoteReference"/>
          <w:sz w:val="22"/>
          <w:szCs w:val="22"/>
        </w:rPr>
        <w:footnoteRef/>
      </w:r>
      <w:r w:rsidRPr="00DC0FA9">
        <w:rPr>
          <w:sz w:val="22"/>
          <w:szCs w:val="22"/>
        </w:rPr>
        <w:t xml:space="preserve"> </w:t>
      </w:r>
      <w:r w:rsidR="00377A22" w:rsidRPr="00DC0FA9">
        <w:rPr>
          <w:sz w:val="22"/>
          <w:szCs w:val="22"/>
        </w:rPr>
        <w:fldChar w:fldCharType="begin"/>
      </w:r>
      <w:r w:rsidRPr="00DC0FA9">
        <w:rPr>
          <w:sz w:val="22"/>
          <w:szCs w:val="22"/>
        </w:rPr>
        <w:instrText xml:space="preserve"> TA \l "" \s "WSFTA_90170560db2b42178c83ce292a6c72c6" \c 3 </w:instrText>
      </w:r>
      <w:r w:rsidR="00377A22" w:rsidRPr="00DC0FA9">
        <w:rPr>
          <w:sz w:val="22"/>
          <w:szCs w:val="22"/>
        </w:rPr>
        <w:fldChar w:fldCharType="end"/>
      </w:r>
      <w:r w:rsidRPr="00DC0FA9">
        <w:rPr>
          <w:sz w:val="22"/>
          <w:szCs w:val="22"/>
        </w:rPr>
        <w:t>804 F. Supp</w:t>
      </w:r>
      <w:r>
        <w:rPr>
          <w:sz w:val="22"/>
          <w:szCs w:val="22"/>
        </w:rPr>
        <w:t>.</w:t>
      </w:r>
      <w:r w:rsidRPr="00DC0FA9">
        <w:rPr>
          <w:sz w:val="22"/>
          <w:szCs w:val="22"/>
        </w:rPr>
        <w:t xml:space="preserve"> at </w:t>
      </w:r>
      <w:r>
        <w:rPr>
          <w:sz w:val="22"/>
          <w:szCs w:val="22"/>
        </w:rPr>
        <w:t>690, 695-700</w:t>
      </w:r>
      <w:r w:rsidRPr="00DC0FA9">
        <w:rPr>
          <w:sz w:val="22"/>
          <w:szCs w:val="22"/>
        </w:rPr>
        <w:t xml:space="preserve">; </w:t>
      </w:r>
      <w:r w:rsidRPr="00DC0FA9">
        <w:rPr>
          <w:sz w:val="22"/>
          <w:szCs w:val="22"/>
          <w:u w:val="single"/>
        </w:rPr>
        <w:t>see also, e.g.</w:t>
      </w:r>
      <w:r w:rsidRPr="00DC0FA9">
        <w:rPr>
          <w:sz w:val="22"/>
          <w:szCs w:val="22"/>
        </w:rPr>
        <w:t xml:space="preserve">, </w:t>
      </w:r>
      <w:r w:rsidR="00377A22" w:rsidRPr="00DC0FA9">
        <w:rPr>
          <w:sz w:val="22"/>
          <w:szCs w:val="22"/>
        </w:rPr>
        <w:fldChar w:fldCharType="begin"/>
      </w:r>
      <w:r w:rsidRPr="00DC0FA9">
        <w:rPr>
          <w:sz w:val="22"/>
          <w:szCs w:val="22"/>
        </w:rPr>
        <w:instrText xml:space="preserve"> TA \l "" \s "WSFTA_9c32bdace59c4343a8f7dddf81fb3e72" \c 3 </w:instrText>
      </w:r>
      <w:r w:rsidR="00377A22" w:rsidRPr="00DC0FA9">
        <w:rPr>
          <w:sz w:val="22"/>
          <w:szCs w:val="22"/>
        </w:rPr>
        <w:fldChar w:fldCharType="end"/>
      </w:r>
      <w:r w:rsidRPr="00DC0FA9">
        <w:rPr>
          <w:sz w:val="22"/>
          <w:szCs w:val="22"/>
          <w:u w:val="single"/>
        </w:rPr>
        <w:t>Pathways</w:t>
      </w:r>
      <w:r w:rsidRPr="00DC0FA9">
        <w:rPr>
          <w:sz w:val="22"/>
          <w:szCs w:val="22"/>
        </w:rPr>
        <w:t xml:space="preserve">, 133 F. Supp. 2d at 777 (concern about declining property values was evidence of intentional discrimination); </w:t>
      </w:r>
      <w:r w:rsidR="00377A22" w:rsidRPr="00DC0FA9">
        <w:rPr>
          <w:sz w:val="22"/>
          <w:szCs w:val="22"/>
        </w:rPr>
        <w:fldChar w:fldCharType="begin"/>
      </w:r>
      <w:r w:rsidRPr="00DC0FA9">
        <w:rPr>
          <w:sz w:val="22"/>
          <w:szCs w:val="22"/>
        </w:rPr>
        <w:instrText xml:space="preserve"> TA \l "" \s "WSFTA_96653e80032048ebb2f11048f3f12f20" \c 3 </w:instrText>
      </w:r>
      <w:r w:rsidR="00377A22" w:rsidRPr="00DC0FA9">
        <w:rPr>
          <w:sz w:val="22"/>
          <w:szCs w:val="22"/>
        </w:rPr>
        <w:fldChar w:fldCharType="end"/>
      </w:r>
      <w:r w:rsidRPr="00DC0FA9">
        <w:rPr>
          <w:sz w:val="22"/>
          <w:szCs w:val="22"/>
          <w:u w:val="single"/>
        </w:rPr>
        <w:t>Helping Hand</w:t>
      </w:r>
      <w:r w:rsidRPr="00DC0FA9">
        <w:rPr>
          <w:sz w:val="22"/>
          <w:szCs w:val="22"/>
        </w:rPr>
        <w:t>, 2005 WL 2453062 at *3 (concern that a substance abuse treatment facility would negatively impact property values was evidence of discriminatory intent).</w:t>
      </w:r>
    </w:p>
  </w:footnote>
  <w:footnote w:id="199">
    <w:p w:rsidR="009A3240" w:rsidRPr="00DC0FA9" w:rsidRDefault="009A3240" w:rsidP="00B76C8F">
      <w:pPr>
        <w:pStyle w:val="FootnoteText"/>
        <w:rPr>
          <w:sz w:val="22"/>
          <w:szCs w:val="22"/>
        </w:rPr>
      </w:pPr>
      <w:r w:rsidRPr="00DC0FA9">
        <w:rPr>
          <w:rStyle w:val="FootnoteReference"/>
          <w:sz w:val="22"/>
          <w:szCs w:val="22"/>
        </w:rPr>
        <w:footnoteRef/>
      </w:r>
      <w:r w:rsidRPr="00DC0FA9">
        <w:rPr>
          <w:sz w:val="22"/>
          <w:szCs w:val="22"/>
        </w:rPr>
        <w:t xml:space="preserve"> </w:t>
      </w:r>
      <w:r>
        <w:rPr>
          <w:sz w:val="22"/>
          <w:szCs w:val="22"/>
        </w:rPr>
        <w:t>Collins Letter (Ex. 86) at MCCB 9118)</w:t>
      </w:r>
    </w:p>
  </w:footnote>
  <w:footnote w:id="200">
    <w:p w:rsidR="009A3240" w:rsidRDefault="009A3240">
      <w:pPr>
        <w:pStyle w:val="FootnoteText"/>
      </w:pPr>
      <w:r>
        <w:rPr>
          <w:rStyle w:val="FootnoteReference"/>
        </w:rPr>
        <w:footnoteRef/>
      </w:r>
      <w:r>
        <w:t xml:space="preserve"> </w:t>
      </w:r>
      <w:r w:rsidRPr="00DC0FA9">
        <w:rPr>
          <w:sz w:val="22"/>
          <w:szCs w:val="22"/>
        </w:rPr>
        <w:t>Letter from Susan Magri to Councilman Reisinger,</w:t>
      </w:r>
      <w:r>
        <w:rPr>
          <w:sz w:val="22"/>
          <w:szCs w:val="22"/>
        </w:rPr>
        <w:t xml:space="preserve"> May 6, 2008 (Ex. 87), </w:t>
      </w:r>
      <w:r w:rsidRPr="00DC0FA9">
        <w:rPr>
          <w:sz w:val="22"/>
          <w:szCs w:val="22"/>
        </w:rPr>
        <w:t>MCCB 9184)</w:t>
      </w:r>
    </w:p>
  </w:footnote>
  <w:footnote w:id="201">
    <w:p w:rsidR="009A3240" w:rsidRDefault="009A3240">
      <w:pPr>
        <w:pStyle w:val="FootnoteText"/>
      </w:pPr>
      <w:r>
        <w:rPr>
          <w:rStyle w:val="FootnoteReference"/>
        </w:rPr>
        <w:footnoteRef/>
      </w:r>
      <w:r>
        <w:t xml:space="preserve"> </w:t>
      </w:r>
      <w:r w:rsidRPr="00DC0FA9">
        <w:rPr>
          <w:sz w:val="22"/>
          <w:szCs w:val="22"/>
        </w:rPr>
        <w:t>Larry E. Greene, Hearing Notes, Work</w:t>
      </w:r>
      <w:r>
        <w:rPr>
          <w:sz w:val="22"/>
          <w:szCs w:val="22"/>
        </w:rPr>
        <w:t>session 07-0002, June 26, 2008</w:t>
      </w:r>
      <w:r w:rsidRPr="00DC0FA9">
        <w:rPr>
          <w:sz w:val="22"/>
          <w:szCs w:val="22"/>
        </w:rPr>
        <w:t xml:space="preserve"> </w:t>
      </w:r>
      <w:r>
        <w:rPr>
          <w:sz w:val="22"/>
          <w:szCs w:val="22"/>
        </w:rPr>
        <w:t xml:space="preserve">(Ex. 88) </w:t>
      </w:r>
      <w:r w:rsidRPr="00DC0FA9">
        <w:rPr>
          <w:sz w:val="22"/>
          <w:szCs w:val="22"/>
        </w:rPr>
        <w:t>MCCB 9205-</w:t>
      </w:r>
      <w:r>
        <w:rPr>
          <w:sz w:val="22"/>
          <w:szCs w:val="22"/>
        </w:rPr>
        <w:t>0</w:t>
      </w:r>
      <w:r w:rsidRPr="00DC0FA9">
        <w:rPr>
          <w:sz w:val="22"/>
          <w:szCs w:val="22"/>
        </w:rPr>
        <w:t>6)</w:t>
      </w:r>
    </w:p>
  </w:footnote>
  <w:footnote w:id="202">
    <w:p w:rsidR="009A3240" w:rsidRPr="007D0A79" w:rsidRDefault="009A3240" w:rsidP="00B76C8F">
      <w:pPr>
        <w:pStyle w:val="FootnoteText"/>
        <w:rPr>
          <w:sz w:val="22"/>
          <w:szCs w:val="22"/>
        </w:rPr>
      </w:pPr>
      <w:r w:rsidRPr="00DC0FA9">
        <w:rPr>
          <w:rStyle w:val="FootnoteReference"/>
          <w:sz w:val="22"/>
          <w:szCs w:val="22"/>
        </w:rPr>
        <w:footnoteRef/>
      </w:r>
      <w:r w:rsidRPr="00DC0FA9">
        <w:rPr>
          <w:sz w:val="22"/>
          <w:szCs w:val="22"/>
        </w:rPr>
        <w:t xml:space="preserve"> </w:t>
      </w:r>
      <w:r w:rsidR="00377A22" w:rsidRPr="00DC0FA9">
        <w:rPr>
          <w:sz w:val="22"/>
          <w:szCs w:val="22"/>
        </w:rPr>
        <w:fldChar w:fldCharType="begin"/>
      </w:r>
      <w:r w:rsidRPr="00DC0FA9">
        <w:rPr>
          <w:sz w:val="22"/>
          <w:szCs w:val="22"/>
        </w:rPr>
        <w:instrText xml:space="preserve"> TA \l "" \s "WSFTA_cf128650d46b4a5cbab5c92de049854e" \c 3 </w:instrText>
      </w:r>
      <w:r w:rsidR="00377A22" w:rsidRPr="00DC0FA9">
        <w:rPr>
          <w:sz w:val="22"/>
          <w:szCs w:val="22"/>
        </w:rPr>
        <w:fldChar w:fldCharType="end"/>
      </w:r>
      <w:r w:rsidRPr="00DC0FA9">
        <w:rPr>
          <w:sz w:val="22"/>
          <w:szCs w:val="22"/>
          <w:u w:val="single"/>
        </w:rPr>
        <w:t>First Step</w:t>
      </w:r>
      <w:r w:rsidRPr="00DC0FA9">
        <w:rPr>
          <w:sz w:val="22"/>
          <w:szCs w:val="22"/>
        </w:rPr>
        <w:t xml:space="preserve">, 247 F. Supp. 2d </w:t>
      </w:r>
      <w:r>
        <w:rPr>
          <w:sz w:val="22"/>
          <w:szCs w:val="22"/>
        </w:rPr>
        <w:t xml:space="preserve">at </w:t>
      </w:r>
      <w:r w:rsidRPr="00DC0FA9">
        <w:rPr>
          <w:sz w:val="22"/>
          <w:szCs w:val="22"/>
        </w:rPr>
        <w:t>143</w:t>
      </w:r>
      <w:r>
        <w:rPr>
          <w:sz w:val="22"/>
          <w:szCs w:val="22"/>
        </w:rPr>
        <w:t xml:space="preserve">, 150; </w:t>
      </w:r>
      <w:r>
        <w:rPr>
          <w:sz w:val="22"/>
          <w:szCs w:val="22"/>
          <w:u w:val="single"/>
        </w:rPr>
        <w:t xml:space="preserve">see also </w:t>
      </w:r>
      <w:r w:rsidR="00377A22">
        <w:rPr>
          <w:sz w:val="22"/>
          <w:szCs w:val="22"/>
        </w:rPr>
        <w:fldChar w:fldCharType="begin"/>
      </w:r>
      <w:r>
        <w:instrText xml:space="preserve"> TA \l "" \s "WSFTA_9c32bdace59c4343a8f7dddf81fb3e72" \c 3 </w:instrText>
      </w:r>
      <w:r w:rsidR="00377A22">
        <w:rPr>
          <w:sz w:val="22"/>
          <w:szCs w:val="22"/>
        </w:rPr>
        <w:fldChar w:fldCharType="end"/>
      </w:r>
      <w:r w:rsidRPr="007D0A79">
        <w:rPr>
          <w:sz w:val="22"/>
          <w:szCs w:val="22"/>
          <w:u w:val="single"/>
        </w:rPr>
        <w:t>Pathways</w:t>
      </w:r>
      <w:r>
        <w:rPr>
          <w:sz w:val="22"/>
          <w:szCs w:val="22"/>
        </w:rPr>
        <w:t>, 133 F. Supp. 2d at 776</w:t>
      </w:r>
      <w:r w:rsidRPr="007D0A79">
        <w:rPr>
          <w:sz w:val="22"/>
          <w:szCs w:val="22"/>
        </w:rPr>
        <w:t xml:space="preserve"> (a Council member’s suggestion that residents would be violent and get in scrapes with the law was evidence of discriminatory intent).</w:t>
      </w:r>
    </w:p>
  </w:footnote>
  <w:footnote w:id="203">
    <w:p w:rsidR="009A3240" w:rsidRPr="007D0A79" w:rsidRDefault="009A3240" w:rsidP="00B624EB">
      <w:pPr>
        <w:pStyle w:val="FootnoteText"/>
        <w:rPr>
          <w:sz w:val="22"/>
          <w:szCs w:val="22"/>
        </w:rPr>
      </w:pPr>
      <w:r w:rsidRPr="007D0A79">
        <w:rPr>
          <w:rStyle w:val="FootnoteReference"/>
          <w:sz w:val="22"/>
          <w:szCs w:val="22"/>
        </w:rPr>
        <w:footnoteRef/>
      </w:r>
      <w:r w:rsidRPr="007D0A79">
        <w:rPr>
          <w:sz w:val="22"/>
          <w:szCs w:val="22"/>
        </w:rPr>
        <w:t xml:space="preserve"> </w:t>
      </w:r>
      <w:r>
        <w:rPr>
          <w:sz w:val="22"/>
          <w:szCs w:val="22"/>
        </w:rPr>
        <w:t xml:space="preserve">Council Mtg. Tr. (Ex. 24) at US </w:t>
      </w:r>
      <w:r w:rsidRPr="007D0A79">
        <w:rPr>
          <w:sz w:val="22"/>
          <w:szCs w:val="22"/>
        </w:rPr>
        <w:t>1428 (20: 8-12)</w:t>
      </w:r>
    </w:p>
  </w:footnote>
  <w:footnote w:id="204">
    <w:p w:rsidR="009A3240" w:rsidRPr="00B624EB" w:rsidRDefault="009A3240">
      <w:pPr>
        <w:pStyle w:val="FootnoteText"/>
      </w:pPr>
      <w:r w:rsidRPr="00B624EB">
        <w:rPr>
          <w:rStyle w:val="FootnoteReference"/>
          <w:sz w:val="22"/>
          <w:szCs w:val="22"/>
        </w:rPr>
        <w:footnoteRef/>
      </w:r>
      <w:r w:rsidRPr="00B624EB">
        <w:rPr>
          <w:sz w:val="22"/>
          <w:szCs w:val="22"/>
        </w:rPr>
        <w:t xml:space="preserve"> </w:t>
      </w:r>
      <w:r w:rsidRPr="00B624EB">
        <w:rPr>
          <w:sz w:val="22"/>
          <w:szCs w:val="22"/>
          <w:u w:val="single"/>
        </w:rPr>
        <w:t>Id.</w:t>
      </w:r>
      <w:r w:rsidRPr="00B624EB">
        <w:rPr>
          <w:sz w:val="22"/>
          <w:szCs w:val="22"/>
        </w:rPr>
        <w:t xml:space="preserve"> at US 1430</w:t>
      </w:r>
      <w:r w:rsidRPr="007D0A79">
        <w:rPr>
          <w:sz w:val="22"/>
          <w:szCs w:val="22"/>
        </w:rPr>
        <w:t xml:space="preserve"> (22: 16-21)</w:t>
      </w:r>
    </w:p>
  </w:footnote>
  <w:footnote w:id="205">
    <w:p w:rsidR="009A3240" w:rsidRPr="007D0A79" w:rsidRDefault="009A3240" w:rsidP="00B76C8F">
      <w:pPr>
        <w:pStyle w:val="FootnoteText"/>
        <w:rPr>
          <w:sz w:val="22"/>
          <w:szCs w:val="22"/>
        </w:rPr>
      </w:pPr>
      <w:r w:rsidRPr="007D0A79">
        <w:rPr>
          <w:rStyle w:val="FootnoteReference"/>
          <w:sz w:val="22"/>
          <w:szCs w:val="22"/>
        </w:rPr>
        <w:footnoteRef/>
      </w:r>
      <w:r w:rsidRPr="007D0A79">
        <w:rPr>
          <w:sz w:val="22"/>
          <w:szCs w:val="22"/>
        </w:rPr>
        <w:t xml:space="preserve"> </w:t>
      </w:r>
      <w:r w:rsidR="00377A22">
        <w:rPr>
          <w:sz w:val="22"/>
          <w:szCs w:val="22"/>
        </w:rPr>
        <w:fldChar w:fldCharType="begin"/>
      </w:r>
      <w:r>
        <w:instrText xml:space="preserve"> TA \l "" \s "WSFTA_50e9969ede4b4fcdbd8cdbcd20bee522" \c 3 </w:instrText>
      </w:r>
      <w:r w:rsidR="00377A22">
        <w:rPr>
          <w:sz w:val="22"/>
          <w:szCs w:val="22"/>
        </w:rPr>
        <w:fldChar w:fldCharType="end"/>
      </w:r>
      <w:r w:rsidRPr="007D0A79">
        <w:rPr>
          <w:sz w:val="22"/>
          <w:szCs w:val="22"/>
        </w:rPr>
        <w:t>139 F.</w:t>
      </w:r>
      <w:r>
        <w:rPr>
          <w:sz w:val="22"/>
          <w:szCs w:val="22"/>
        </w:rPr>
        <w:t xml:space="preserve"> </w:t>
      </w:r>
      <w:r w:rsidRPr="007D0A79">
        <w:rPr>
          <w:sz w:val="22"/>
          <w:szCs w:val="22"/>
        </w:rPr>
        <w:t>Supp.</w:t>
      </w:r>
      <w:r>
        <w:rPr>
          <w:sz w:val="22"/>
          <w:szCs w:val="22"/>
        </w:rPr>
        <w:t xml:space="preserve"> </w:t>
      </w:r>
      <w:r w:rsidRPr="007D0A79">
        <w:rPr>
          <w:sz w:val="22"/>
          <w:szCs w:val="22"/>
        </w:rPr>
        <w:t xml:space="preserve">2d 703, 708 (D. Md. 2001).  </w:t>
      </w:r>
    </w:p>
  </w:footnote>
  <w:footnote w:id="206">
    <w:p w:rsidR="009A3240" w:rsidRPr="007D0A79" w:rsidRDefault="009A3240" w:rsidP="00B76C8F">
      <w:pPr>
        <w:pStyle w:val="FootnoteText"/>
        <w:rPr>
          <w:sz w:val="22"/>
          <w:szCs w:val="22"/>
        </w:rPr>
      </w:pPr>
      <w:r w:rsidRPr="007D0A79">
        <w:rPr>
          <w:rStyle w:val="FootnoteReference"/>
          <w:sz w:val="22"/>
          <w:szCs w:val="22"/>
        </w:rPr>
        <w:footnoteRef/>
      </w:r>
      <w:r w:rsidRPr="007D0A79">
        <w:rPr>
          <w:sz w:val="22"/>
          <w:szCs w:val="22"/>
        </w:rPr>
        <w:t xml:space="preserve"> </w:t>
      </w:r>
      <w:r w:rsidR="00377A22">
        <w:rPr>
          <w:sz w:val="22"/>
          <w:szCs w:val="22"/>
        </w:rPr>
        <w:fldChar w:fldCharType="begin"/>
      </w:r>
      <w:r>
        <w:instrText xml:space="preserve"> TA \l "" \s "WSFTA_28a3db6492fb49fdad1f1da8cea00e05" \c 3 </w:instrText>
      </w:r>
      <w:r w:rsidR="00377A22">
        <w:rPr>
          <w:sz w:val="22"/>
          <w:szCs w:val="22"/>
        </w:rPr>
        <w:fldChar w:fldCharType="end"/>
      </w:r>
      <w:r w:rsidRPr="007D0A79">
        <w:rPr>
          <w:sz w:val="22"/>
          <w:szCs w:val="22"/>
          <w:u w:val="single"/>
        </w:rPr>
        <w:t>New Directions</w:t>
      </w:r>
      <w:r w:rsidRPr="007D0A79">
        <w:rPr>
          <w:sz w:val="22"/>
          <w:szCs w:val="22"/>
        </w:rPr>
        <w:t xml:space="preserve">, 490 F.3d at 295.  </w:t>
      </w:r>
    </w:p>
  </w:footnote>
  <w:footnote w:id="207">
    <w:p w:rsidR="009A3240" w:rsidRPr="007D0A79" w:rsidRDefault="009A3240" w:rsidP="00B76C8F">
      <w:pPr>
        <w:pStyle w:val="FootnoteText"/>
        <w:rPr>
          <w:sz w:val="22"/>
          <w:szCs w:val="22"/>
        </w:rPr>
      </w:pPr>
      <w:r w:rsidRPr="007D0A79">
        <w:rPr>
          <w:rStyle w:val="FootnoteReference"/>
          <w:sz w:val="22"/>
          <w:szCs w:val="22"/>
        </w:rPr>
        <w:footnoteRef/>
      </w:r>
      <w:r w:rsidRPr="007D0A79">
        <w:rPr>
          <w:sz w:val="22"/>
          <w:szCs w:val="22"/>
        </w:rPr>
        <w:t xml:space="preserve"> </w:t>
      </w:r>
      <w:r>
        <w:rPr>
          <w:sz w:val="22"/>
          <w:szCs w:val="22"/>
        </w:rPr>
        <w:t>Council Mtg. Tr. (Ex. 24) at US 1457 (49:</w:t>
      </w:r>
      <w:r w:rsidRPr="007D0A79">
        <w:rPr>
          <w:sz w:val="22"/>
          <w:szCs w:val="22"/>
        </w:rPr>
        <w:t>12-14) (Councilman Jack Young</w:t>
      </w:r>
      <w:r>
        <w:rPr>
          <w:sz w:val="22"/>
          <w:szCs w:val="22"/>
        </w:rPr>
        <w:t xml:space="preserve">: </w:t>
      </w:r>
      <w:r w:rsidRPr="007D0A79">
        <w:rPr>
          <w:sz w:val="22"/>
          <w:szCs w:val="22"/>
        </w:rPr>
        <w:t xml:space="preserve">“Would they put this next door to their homes?  I don’t think </w:t>
      </w:r>
      <w:r>
        <w:rPr>
          <w:sz w:val="22"/>
          <w:szCs w:val="22"/>
        </w:rPr>
        <w:t>so, you know.”), a</w:t>
      </w:r>
      <w:r w:rsidRPr="007D0A79">
        <w:rPr>
          <w:sz w:val="22"/>
          <w:szCs w:val="22"/>
        </w:rPr>
        <w:t xml:space="preserve">t </w:t>
      </w:r>
      <w:r>
        <w:rPr>
          <w:sz w:val="22"/>
          <w:szCs w:val="22"/>
        </w:rPr>
        <w:t>US 1607 (199:</w:t>
      </w:r>
      <w:r w:rsidRPr="007D0A79">
        <w:rPr>
          <w:sz w:val="22"/>
          <w:szCs w:val="22"/>
        </w:rPr>
        <w:t xml:space="preserve">19-22) (Councilman Jack Young </w:t>
      </w:r>
      <w:r>
        <w:rPr>
          <w:sz w:val="22"/>
          <w:szCs w:val="22"/>
        </w:rPr>
        <w:t xml:space="preserve">: </w:t>
      </w:r>
      <w:r w:rsidRPr="007D0A79">
        <w:rPr>
          <w:sz w:val="22"/>
          <w:szCs w:val="22"/>
        </w:rPr>
        <w:t>“</w:t>
      </w:r>
      <w:r>
        <w:rPr>
          <w:sz w:val="22"/>
          <w:szCs w:val="22"/>
        </w:rPr>
        <w:t>[</w:t>
      </w:r>
      <w:r w:rsidRPr="007D0A79">
        <w:rPr>
          <w:sz w:val="22"/>
          <w:szCs w:val="22"/>
        </w:rPr>
        <w:t>T</w:t>
      </w:r>
      <w:r>
        <w:rPr>
          <w:sz w:val="22"/>
          <w:szCs w:val="22"/>
        </w:rPr>
        <w:t>]</w:t>
      </w:r>
      <w:r w:rsidRPr="007D0A79">
        <w:rPr>
          <w:sz w:val="22"/>
          <w:szCs w:val="22"/>
        </w:rPr>
        <w:t>hey would not have them next</w:t>
      </w:r>
      <w:r>
        <w:rPr>
          <w:sz w:val="22"/>
          <w:szCs w:val="22"/>
        </w:rPr>
        <w:t xml:space="preserve"> door to their homes.</w:t>
      </w:r>
      <w:r w:rsidRPr="007D0A79">
        <w:rPr>
          <w:sz w:val="22"/>
          <w:szCs w:val="22"/>
        </w:rPr>
        <w:t xml:space="preserve">”).  </w:t>
      </w:r>
    </w:p>
  </w:footnote>
  <w:footnote w:id="208">
    <w:p w:rsidR="009A3240" w:rsidRPr="007D0A79" w:rsidRDefault="009A3240" w:rsidP="00B76C8F">
      <w:pPr>
        <w:pStyle w:val="FootnoteText"/>
        <w:rPr>
          <w:sz w:val="22"/>
          <w:szCs w:val="22"/>
        </w:rPr>
      </w:pPr>
      <w:r w:rsidRPr="007D0A79">
        <w:rPr>
          <w:rStyle w:val="FootnoteReference"/>
          <w:sz w:val="22"/>
          <w:szCs w:val="22"/>
        </w:rPr>
        <w:footnoteRef/>
      </w:r>
      <w:r w:rsidRPr="007D0A79">
        <w:rPr>
          <w:sz w:val="22"/>
          <w:szCs w:val="22"/>
        </w:rPr>
        <w:t xml:space="preserve"> </w:t>
      </w:r>
      <w:r w:rsidR="00377A22">
        <w:rPr>
          <w:sz w:val="22"/>
          <w:szCs w:val="22"/>
        </w:rPr>
        <w:fldChar w:fldCharType="begin"/>
      </w:r>
      <w:r>
        <w:instrText xml:space="preserve"> TA \l "" \s "WSFTA_de8d8d3112384e9697950ab06edf1680" \c 3 </w:instrText>
      </w:r>
      <w:r w:rsidR="00377A22">
        <w:rPr>
          <w:sz w:val="22"/>
          <w:szCs w:val="22"/>
        </w:rPr>
        <w:fldChar w:fldCharType="end"/>
      </w:r>
      <w:r w:rsidRPr="007D0A79">
        <w:rPr>
          <w:sz w:val="22"/>
          <w:szCs w:val="22"/>
          <w:u w:val="single"/>
        </w:rPr>
        <w:t>Helping Hand</w:t>
      </w:r>
      <w:r w:rsidRPr="007D0A79">
        <w:rPr>
          <w:sz w:val="22"/>
          <w:szCs w:val="22"/>
        </w:rPr>
        <w:t xml:space="preserve">, 515 F.3d </w:t>
      </w:r>
      <w:r>
        <w:rPr>
          <w:sz w:val="22"/>
          <w:szCs w:val="22"/>
        </w:rPr>
        <w:t>at 366</w:t>
      </w:r>
      <w:r w:rsidRPr="007D0A79">
        <w:rPr>
          <w:sz w:val="22"/>
          <w:szCs w:val="22"/>
        </w:rPr>
        <w:t xml:space="preserve">.  </w:t>
      </w:r>
    </w:p>
  </w:footnote>
  <w:footnote w:id="209">
    <w:p w:rsidR="009A3240" w:rsidRPr="007D0A79" w:rsidRDefault="009A3240" w:rsidP="00B76C8F">
      <w:pPr>
        <w:pStyle w:val="FootnoteText"/>
        <w:rPr>
          <w:sz w:val="22"/>
          <w:szCs w:val="22"/>
        </w:rPr>
      </w:pPr>
      <w:r w:rsidRPr="007D0A79">
        <w:rPr>
          <w:rStyle w:val="FootnoteReference"/>
          <w:sz w:val="22"/>
          <w:szCs w:val="22"/>
        </w:rPr>
        <w:footnoteRef/>
      </w:r>
      <w:r w:rsidRPr="007D0A79">
        <w:rPr>
          <w:sz w:val="22"/>
          <w:szCs w:val="22"/>
        </w:rPr>
        <w:t xml:space="preserve"> </w:t>
      </w:r>
      <w:r w:rsidRPr="007D0A79">
        <w:rPr>
          <w:sz w:val="22"/>
          <w:szCs w:val="22"/>
          <w:u w:val="single"/>
        </w:rPr>
        <w:t>See</w:t>
      </w:r>
      <w:r w:rsidRPr="007D0A79">
        <w:rPr>
          <w:sz w:val="22"/>
          <w:szCs w:val="22"/>
        </w:rPr>
        <w:t xml:space="preserve"> </w:t>
      </w:r>
      <w:r w:rsidRPr="008246F2">
        <w:rPr>
          <w:sz w:val="22"/>
          <w:szCs w:val="22"/>
          <w:u w:val="single"/>
        </w:rPr>
        <w:t>id.</w:t>
      </w:r>
      <w:r>
        <w:rPr>
          <w:sz w:val="22"/>
          <w:szCs w:val="22"/>
        </w:rPr>
        <w:t xml:space="preserve"> at US </w:t>
      </w:r>
      <w:r w:rsidRPr="007D0A79">
        <w:rPr>
          <w:sz w:val="22"/>
          <w:szCs w:val="22"/>
        </w:rPr>
        <w:t>1467 (59: 16-21) (Councilman Jack Young “</w:t>
      </w:r>
      <w:r>
        <w:rPr>
          <w:sz w:val="22"/>
          <w:szCs w:val="22"/>
        </w:rPr>
        <w:t>[</w:t>
      </w:r>
      <w:r w:rsidRPr="007D0A79">
        <w:rPr>
          <w:sz w:val="22"/>
          <w:szCs w:val="22"/>
        </w:rPr>
        <w:t>W</w:t>
      </w:r>
      <w:r>
        <w:rPr>
          <w:sz w:val="22"/>
          <w:szCs w:val="22"/>
        </w:rPr>
        <w:t>]</w:t>
      </w:r>
      <w:r w:rsidRPr="007D0A79">
        <w:rPr>
          <w:sz w:val="22"/>
          <w:szCs w:val="22"/>
        </w:rPr>
        <w:t xml:space="preserve">e’re elected to represent the people who vote for us and when they don’t want something, that’s part of the process.  If they don’t want it in their community and their neighborhood, that’s part of the process.”); Larry E. Greene, Hearing Notes, Worksession 07-0002 - #3 (Oct. 2, 2008), </w:t>
      </w:r>
      <w:r>
        <w:rPr>
          <w:sz w:val="22"/>
          <w:szCs w:val="22"/>
        </w:rPr>
        <w:t xml:space="preserve">(Ex. 89), </w:t>
      </w:r>
      <w:r w:rsidRPr="007D0A79">
        <w:rPr>
          <w:sz w:val="22"/>
          <w:szCs w:val="22"/>
        </w:rPr>
        <w:t>MCCB 9197-</w:t>
      </w:r>
      <w:r>
        <w:rPr>
          <w:sz w:val="22"/>
          <w:szCs w:val="22"/>
        </w:rPr>
        <w:t>9</w:t>
      </w:r>
      <w:r w:rsidRPr="007D0A79">
        <w:rPr>
          <w:sz w:val="22"/>
          <w:szCs w:val="22"/>
        </w:rPr>
        <w:t xml:space="preserve">8 (emphasizing “the council representative’s responsibility to protect the community from group home proliferation”).  </w:t>
      </w:r>
    </w:p>
  </w:footnote>
  <w:footnote w:id="210">
    <w:p w:rsidR="009A3240" w:rsidRPr="007D0A79" w:rsidRDefault="009A3240" w:rsidP="00B76C8F">
      <w:pPr>
        <w:pStyle w:val="FootnoteText"/>
        <w:rPr>
          <w:sz w:val="22"/>
          <w:szCs w:val="22"/>
        </w:rPr>
      </w:pPr>
      <w:r w:rsidRPr="007D0A79">
        <w:rPr>
          <w:rStyle w:val="FootnoteReference"/>
          <w:sz w:val="22"/>
          <w:szCs w:val="22"/>
        </w:rPr>
        <w:footnoteRef/>
      </w:r>
      <w:r w:rsidRPr="007D0A79">
        <w:rPr>
          <w:sz w:val="22"/>
          <w:szCs w:val="22"/>
        </w:rPr>
        <w:t xml:space="preserve"> </w:t>
      </w:r>
      <w:r w:rsidR="00377A22">
        <w:rPr>
          <w:sz w:val="22"/>
          <w:szCs w:val="22"/>
        </w:rPr>
        <w:fldChar w:fldCharType="begin"/>
      </w:r>
      <w:r>
        <w:instrText xml:space="preserve"> TA \l "" \s "WSFTA_96653e80032048ebb2f11048f3f12f20" \c 3 </w:instrText>
      </w:r>
      <w:r w:rsidR="00377A22">
        <w:rPr>
          <w:sz w:val="22"/>
          <w:szCs w:val="22"/>
        </w:rPr>
        <w:fldChar w:fldCharType="end"/>
      </w:r>
      <w:r w:rsidRPr="007D0A79">
        <w:rPr>
          <w:sz w:val="22"/>
          <w:szCs w:val="22"/>
          <w:u w:val="single"/>
        </w:rPr>
        <w:t>Helping Hand</w:t>
      </w:r>
      <w:r w:rsidRPr="007D0A79">
        <w:rPr>
          <w:sz w:val="22"/>
          <w:szCs w:val="22"/>
        </w:rPr>
        <w:t xml:space="preserve">, 2005 WL 2453062 at *18.  </w:t>
      </w:r>
    </w:p>
  </w:footnote>
  <w:footnote w:id="211">
    <w:p w:rsidR="009A3240" w:rsidRPr="007D0A79" w:rsidRDefault="009A3240" w:rsidP="00B76C8F">
      <w:pPr>
        <w:pStyle w:val="FootnoteText"/>
        <w:rPr>
          <w:sz w:val="22"/>
          <w:szCs w:val="22"/>
        </w:rPr>
      </w:pPr>
      <w:r w:rsidRPr="007D0A79">
        <w:rPr>
          <w:rStyle w:val="FootnoteReference"/>
          <w:sz w:val="22"/>
          <w:szCs w:val="22"/>
        </w:rPr>
        <w:footnoteRef/>
      </w:r>
      <w:r w:rsidRPr="007D0A79">
        <w:rPr>
          <w:sz w:val="22"/>
          <w:szCs w:val="22"/>
        </w:rPr>
        <w:t xml:space="preserve"> </w:t>
      </w:r>
      <w:r w:rsidRPr="007D0A79">
        <w:rPr>
          <w:sz w:val="22"/>
          <w:szCs w:val="22"/>
          <w:u w:val="single"/>
        </w:rPr>
        <w:t>See</w:t>
      </w:r>
      <w:r w:rsidRPr="007D0A79">
        <w:rPr>
          <w:sz w:val="22"/>
          <w:szCs w:val="22"/>
        </w:rPr>
        <w:t xml:space="preserve"> </w:t>
      </w:r>
      <w:r w:rsidR="00377A22">
        <w:rPr>
          <w:sz w:val="22"/>
          <w:szCs w:val="22"/>
        </w:rPr>
        <w:fldChar w:fldCharType="begin"/>
      </w:r>
      <w:r>
        <w:instrText xml:space="preserve"> TA \l "" \s "WSFTA_89f8783352264570affe86bba071c4cd" \c 3 </w:instrText>
      </w:r>
      <w:r w:rsidR="00377A22">
        <w:rPr>
          <w:sz w:val="22"/>
          <w:szCs w:val="22"/>
        </w:rPr>
        <w:fldChar w:fldCharType="end"/>
      </w:r>
      <w:r w:rsidRPr="007D0A79">
        <w:rPr>
          <w:sz w:val="22"/>
          <w:szCs w:val="22"/>
          <w:u w:val="single"/>
        </w:rPr>
        <w:t>Bangerter</w:t>
      </w:r>
      <w:r w:rsidRPr="007D0A79">
        <w:rPr>
          <w:sz w:val="22"/>
          <w:szCs w:val="22"/>
        </w:rPr>
        <w:t>, 46 F.3d at 1505</w:t>
      </w:r>
      <w:r w:rsidRPr="007D0A79">
        <w:rPr>
          <w:color w:val="000000"/>
          <w:sz w:val="22"/>
          <w:szCs w:val="22"/>
        </w:rPr>
        <w:t xml:space="preserve"> n.23</w:t>
      </w:r>
      <w:r w:rsidRPr="007D0A79">
        <w:rPr>
          <w:sz w:val="22"/>
          <w:szCs w:val="22"/>
        </w:rPr>
        <w:t xml:space="preserve"> (noting that an inquiry into motivations might shed light on whether justifications offered are bona fide).  </w:t>
      </w:r>
    </w:p>
  </w:footnote>
  <w:footnote w:id="212">
    <w:p w:rsidR="009A3240" w:rsidRPr="007D0A79" w:rsidRDefault="009A3240" w:rsidP="00B76C8F">
      <w:pPr>
        <w:pStyle w:val="FootnoteText"/>
        <w:rPr>
          <w:sz w:val="22"/>
          <w:szCs w:val="22"/>
        </w:rPr>
      </w:pPr>
      <w:r w:rsidRPr="007D0A79">
        <w:rPr>
          <w:rStyle w:val="FootnoteReference"/>
          <w:sz w:val="22"/>
          <w:szCs w:val="22"/>
        </w:rPr>
        <w:footnoteRef/>
      </w:r>
      <w:r w:rsidRPr="007D0A79">
        <w:rPr>
          <w:sz w:val="22"/>
          <w:szCs w:val="22"/>
        </w:rPr>
        <w:t xml:space="preserve"> </w:t>
      </w:r>
      <w:r w:rsidRPr="00A174AE">
        <w:rPr>
          <w:sz w:val="22"/>
          <w:szCs w:val="22"/>
          <w:u w:val="single"/>
        </w:rPr>
        <w:t>See</w:t>
      </w:r>
      <w:r w:rsidRPr="00A174AE">
        <w:rPr>
          <w:sz w:val="22"/>
          <w:szCs w:val="22"/>
        </w:rPr>
        <w:t xml:space="preserve"> </w:t>
      </w:r>
      <w:r w:rsidRPr="00A174AE">
        <w:rPr>
          <w:sz w:val="22"/>
          <w:szCs w:val="22"/>
          <w:u w:val="single"/>
        </w:rPr>
        <w:t>supra</w:t>
      </w:r>
      <w:r w:rsidRPr="00A174AE">
        <w:rPr>
          <w:sz w:val="22"/>
          <w:szCs w:val="22"/>
        </w:rPr>
        <w:t xml:space="preserve"> Section III.D.</w:t>
      </w:r>
      <w:r w:rsidRPr="007D0A79">
        <w:rPr>
          <w:sz w:val="22"/>
          <w:szCs w:val="22"/>
        </w:rPr>
        <w:t xml:space="preserve">  </w:t>
      </w:r>
    </w:p>
  </w:footnote>
  <w:footnote w:id="213">
    <w:p w:rsidR="009A3240" w:rsidRPr="009959FA" w:rsidRDefault="009A3240">
      <w:pPr>
        <w:pStyle w:val="FootnoteText"/>
        <w:rPr>
          <w:sz w:val="22"/>
          <w:szCs w:val="22"/>
        </w:rPr>
      </w:pPr>
      <w:r>
        <w:rPr>
          <w:rStyle w:val="FootnoteReference"/>
        </w:rPr>
        <w:footnoteRef/>
      </w:r>
      <w:r>
        <w:t xml:space="preserve"> </w:t>
      </w:r>
      <w:r w:rsidRPr="00A174AE">
        <w:rPr>
          <w:sz w:val="22"/>
          <w:szCs w:val="22"/>
          <w:u w:val="single"/>
        </w:rPr>
        <w:t>See</w:t>
      </w:r>
      <w:r w:rsidRPr="00A174AE">
        <w:rPr>
          <w:sz w:val="22"/>
          <w:szCs w:val="22"/>
        </w:rPr>
        <w:t xml:space="preserve"> </w:t>
      </w:r>
      <w:r w:rsidRPr="00A174AE">
        <w:rPr>
          <w:sz w:val="22"/>
          <w:szCs w:val="22"/>
          <w:u w:val="single"/>
        </w:rPr>
        <w:t>supra</w:t>
      </w:r>
      <w:r w:rsidRPr="00A174AE">
        <w:rPr>
          <w:sz w:val="22"/>
          <w:szCs w:val="22"/>
        </w:rPr>
        <w:t xml:space="preserve"> Section III</w:t>
      </w:r>
      <w:r>
        <w:rPr>
          <w:sz w:val="22"/>
          <w:szCs w:val="22"/>
        </w:rPr>
        <w:t>.C.</w:t>
      </w:r>
    </w:p>
  </w:footnote>
  <w:footnote w:id="214">
    <w:p w:rsidR="009A3240" w:rsidRPr="007D0A79" w:rsidRDefault="009A3240" w:rsidP="00B76C8F">
      <w:pPr>
        <w:pStyle w:val="FootnoteText"/>
        <w:rPr>
          <w:sz w:val="22"/>
          <w:szCs w:val="22"/>
        </w:rPr>
      </w:pPr>
      <w:r w:rsidRPr="007D0A79">
        <w:rPr>
          <w:rStyle w:val="FootnoteReference"/>
          <w:sz w:val="22"/>
          <w:szCs w:val="22"/>
        </w:rPr>
        <w:footnoteRef/>
      </w:r>
      <w:r w:rsidRPr="007D0A79">
        <w:rPr>
          <w:sz w:val="22"/>
          <w:szCs w:val="22"/>
        </w:rPr>
        <w:t xml:space="preserve"> </w:t>
      </w:r>
      <w:r>
        <w:rPr>
          <w:sz w:val="22"/>
          <w:szCs w:val="22"/>
        </w:rPr>
        <w:t xml:space="preserve">Ex. A to </w:t>
      </w:r>
      <w:r w:rsidRPr="00E32CB8">
        <w:rPr>
          <w:sz w:val="22"/>
          <w:szCs w:val="22"/>
        </w:rPr>
        <w:t>Interrog. Resp. 9/27/2010</w:t>
      </w:r>
      <w:r>
        <w:rPr>
          <w:sz w:val="22"/>
          <w:szCs w:val="22"/>
        </w:rPr>
        <w:t xml:space="preserve"> (Ex. 4)</w:t>
      </w:r>
      <w:r w:rsidRPr="007D0A79">
        <w:rPr>
          <w:sz w:val="22"/>
          <w:szCs w:val="22"/>
        </w:rPr>
        <w:t xml:space="preserve">.  </w:t>
      </w:r>
    </w:p>
  </w:footnote>
  <w:footnote w:id="215">
    <w:p w:rsidR="009A3240" w:rsidRPr="007D0A79" w:rsidRDefault="009A3240" w:rsidP="00B76C8F">
      <w:pPr>
        <w:pStyle w:val="FootnoteText"/>
        <w:rPr>
          <w:sz w:val="22"/>
          <w:szCs w:val="22"/>
        </w:rPr>
      </w:pPr>
      <w:r w:rsidRPr="007D0A79">
        <w:rPr>
          <w:rStyle w:val="FootnoteReference"/>
          <w:sz w:val="22"/>
          <w:szCs w:val="22"/>
        </w:rPr>
        <w:footnoteRef/>
      </w:r>
      <w:r w:rsidRPr="007D0A79">
        <w:rPr>
          <w:sz w:val="22"/>
          <w:szCs w:val="22"/>
        </w:rPr>
        <w:t xml:space="preserve"> </w:t>
      </w:r>
      <w:r w:rsidR="00377A22">
        <w:rPr>
          <w:sz w:val="22"/>
          <w:szCs w:val="22"/>
        </w:rPr>
        <w:fldChar w:fldCharType="begin"/>
      </w:r>
      <w:r>
        <w:instrText xml:space="preserve"> TA \l "" \s "WSFTA_53e4b62eff684cb587e748988c243d33" \c 3 </w:instrText>
      </w:r>
      <w:r w:rsidR="00377A22">
        <w:rPr>
          <w:sz w:val="22"/>
          <w:szCs w:val="22"/>
        </w:rPr>
        <w:fldChar w:fldCharType="end"/>
      </w:r>
      <w:r w:rsidRPr="007D0A79">
        <w:rPr>
          <w:sz w:val="22"/>
          <w:szCs w:val="22"/>
        </w:rPr>
        <w:t xml:space="preserve">823 F. Supp. at 1298.  </w:t>
      </w:r>
    </w:p>
  </w:footnote>
  <w:footnote w:id="216">
    <w:p w:rsidR="009A3240" w:rsidRPr="007D0A79" w:rsidRDefault="009A3240" w:rsidP="00B76C8F">
      <w:pPr>
        <w:pStyle w:val="FootnoteText"/>
        <w:rPr>
          <w:sz w:val="22"/>
          <w:szCs w:val="22"/>
        </w:rPr>
      </w:pPr>
      <w:r w:rsidRPr="007D0A79">
        <w:rPr>
          <w:rStyle w:val="FootnoteReference"/>
          <w:sz w:val="22"/>
          <w:szCs w:val="22"/>
        </w:rPr>
        <w:footnoteRef/>
      </w:r>
      <w:r w:rsidRPr="007D0A79">
        <w:rPr>
          <w:sz w:val="22"/>
          <w:szCs w:val="22"/>
        </w:rPr>
        <w:t xml:space="preserve"> </w:t>
      </w:r>
      <w:r w:rsidRPr="007D0A79">
        <w:rPr>
          <w:sz w:val="22"/>
          <w:szCs w:val="22"/>
          <w:u w:val="single"/>
        </w:rPr>
        <w:t>See also</w:t>
      </w:r>
      <w:r w:rsidRPr="007D0A79">
        <w:rPr>
          <w:sz w:val="22"/>
          <w:szCs w:val="22"/>
        </w:rPr>
        <w:t xml:space="preserve"> </w:t>
      </w:r>
      <w:r w:rsidR="00377A22">
        <w:rPr>
          <w:sz w:val="22"/>
          <w:szCs w:val="22"/>
        </w:rPr>
        <w:fldChar w:fldCharType="begin"/>
      </w:r>
      <w:r>
        <w:instrText xml:space="preserve"> TA \l "</w:instrText>
      </w:r>
      <w:r w:rsidRPr="00487D52">
        <w:rPr>
          <w:u w:val="single"/>
        </w:rPr>
        <w:instrText>Smith Berch</w:instrText>
      </w:r>
      <w:r w:rsidRPr="00487D52">
        <w:instrText>,</w:instrText>
      </w:r>
      <w:r w:rsidRPr="00487D52">
        <w:br/>
        <w:instrText>115 F. Supp. 2d  n.8</w:instrText>
      </w:r>
      <w:r>
        <w:instrText xml:space="preserve">" \s "WSFTA_b12ec6e0973b46abbdadc94482169a1e" \c 3 </w:instrText>
      </w:r>
      <w:r w:rsidR="00377A22">
        <w:rPr>
          <w:sz w:val="22"/>
          <w:szCs w:val="22"/>
        </w:rPr>
        <w:fldChar w:fldCharType="end"/>
      </w:r>
      <w:r w:rsidRPr="007D0A79">
        <w:rPr>
          <w:sz w:val="22"/>
          <w:szCs w:val="22"/>
          <w:u w:val="single"/>
        </w:rPr>
        <w:t>Smith Berch</w:t>
      </w:r>
      <w:r>
        <w:rPr>
          <w:sz w:val="22"/>
          <w:szCs w:val="22"/>
          <w:u w:val="single"/>
        </w:rPr>
        <w:t>, Inc. v. Baltimore Cnty.</w:t>
      </w:r>
      <w:r>
        <w:rPr>
          <w:sz w:val="22"/>
          <w:szCs w:val="22"/>
        </w:rPr>
        <w:t>, 115 F. Supp. 2d 520,</w:t>
      </w:r>
      <w:r w:rsidRPr="007D0A79">
        <w:rPr>
          <w:sz w:val="22"/>
          <w:szCs w:val="22"/>
        </w:rPr>
        <w:t xml:space="preserve"> 524 n.8 </w:t>
      </w:r>
      <w:r>
        <w:rPr>
          <w:sz w:val="22"/>
          <w:szCs w:val="22"/>
        </w:rPr>
        <w:t xml:space="preserve">(D. Md. 2000) </w:t>
      </w:r>
      <w:r w:rsidRPr="007D0A79">
        <w:rPr>
          <w:sz w:val="22"/>
          <w:szCs w:val="22"/>
        </w:rPr>
        <w:t xml:space="preserve">(finding a hearing requirement </w:t>
      </w:r>
      <w:r>
        <w:rPr>
          <w:sz w:val="22"/>
          <w:szCs w:val="22"/>
        </w:rPr>
        <w:t xml:space="preserve">for clinics </w:t>
      </w:r>
      <w:r w:rsidRPr="007D0A79">
        <w:rPr>
          <w:sz w:val="22"/>
          <w:szCs w:val="22"/>
        </w:rPr>
        <w:t>not necessary to the zoning scheme where officials allowed clinics to locate as of right).</w:t>
      </w:r>
    </w:p>
  </w:footnote>
  <w:footnote w:id="217">
    <w:p w:rsidR="009A3240" w:rsidRPr="007D0A79" w:rsidRDefault="009A3240" w:rsidP="00B76C8F">
      <w:pPr>
        <w:pStyle w:val="FootnoteText"/>
        <w:rPr>
          <w:sz w:val="22"/>
          <w:szCs w:val="22"/>
        </w:rPr>
      </w:pPr>
      <w:r w:rsidRPr="007D0A79">
        <w:rPr>
          <w:rStyle w:val="FootnoteReference"/>
          <w:sz w:val="22"/>
          <w:szCs w:val="22"/>
        </w:rPr>
        <w:footnoteRef/>
      </w:r>
      <w:r w:rsidRPr="007D0A79">
        <w:rPr>
          <w:sz w:val="22"/>
          <w:szCs w:val="22"/>
        </w:rPr>
        <w:t xml:space="preserve"> The City may argue that its reasonable accommodation policy remedies the discriminatory nature of the CO requirement.  Any such argument fails as a matter of fact and law.  As a factual matter, the City’s informal reasonable accommodation policy is arbitrarily implemented and subject to change or termination at the City’s whim.  As a legal matter, the </w:t>
      </w:r>
      <w:r>
        <w:rPr>
          <w:sz w:val="22"/>
          <w:szCs w:val="22"/>
        </w:rPr>
        <w:t>Ninth</w:t>
      </w:r>
      <w:r w:rsidRPr="007D0A79">
        <w:rPr>
          <w:sz w:val="22"/>
          <w:szCs w:val="22"/>
        </w:rPr>
        <w:t xml:space="preserve"> Circuit considered and wholly rejected a similar defense to a facially discriminatory policy, explaining as follows:  </w:t>
      </w:r>
    </w:p>
    <w:p w:rsidR="009A3240" w:rsidRPr="007D0A79" w:rsidRDefault="009A3240" w:rsidP="00B76C8F">
      <w:pPr>
        <w:pStyle w:val="FootnoteText"/>
        <w:rPr>
          <w:sz w:val="22"/>
          <w:szCs w:val="22"/>
        </w:rPr>
      </w:pPr>
    </w:p>
    <w:p w:rsidR="009A3240" w:rsidRPr="007D0A79" w:rsidRDefault="009A3240" w:rsidP="00D55E5E">
      <w:pPr>
        <w:pStyle w:val="FootnoteText"/>
        <w:ind w:left="720" w:right="720" w:firstLine="0"/>
        <w:jc w:val="both"/>
        <w:rPr>
          <w:sz w:val="22"/>
          <w:szCs w:val="22"/>
        </w:rPr>
      </w:pPr>
      <w:r w:rsidRPr="007D0A79">
        <w:rPr>
          <w:sz w:val="22"/>
          <w:szCs w:val="22"/>
        </w:rPr>
        <w:t xml:space="preserve">[Section] 35.130(b)(7) [makes little sense in the context of a statute that discriminates . . . </w:t>
      </w:r>
      <w:r w:rsidRPr="00BA3CDF">
        <w:rPr>
          <w:i/>
          <w:sz w:val="22"/>
          <w:szCs w:val="22"/>
        </w:rPr>
        <w:t>on its face</w:t>
      </w:r>
      <w:r w:rsidRPr="007D0A79">
        <w:rPr>
          <w:sz w:val="22"/>
          <w:szCs w:val="22"/>
        </w:rPr>
        <w:t xml:space="preserve"> rather than </w:t>
      </w:r>
      <w:r w:rsidRPr="00BA3CDF">
        <w:rPr>
          <w:i/>
          <w:sz w:val="22"/>
          <w:szCs w:val="22"/>
        </w:rPr>
        <w:t>in its application</w:t>
      </w:r>
      <w:r w:rsidRPr="007D0A79">
        <w:rPr>
          <w:sz w:val="22"/>
          <w:szCs w:val="22"/>
        </w:rPr>
        <w:t xml:space="preserve">.  </w:t>
      </w:r>
      <w:r w:rsidR="00377A22">
        <w:rPr>
          <w:sz w:val="22"/>
          <w:szCs w:val="22"/>
        </w:rPr>
        <w:fldChar w:fldCharType="begin"/>
      </w:r>
      <w:r>
        <w:instrText xml:space="preserve"> TA \l "</w:instrText>
      </w:r>
      <w:r w:rsidRPr="00487D52">
        <w:instrText>Section 35.130(b)(7)</w:instrText>
      </w:r>
      <w:r>
        <w:instrText xml:space="preserve">" \s "WSFTA_bafd0ec8b2164c12a93207781c33eebc" \c 12 </w:instrText>
      </w:r>
      <w:r w:rsidR="00377A22">
        <w:rPr>
          <w:sz w:val="22"/>
          <w:szCs w:val="22"/>
        </w:rPr>
        <w:fldChar w:fldCharType="end"/>
      </w:r>
      <w:r w:rsidRPr="007D0A79">
        <w:rPr>
          <w:sz w:val="22"/>
          <w:szCs w:val="22"/>
        </w:rPr>
        <w:t xml:space="preserve">Section 35.130(b)(7) requires reasonable modifications where necessary to avoid discrimination unless such modifications would fundamentally alter the statute in question.  The only possible modification of a facially discriminatory law that would avoid discrimination on the basis of disability would be the actual removal of the portion of the law that discriminates on the basis of disability.  However, such a modification would fundamentally alter the ordinance. </w:t>
      </w:r>
    </w:p>
    <w:p w:rsidR="009A3240" w:rsidRPr="007D0A79" w:rsidRDefault="009A3240" w:rsidP="00D55E5E">
      <w:pPr>
        <w:pStyle w:val="FootnoteText"/>
        <w:ind w:left="720" w:right="720" w:firstLine="0"/>
        <w:jc w:val="center"/>
        <w:rPr>
          <w:sz w:val="22"/>
          <w:szCs w:val="22"/>
        </w:rPr>
      </w:pPr>
      <w:r w:rsidRPr="007D0A79">
        <w:rPr>
          <w:sz w:val="22"/>
          <w:szCs w:val="22"/>
        </w:rPr>
        <w:t>*     *     *</w:t>
      </w:r>
    </w:p>
    <w:p w:rsidR="009A3240" w:rsidRPr="007D0A79" w:rsidRDefault="009A3240" w:rsidP="00D55E5E">
      <w:pPr>
        <w:pStyle w:val="FootnoteText"/>
        <w:ind w:left="720" w:right="720" w:firstLine="0"/>
        <w:jc w:val="both"/>
        <w:rPr>
          <w:sz w:val="22"/>
          <w:szCs w:val="22"/>
        </w:rPr>
      </w:pPr>
      <w:r w:rsidRPr="007D0A79">
        <w:rPr>
          <w:sz w:val="22"/>
          <w:szCs w:val="22"/>
        </w:rPr>
        <w:t xml:space="preserve">Therefore, we conclude </w:t>
      </w:r>
      <w:r>
        <w:rPr>
          <w:sz w:val="22"/>
          <w:szCs w:val="22"/>
        </w:rPr>
        <w:t xml:space="preserve">that </w:t>
      </w:r>
      <w:r w:rsidR="00377A22">
        <w:rPr>
          <w:sz w:val="22"/>
          <w:szCs w:val="22"/>
        </w:rPr>
        <w:fldChar w:fldCharType="begin"/>
      </w:r>
      <w:r>
        <w:instrText xml:space="preserve"> TA \l "</w:instrText>
      </w:r>
      <w:r w:rsidRPr="00487D52">
        <w:instrText>§ 35.130(b)(7)'s</w:instrText>
      </w:r>
      <w:r>
        <w:instrText xml:space="preserve">" \s "WSFTA_69124a299d1b477b9416b63d0c421a03" \c 12 </w:instrText>
      </w:r>
      <w:r w:rsidR="00377A22">
        <w:rPr>
          <w:sz w:val="22"/>
          <w:szCs w:val="22"/>
        </w:rPr>
        <w:fldChar w:fldCharType="end"/>
      </w:r>
      <w:r w:rsidRPr="007D0A79">
        <w:rPr>
          <w:sz w:val="22"/>
          <w:szCs w:val="22"/>
        </w:rPr>
        <w:t xml:space="preserve">§ 35.130(b)(7)’s reasonable modifications test does not apply to facially discriminatory laws.  </w:t>
      </w:r>
      <w:r w:rsidRPr="00BA3CDF">
        <w:rPr>
          <w:iCs/>
          <w:sz w:val="22"/>
          <w:szCs w:val="22"/>
        </w:rPr>
        <w:t xml:space="preserve">Instead, facially discriminatory laws present per se violations of </w:t>
      </w:r>
      <w:r w:rsidR="00377A22" w:rsidRPr="00BA3CDF">
        <w:rPr>
          <w:iCs/>
          <w:sz w:val="22"/>
          <w:szCs w:val="22"/>
        </w:rPr>
        <w:fldChar w:fldCharType="begin"/>
      </w:r>
      <w:r w:rsidRPr="00BA3CDF">
        <w:instrText xml:space="preserve"> TA \l "" \s "WSFTA_048938ad3f1f499985f0ce8d6c0d09c7" \c 6 </w:instrText>
      </w:r>
      <w:r w:rsidR="00377A22" w:rsidRPr="00BA3CDF">
        <w:rPr>
          <w:iCs/>
          <w:sz w:val="22"/>
          <w:szCs w:val="22"/>
        </w:rPr>
        <w:fldChar w:fldCharType="end"/>
      </w:r>
      <w:r w:rsidRPr="00BA3CDF">
        <w:rPr>
          <w:iCs/>
          <w:sz w:val="22"/>
          <w:szCs w:val="22"/>
        </w:rPr>
        <w:t>§ 12132</w:t>
      </w:r>
      <w:r w:rsidRPr="00BA3CDF">
        <w:rPr>
          <w:sz w:val="22"/>
          <w:szCs w:val="22"/>
        </w:rPr>
        <w:t>.</w:t>
      </w:r>
    </w:p>
    <w:p w:rsidR="009A3240" w:rsidRPr="007D0A79" w:rsidRDefault="009A3240" w:rsidP="00B76C8F">
      <w:pPr>
        <w:pStyle w:val="FootnoteText"/>
        <w:ind w:firstLine="0"/>
        <w:rPr>
          <w:sz w:val="22"/>
          <w:szCs w:val="22"/>
        </w:rPr>
      </w:pPr>
    </w:p>
    <w:p w:rsidR="009A3240" w:rsidRPr="007D0A79" w:rsidRDefault="00377A22" w:rsidP="00B76C8F">
      <w:pPr>
        <w:pStyle w:val="FootnoteText"/>
        <w:ind w:firstLine="0"/>
        <w:rPr>
          <w:sz w:val="22"/>
          <w:szCs w:val="22"/>
        </w:rPr>
      </w:pPr>
      <w:r>
        <w:rPr>
          <w:sz w:val="22"/>
          <w:szCs w:val="22"/>
          <w:u w:val="single"/>
        </w:rPr>
        <w:fldChar w:fldCharType="begin"/>
      </w:r>
      <w:r w:rsidR="009A3240">
        <w:instrText xml:space="preserve"> TA \l "" \s "WSFTA_80d4770cf6244eddb3df9f15b6ffe02f" \c 3 </w:instrText>
      </w:r>
      <w:r>
        <w:rPr>
          <w:sz w:val="22"/>
          <w:szCs w:val="22"/>
          <w:u w:val="single"/>
        </w:rPr>
        <w:fldChar w:fldCharType="end"/>
      </w:r>
      <w:r w:rsidR="009A3240" w:rsidRPr="007D0A79">
        <w:rPr>
          <w:sz w:val="22"/>
          <w:szCs w:val="22"/>
          <w:u w:val="single"/>
        </w:rPr>
        <w:t>Bay Area</w:t>
      </w:r>
      <w:r w:rsidR="009A3240" w:rsidRPr="007D0A79">
        <w:rPr>
          <w:sz w:val="22"/>
          <w:szCs w:val="22"/>
        </w:rPr>
        <w:t xml:space="preserve">, 179 F.3d at 734-35; </w:t>
      </w:r>
      <w:r w:rsidR="009A3240" w:rsidRPr="007D0A79">
        <w:rPr>
          <w:sz w:val="22"/>
          <w:szCs w:val="22"/>
          <w:u w:val="single"/>
        </w:rPr>
        <w:t>see also</w:t>
      </w:r>
      <w:r w:rsidR="009A3240" w:rsidRPr="007D0A79">
        <w:rPr>
          <w:sz w:val="22"/>
          <w:szCs w:val="22"/>
        </w:rPr>
        <w:t xml:space="preserve"> </w:t>
      </w:r>
      <w:r>
        <w:rPr>
          <w:sz w:val="22"/>
          <w:szCs w:val="22"/>
        </w:rPr>
        <w:fldChar w:fldCharType="begin"/>
      </w:r>
      <w:r w:rsidR="009A3240">
        <w:instrText xml:space="preserve"> TA \l "" \s "WSFTA_28a3db6492fb49fdad1f1da8cea00e05" \c 3 </w:instrText>
      </w:r>
      <w:r>
        <w:rPr>
          <w:sz w:val="22"/>
          <w:szCs w:val="22"/>
        </w:rPr>
        <w:fldChar w:fldCharType="end"/>
      </w:r>
      <w:r w:rsidR="009A3240" w:rsidRPr="007D0A79">
        <w:rPr>
          <w:sz w:val="22"/>
          <w:szCs w:val="22"/>
          <w:u w:val="single"/>
        </w:rPr>
        <w:t>New Directions</w:t>
      </w:r>
      <w:r w:rsidR="009A3240" w:rsidRPr="007D0A79">
        <w:rPr>
          <w:sz w:val="22"/>
          <w:szCs w:val="22"/>
        </w:rPr>
        <w:t xml:space="preserve">, 490 F.3d at 304; </w:t>
      </w:r>
      <w:r>
        <w:rPr>
          <w:sz w:val="22"/>
          <w:szCs w:val="22"/>
        </w:rPr>
        <w:fldChar w:fldCharType="begin"/>
      </w:r>
      <w:r w:rsidR="009A3240">
        <w:instrText xml:space="preserve"> TA \l "" \s "WSFTA_ca868d52afc646c5b2d767a2577cbab9" \c 3 </w:instrText>
      </w:r>
      <w:r>
        <w:rPr>
          <w:sz w:val="22"/>
          <w:szCs w:val="22"/>
        </w:rPr>
        <w:fldChar w:fldCharType="end"/>
      </w:r>
      <w:r w:rsidR="009A3240" w:rsidRPr="007D0A79">
        <w:rPr>
          <w:sz w:val="22"/>
          <w:szCs w:val="22"/>
          <w:u w:val="single"/>
        </w:rPr>
        <w:t>MX Group</w:t>
      </w:r>
      <w:r w:rsidR="009A3240">
        <w:rPr>
          <w:sz w:val="22"/>
          <w:szCs w:val="22"/>
        </w:rPr>
        <w:t>, 293 F.3d at 344-45</w:t>
      </w:r>
      <w:r w:rsidR="009A3240" w:rsidRPr="007D0A79">
        <w:rPr>
          <w:sz w:val="22"/>
          <w:szCs w:val="22"/>
        </w:rPr>
        <w:t xml:space="preserve">.  Just like the </w:t>
      </w:r>
      <w:r w:rsidR="009A3240" w:rsidRPr="007D0A79">
        <w:rPr>
          <w:sz w:val="22"/>
          <w:szCs w:val="22"/>
          <w:u w:val="single"/>
        </w:rPr>
        <w:t>Bay Area</w:t>
      </w:r>
      <w:r w:rsidR="009A3240" w:rsidRPr="007D0A79">
        <w:rPr>
          <w:sz w:val="22"/>
          <w:szCs w:val="22"/>
        </w:rPr>
        <w:t xml:space="preserve"> scenario, here the only possible reasonable modification to avoid discrimination on the basis of disability would be to invalidate the Zoning Code’s CO requirement for homes for nonbedridden alcoholics, which would result in a paradoxically prohibited fundamental alteration of the Zoning Code under 28 </w:t>
      </w:r>
      <w:r>
        <w:rPr>
          <w:sz w:val="22"/>
          <w:szCs w:val="22"/>
        </w:rPr>
        <w:fldChar w:fldCharType="begin"/>
      </w:r>
      <w:r w:rsidR="009A3240">
        <w:instrText xml:space="preserve"> TA \l "" \s "WSFTA_bafd0ec8b2164c12a93207781c33eebc" \c 12 </w:instrText>
      </w:r>
      <w:r>
        <w:rPr>
          <w:sz w:val="22"/>
          <w:szCs w:val="22"/>
        </w:rPr>
        <w:fldChar w:fldCharType="end"/>
      </w:r>
      <w:r w:rsidR="009A3240" w:rsidRPr="007D0A79">
        <w:rPr>
          <w:sz w:val="22"/>
          <w:szCs w:val="22"/>
        </w:rPr>
        <w:t xml:space="preserve">§ 35.130(b)(7).  Neither do reasonable modifications cure intentionally discriminatory laws.  </w:t>
      </w:r>
      <w:r w:rsidR="009A3240" w:rsidRPr="007D0A79">
        <w:rPr>
          <w:sz w:val="22"/>
          <w:szCs w:val="22"/>
          <w:u w:val="single"/>
        </w:rPr>
        <w:t>See, e.g.</w:t>
      </w:r>
      <w:r w:rsidR="009A3240" w:rsidRPr="007D0A79">
        <w:rPr>
          <w:sz w:val="22"/>
          <w:szCs w:val="22"/>
        </w:rPr>
        <w:t xml:space="preserve">, </w:t>
      </w:r>
      <w:r>
        <w:rPr>
          <w:sz w:val="22"/>
          <w:szCs w:val="22"/>
        </w:rPr>
        <w:fldChar w:fldCharType="begin"/>
      </w:r>
      <w:r w:rsidR="009A3240">
        <w:instrText xml:space="preserve"> TA \l "" \s "WSFTA_bed157e0542e47839cc387ca2f95736f" \c 3 </w:instrText>
      </w:r>
      <w:r>
        <w:rPr>
          <w:sz w:val="22"/>
          <w:szCs w:val="22"/>
        </w:rPr>
        <w:fldChar w:fldCharType="end"/>
      </w:r>
      <w:r w:rsidR="009A3240" w:rsidRPr="007D0A79">
        <w:rPr>
          <w:sz w:val="22"/>
          <w:szCs w:val="22"/>
          <w:u w:val="single"/>
        </w:rPr>
        <w:t>Larkin</w:t>
      </w:r>
      <w:r w:rsidR="009A3240" w:rsidRPr="007D0A79">
        <w:rPr>
          <w:sz w:val="22"/>
          <w:szCs w:val="22"/>
        </w:rPr>
        <w:t xml:space="preserve">, 89 F.3d at 288-90; </w:t>
      </w:r>
      <w:r>
        <w:rPr>
          <w:sz w:val="22"/>
          <w:szCs w:val="22"/>
        </w:rPr>
        <w:fldChar w:fldCharType="begin"/>
      </w:r>
      <w:r w:rsidR="009A3240">
        <w:instrText xml:space="preserve"> TA \l "" \s "WSFTA_89f8783352264570affe86bba071c4cd" \c 3 </w:instrText>
      </w:r>
      <w:r>
        <w:rPr>
          <w:sz w:val="22"/>
          <w:szCs w:val="22"/>
        </w:rPr>
        <w:fldChar w:fldCharType="end"/>
      </w:r>
      <w:r w:rsidR="009A3240" w:rsidRPr="007D0A79">
        <w:rPr>
          <w:sz w:val="22"/>
          <w:szCs w:val="22"/>
          <w:u w:val="single"/>
        </w:rPr>
        <w:t>Bangerter</w:t>
      </w:r>
      <w:r w:rsidR="009A3240" w:rsidRPr="007D0A79">
        <w:rPr>
          <w:sz w:val="22"/>
          <w:szCs w:val="22"/>
        </w:rPr>
        <w:t xml:space="preserve">, 46 F.3d at 1501-02; </w:t>
      </w:r>
      <w:r>
        <w:rPr>
          <w:sz w:val="22"/>
          <w:szCs w:val="22"/>
        </w:rPr>
        <w:fldChar w:fldCharType="begin"/>
      </w:r>
      <w:r w:rsidR="009A3240">
        <w:instrText xml:space="preserve"> TA \l "" \s "WSFTA_53e4b62eff684cb587e748988c243d33" \c 3 </w:instrText>
      </w:r>
      <w:r>
        <w:rPr>
          <w:sz w:val="22"/>
          <w:szCs w:val="22"/>
        </w:rPr>
        <w:fldChar w:fldCharType="end"/>
      </w:r>
      <w:r w:rsidR="009A3240" w:rsidRPr="007D0A79">
        <w:rPr>
          <w:sz w:val="22"/>
          <w:szCs w:val="22"/>
          <w:u w:val="single"/>
        </w:rPr>
        <w:t>Potomac Group Home</w:t>
      </w:r>
      <w:r w:rsidR="009A3240">
        <w:rPr>
          <w:sz w:val="22"/>
          <w:szCs w:val="22"/>
        </w:rPr>
        <w:t>, 823 F. Supp at 1297-99</w:t>
      </w:r>
      <w:r w:rsidR="009A3240" w:rsidRPr="007D0A79">
        <w:rPr>
          <w:sz w:val="22"/>
          <w:szCs w:val="22"/>
        </w:rPr>
        <w:t>, 1302.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E6F" w:rsidRDefault="00276E6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E6F" w:rsidRDefault="00276E6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E6F" w:rsidRDefault="00276E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21D7E"/>
    <w:multiLevelType w:val="hybridMultilevel"/>
    <w:tmpl w:val="CF52088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08612AB1"/>
    <w:multiLevelType w:val="hybridMultilevel"/>
    <w:tmpl w:val="F9EC6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D21F4D"/>
    <w:multiLevelType w:val="hybridMultilevel"/>
    <w:tmpl w:val="D372437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1ABC5359"/>
    <w:multiLevelType w:val="multilevel"/>
    <w:tmpl w:val="359C2E9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350" w:firstLine="0"/>
      </w:pPr>
      <w:rPr>
        <w:rFonts w:hint="default"/>
      </w:rPr>
    </w:lvl>
    <w:lvl w:ilvl="3">
      <w:start w:val="2"/>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
    <w:nsid w:val="2ABE78FB"/>
    <w:multiLevelType w:val="hybridMultilevel"/>
    <w:tmpl w:val="AC7C7B44"/>
    <w:lvl w:ilvl="0" w:tplc="236A2630">
      <w:start w:val="1"/>
      <w:numFmt w:val="lowerLetter"/>
      <w:lvlText w:val="%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
    <w:nsid w:val="3A2568B5"/>
    <w:multiLevelType w:val="hybridMultilevel"/>
    <w:tmpl w:val="8A94F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366A18"/>
    <w:multiLevelType w:val="hybridMultilevel"/>
    <w:tmpl w:val="B7C473AE"/>
    <w:lvl w:ilvl="0" w:tplc="A260E6A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C55334"/>
    <w:multiLevelType w:val="hybridMultilevel"/>
    <w:tmpl w:val="1548C0B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60E4352"/>
    <w:multiLevelType w:val="hybridMultilevel"/>
    <w:tmpl w:val="B4080A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A1426CF"/>
    <w:multiLevelType w:val="hybridMultilevel"/>
    <w:tmpl w:val="37F65DA6"/>
    <w:lvl w:ilvl="0" w:tplc="EBB2D140">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
    <w:nsid w:val="501F706E"/>
    <w:multiLevelType w:val="hybridMultilevel"/>
    <w:tmpl w:val="FDCC0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086D4D"/>
    <w:multiLevelType w:val="hybridMultilevel"/>
    <w:tmpl w:val="CD0615D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2">
    <w:nsid w:val="654D75C0"/>
    <w:multiLevelType w:val="hybridMultilevel"/>
    <w:tmpl w:val="16A2A14C"/>
    <w:lvl w:ilvl="0" w:tplc="62302FF2">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443FF0"/>
    <w:multiLevelType w:val="hybridMultilevel"/>
    <w:tmpl w:val="37F65DA6"/>
    <w:lvl w:ilvl="0" w:tplc="EBB2D140">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4">
    <w:nsid w:val="70CC023F"/>
    <w:multiLevelType w:val="hybridMultilevel"/>
    <w:tmpl w:val="E482E4A4"/>
    <w:lvl w:ilvl="0" w:tplc="04090019">
      <w:start w:val="1"/>
      <w:numFmt w:val="lowerLetter"/>
      <w:lvlText w:val="%1."/>
      <w:lvlJc w:val="left"/>
      <w:pPr>
        <w:ind w:left="3240" w:hanging="360"/>
      </w:pPr>
      <w:rPr>
        <w:rFonts w:hint="default"/>
        <w:u w:val="non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nsid w:val="72B30448"/>
    <w:multiLevelType w:val="hybridMultilevel"/>
    <w:tmpl w:val="8C6455C6"/>
    <w:lvl w:ilvl="0" w:tplc="04090015">
      <w:start w:val="1"/>
      <w:numFmt w:val="upperLetter"/>
      <w:lvlText w:val="%1."/>
      <w:lvlJc w:val="left"/>
      <w:pPr>
        <w:ind w:left="720" w:hanging="360"/>
      </w:pPr>
      <w:rPr>
        <w:rFonts w:hint="default"/>
      </w:rPr>
    </w:lvl>
    <w:lvl w:ilvl="1" w:tplc="0409000F">
      <w:start w:val="1"/>
      <w:numFmt w:val="decimal"/>
      <w:lvlText w:val="%2."/>
      <w:lvlJc w:val="left"/>
      <w:pPr>
        <w:ind w:left="1800" w:hanging="720"/>
      </w:pPr>
      <w:rPr>
        <w:rFonts w:hint="default"/>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A83372"/>
    <w:multiLevelType w:val="multilevel"/>
    <w:tmpl w:val="04090027"/>
    <w:lvl w:ilvl="0">
      <w:start w:val="1"/>
      <w:numFmt w:val="upperRoman"/>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350" w:firstLine="0"/>
      </w:pPr>
    </w:lvl>
    <w:lvl w:ilvl="3">
      <w:start w:val="1"/>
      <w:numFmt w:val="lowerLetter"/>
      <w:pStyle w:val="Heading4"/>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7">
    <w:nsid w:val="78425CD7"/>
    <w:multiLevelType w:val="hybridMultilevel"/>
    <w:tmpl w:val="C2B2B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7"/>
  </w:num>
  <w:num w:numId="4">
    <w:abstractNumId w:val="15"/>
  </w:num>
  <w:num w:numId="5">
    <w:abstractNumId w:val="14"/>
  </w:num>
  <w:num w:numId="6">
    <w:abstractNumId w:val="11"/>
  </w:num>
  <w:num w:numId="7">
    <w:abstractNumId w:val="6"/>
  </w:num>
  <w:num w:numId="8">
    <w:abstractNumId w:val="7"/>
  </w:num>
  <w:num w:numId="9">
    <w:abstractNumId w:val="2"/>
  </w:num>
  <w:num w:numId="10">
    <w:abstractNumId w:val="0"/>
  </w:num>
  <w:num w:numId="11">
    <w:abstractNumId w:val="4"/>
  </w:num>
  <w:num w:numId="12">
    <w:abstractNumId w:val="9"/>
  </w:num>
  <w:num w:numId="13">
    <w:abstractNumId w:val="13"/>
  </w:num>
  <w:num w:numId="14">
    <w:abstractNumId w:val="3"/>
  </w:num>
  <w:num w:numId="15">
    <w:abstractNumId w:val="10"/>
  </w:num>
  <w:num w:numId="16">
    <w:abstractNumId w:val="8"/>
  </w:num>
  <w:num w:numId="17">
    <w:abstractNumId w:val="5"/>
  </w:num>
  <w:num w:numId="18">
    <w:abstractNumId w:val="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rsids>
    <w:rsidRoot w:val="00B76C8F"/>
    <w:rsid w:val="000159F9"/>
    <w:rsid w:val="00034C63"/>
    <w:rsid w:val="00034FD7"/>
    <w:rsid w:val="00052E33"/>
    <w:rsid w:val="00054C82"/>
    <w:rsid w:val="000631F4"/>
    <w:rsid w:val="00074FFD"/>
    <w:rsid w:val="000843DD"/>
    <w:rsid w:val="000A0E07"/>
    <w:rsid w:val="000A7CA5"/>
    <w:rsid w:val="000B1D1B"/>
    <w:rsid w:val="000B6C37"/>
    <w:rsid w:val="000E17C5"/>
    <w:rsid w:val="000F2197"/>
    <w:rsid w:val="00124BA5"/>
    <w:rsid w:val="00125A60"/>
    <w:rsid w:val="001352AB"/>
    <w:rsid w:val="00135D23"/>
    <w:rsid w:val="00165C34"/>
    <w:rsid w:val="001816EF"/>
    <w:rsid w:val="001C3F5B"/>
    <w:rsid w:val="001D1B18"/>
    <w:rsid w:val="001E486A"/>
    <w:rsid w:val="001E5966"/>
    <w:rsid w:val="001F0DE3"/>
    <w:rsid w:val="001F335D"/>
    <w:rsid w:val="00214618"/>
    <w:rsid w:val="002202BD"/>
    <w:rsid w:val="0023534C"/>
    <w:rsid w:val="002375CE"/>
    <w:rsid w:val="00243F2E"/>
    <w:rsid w:val="00256CCF"/>
    <w:rsid w:val="00276E6F"/>
    <w:rsid w:val="002A7DC5"/>
    <w:rsid w:val="002B2AA4"/>
    <w:rsid w:val="002D05CF"/>
    <w:rsid w:val="002E4ECB"/>
    <w:rsid w:val="002F73A8"/>
    <w:rsid w:val="00325B78"/>
    <w:rsid w:val="00377A22"/>
    <w:rsid w:val="00383A29"/>
    <w:rsid w:val="00394287"/>
    <w:rsid w:val="003A5A5F"/>
    <w:rsid w:val="003D253C"/>
    <w:rsid w:val="003D6F9B"/>
    <w:rsid w:val="003F0D09"/>
    <w:rsid w:val="00407112"/>
    <w:rsid w:val="0042588D"/>
    <w:rsid w:val="004354F1"/>
    <w:rsid w:val="00451D0C"/>
    <w:rsid w:val="004559B8"/>
    <w:rsid w:val="004607DC"/>
    <w:rsid w:val="004A380A"/>
    <w:rsid w:val="004E5661"/>
    <w:rsid w:val="004F2FAF"/>
    <w:rsid w:val="005241AB"/>
    <w:rsid w:val="00525A8E"/>
    <w:rsid w:val="00537654"/>
    <w:rsid w:val="00553784"/>
    <w:rsid w:val="0056309D"/>
    <w:rsid w:val="00576494"/>
    <w:rsid w:val="005903AB"/>
    <w:rsid w:val="00591F6E"/>
    <w:rsid w:val="005A1104"/>
    <w:rsid w:val="005A34C2"/>
    <w:rsid w:val="005A5E47"/>
    <w:rsid w:val="005B1E84"/>
    <w:rsid w:val="005B3513"/>
    <w:rsid w:val="005E1873"/>
    <w:rsid w:val="005E623E"/>
    <w:rsid w:val="005F1B8E"/>
    <w:rsid w:val="005F27A2"/>
    <w:rsid w:val="005F2A0F"/>
    <w:rsid w:val="006411C6"/>
    <w:rsid w:val="00641227"/>
    <w:rsid w:val="006523A2"/>
    <w:rsid w:val="00693B14"/>
    <w:rsid w:val="006B12D9"/>
    <w:rsid w:val="006C2FAB"/>
    <w:rsid w:val="006C381B"/>
    <w:rsid w:val="00720820"/>
    <w:rsid w:val="00730F45"/>
    <w:rsid w:val="00743A02"/>
    <w:rsid w:val="00772E1D"/>
    <w:rsid w:val="00785800"/>
    <w:rsid w:val="007A0CD5"/>
    <w:rsid w:val="007A139D"/>
    <w:rsid w:val="007B5B9A"/>
    <w:rsid w:val="007C7343"/>
    <w:rsid w:val="008049D9"/>
    <w:rsid w:val="00816CA9"/>
    <w:rsid w:val="00882C5C"/>
    <w:rsid w:val="008E2D5C"/>
    <w:rsid w:val="009005EE"/>
    <w:rsid w:val="0091196C"/>
    <w:rsid w:val="0094037C"/>
    <w:rsid w:val="00943FA4"/>
    <w:rsid w:val="00967BA2"/>
    <w:rsid w:val="00970DDB"/>
    <w:rsid w:val="009959FA"/>
    <w:rsid w:val="009A3240"/>
    <w:rsid w:val="009A6FD7"/>
    <w:rsid w:val="009F301F"/>
    <w:rsid w:val="009F5E8B"/>
    <w:rsid w:val="00A302A1"/>
    <w:rsid w:val="00A31875"/>
    <w:rsid w:val="00A36DBB"/>
    <w:rsid w:val="00A3750B"/>
    <w:rsid w:val="00A5783B"/>
    <w:rsid w:val="00A65FF3"/>
    <w:rsid w:val="00A719E8"/>
    <w:rsid w:val="00A72641"/>
    <w:rsid w:val="00A86530"/>
    <w:rsid w:val="00A87DD8"/>
    <w:rsid w:val="00AA7D78"/>
    <w:rsid w:val="00AB369D"/>
    <w:rsid w:val="00AB764B"/>
    <w:rsid w:val="00AC4116"/>
    <w:rsid w:val="00AC74A5"/>
    <w:rsid w:val="00AF0D2C"/>
    <w:rsid w:val="00B37B0C"/>
    <w:rsid w:val="00B624EB"/>
    <w:rsid w:val="00B6303F"/>
    <w:rsid w:val="00B64D08"/>
    <w:rsid w:val="00B76201"/>
    <w:rsid w:val="00B76C8F"/>
    <w:rsid w:val="00B77C2E"/>
    <w:rsid w:val="00B86D02"/>
    <w:rsid w:val="00BA1179"/>
    <w:rsid w:val="00BB5BFA"/>
    <w:rsid w:val="00BE4387"/>
    <w:rsid w:val="00C32DEC"/>
    <w:rsid w:val="00C33C55"/>
    <w:rsid w:val="00C36EC9"/>
    <w:rsid w:val="00C376E5"/>
    <w:rsid w:val="00C61D47"/>
    <w:rsid w:val="00C643F2"/>
    <w:rsid w:val="00C66BA1"/>
    <w:rsid w:val="00C80199"/>
    <w:rsid w:val="00C947F7"/>
    <w:rsid w:val="00CD44A3"/>
    <w:rsid w:val="00CE323C"/>
    <w:rsid w:val="00D16990"/>
    <w:rsid w:val="00D55E5E"/>
    <w:rsid w:val="00D9756C"/>
    <w:rsid w:val="00DB2701"/>
    <w:rsid w:val="00DB3ACA"/>
    <w:rsid w:val="00DC481D"/>
    <w:rsid w:val="00E04467"/>
    <w:rsid w:val="00E174C2"/>
    <w:rsid w:val="00E23274"/>
    <w:rsid w:val="00E32CB8"/>
    <w:rsid w:val="00E41997"/>
    <w:rsid w:val="00E5305B"/>
    <w:rsid w:val="00E578E6"/>
    <w:rsid w:val="00E85D9D"/>
    <w:rsid w:val="00E97DE0"/>
    <w:rsid w:val="00EA348F"/>
    <w:rsid w:val="00ED05E2"/>
    <w:rsid w:val="00F0446C"/>
    <w:rsid w:val="00F32DDD"/>
    <w:rsid w:val="00F67132"/>
    <w:rsid w:val="00F741C4"/>
    <w:rsid w:val="00FA12A5"/>
    <w:rsid w:val="00FC0788"/>
    <w:rsid w:val="00FE7F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C8F"/>
    <w:rPr>
      <w:rFonts w:ascii="Times New Roman" w:eastAsia="Times New Roman" w:hAnsi="Times New Roman"/>
      <w:sz w:val="24"/>
    </w:rPr>
  </w:style>
  <w:style w:type="paragraph" w:styleId="Heading1">
    <w:name w:val="heading 1"/>
    <w:basedOn w:val="ListParagraph"/>
    <w:next w:val="Normal"/>
    <w:link w:val="Heading1Char"/>
    <w:uiPriority w:val="9"/>
    <w:qFormat/>
    <w:rsid w:val="00B76C8F"/>
    <w:pPr>
      <w:numPr>
        <w:numId w:val="2"/>
      </w:numPr>
      <w:outlineLvl w:val="0"/>
    </w:pPr>
  </w:style>
  <w:style w:type="paragraph" w:styleId="Heading2">
    <w:name w:val="heading 2"/>
    <w:basedOn w:val="Normal"/>
    <w:next w:val="Normal"/>
    <w:link w:val="Heading2Char"/>
    <w:uiPriority w:val="9"/>
    <w:unhideWhenUsed/>
    <w:qFormat/>
    <w:rsid w:val="00B76C8F"/>
    <w:pPr>
      <w:keepNext/>
      <w:keepLines/>
      <w:numPr>
        <w:ilvl w:val="1"/>
        <w:numId w:val="1"/>
      </w:numPr>
      <w:outlineLvl w:val="1"/>
    </w:pPr>
    <w:rPr>
      <w:bCs/>
      <w:szCs w:val="26"/>
    </w:rPr>
  </w:style>
  <w:style w:type="paragraph" w:styleId="Heading3">
    <w:name w:val="heading 3"/>
    <w:basedOn w:val="Normal"/>
    <w:next w:val="Normal"/>
    <w:link w:val="Heading3Char"/>
    <w:uiPriority w:val="9"/>
    <w:unhideWhenUsed/>
    <w:qFormat/>
    <w:rsid w:val="00B76C8F"/>
    <w:pPr>
      <w:keepNext/>
      <w:keepLines/>
      <w:numPr>
        <w:ilvl w:val="2"/>
        <w:numId w:val="1"/>
      </w:numPr>
      <w:outlineLvl w:val="2"/>
    </w:pPr>
    <w:rPr>
      <w:bCs/>
      <w:szCs w:val="22"/>
    </w:rPr>
  </w:style>
  <w:style w:type="paragraph" w:styleId="Heading4">
    <w:name w:val="heading 4"/>
    <w:basedOn w:val="Normal"/>
    <w:next w:val="Normal"/>
    <w:link w:val="Heading4Char"/>
    <w:uiPriority w:val="9"/>
    <w:unhideWhenUsed/>
    <w:qFormat/>
    <w:rsid w:val="00B76C8F"/>
    <w:pPr>
      <w:keepNext/>
      <w:keepLines/>
      <w:numPr>
        <w:ilvl w:val="3"/>
        <w:numId w:val="1"/>
      </w:numPr>
      <w:outlineLvl w:val="3"/>
    </w:pPr>
    <w:rPr>
      <w:bCs/>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C8F"/>
    <w:pPr>
      <w:ind w:left="720"/>
      <w:contextualSpacing/>
    </w:pPr>
  </w:style>
  <w:style w:type="character" w:customStyle="1" w:styleId="Heading1Char">
    <w:name w:val="Heading 1 Char"/>
    <w:basedOn w:val="DefaultParagraphFont"/>
    <w:link w:val="Heading1"/>
    <w:uiPriority w:val="9"/>
    <w:rsid w:val="00B76C8F"/>
    <w:rPr>
      <w:rFonts w:ascii="Times New Roman" w:eastAsia="Times New Roman" w:hAnsi="Times New Roman"/>
      <w:sz w:val="24"/>
    </w:rPr>
  </w:style>
  <w:style w:type="character" w:customStyle="1" w:styleId="Heading2Char">
    <w:name w:val="Heading 2 Char"/>
    <w:basedOn w:val="DefaultParagraphFont"/>
    <w:link w:val="Heading2"/>
    <w:uiPriority w:val="9"/>
    <w:rsid w:val="00B76C8F"/>
    <w:rPr>
      <w:rFonts w:ascii="Times New Roman" w:eastAsia="Times New Roman" w:hAnsi="Times New Roman"/>
      <w:bCs/>
      <w:sz w:val="24"/>
      <w:szCs w:val="26"/>
    </w:rPr>
  </w:style>
  <w:style w:type="character" w:customStyle="1" w:styleId="Heading3Char">
    <w:name w:val="Heading 3 Char"/>
    <w:basedOn w:val="DefaultParagraphFont"/>
    <w:link w:val="Heading3"/>
    <w:uiPriority w:val="9"/>
    <w:rsid w:val="00B76C8F"/>
    <w:rPr>
      <w:rFonts w:ascii="Times New Roman" w:eastAsia="Times New Roman" w:hAnsi="Times New Roman"/>
      <w:bCs/>
      <w:sz w:val="24"/>
      <w:szCs w:val="22"/>
    </w:rPr>
  </w:style>
  <w:style w:type="character" w:customStyle="1" w:styleId="Heading4Char">
    <w:name w:val="Heading 4 Char"/>
    <w:basedOn w:val="DefaultParagraphFont"/>
    <w:link w:val="Heading4"/>
    <w:uiPriority w:val="9"/>
    <w:rsid w:val="00B76C8F"/>
    <w:rPr>
      <w:rFonts w:ascii="Times New Roman" w:eastAsia="Times New Roman" w:hAnsi="Times New Roman"/>
      <w:bCs/>
      <w:iCs/>
      <w:sz w:val="24"/>
      <w:szCs w:val="22"/>
    </w:rPr>
  </w:style>
  <w:style w:type="paragraph" w:customStyle="1" w:styleId="Level1">
    <w:name w:val="Level 1"/>
    <w:basedOn w:val="Normal"/>
    <w:rsid w:val="00B76C8F"/>
    <w:pPr>
      <w:widowControl w:val="0"/>
    </w:pPr>
  </w:style>
  <w:style w:type="paragraph" w:styleId="FootnoteText">
    <w:name w:val="footnote text"/>
    <w:basedOn w:val="Normal"/>
    <w:link w:val="FootnoteTextChar"/>
    <w:uiPriority w:val="99"/>
    <w:semiHidden/>
    <w:rsid w:val="00B76C8F"/>
    <w:pPr>
      <w:widowControl w:val="0"/>
      <w:ind w:firstLine="720"/>
    </w:pPr>
  </w:style>
  <w:style w:type="character" w:customStyle="1" w:styleId="FootnoteTextChar">
    <w:name w:val="Footnote Text Char"/>
    <w:basedOn w:val="DefaultParagraphFont"/>
    <w:link w:val="FootnoteText"/>
    <w:uiPriority w:val="99"/>
    <w:semiHidden/>
    <w:rsid w:val="00B76C8F"/>
    <w:rPr>
      <w:rFonts w:ascii="Times New Roman" w:eastAsia="Times New Roman" w:hAnsi="Times New Roman" w:cs="Times New Roman"/>
      <w:sz w:val="24"/>
      <w:szCs w:val="20"/>
    </w:rPr>
  </w:style>
  <w:style w:type="character" w:styleId="FootnoteReference">
    <w:name w:val="footnote reference"/>
    <w:basedOn w:val="DefaultParagraphFont"/>
    <w:uiPriority w:val="99"/>
    <w:semiHidden/>
    <w:rsid w:val="00B76C8F"/>
    <w:rPr>
      <w:vertAlign w:val="superscript"/>
    </w:rPr>
  </w:style>
  <w:style w:type="character" w:styleId="Hyperlink">
    <w:name w:val="Hyperlink"/>
    <w:basedOn w:val="DefaultParagraphFont"/>
    <w:uiPriority w:val="99"/>
    <w:unhideWhenUsed/>
    <w:rsid w:val="00B76C8F"/>
    <w:rPr>
      <w:color w:val="0000FF"/>
      <w:u w:val="single"/>
    </w:rPr>
  </w:style>
  <w:style w:type="paragraph" w:styleId="BalloonText">
    <w:name w:val="Balloon Text"/>
    <w:basedOn w:val="Normal"/>
    <w:link w:val="BalloonTextChar"/>
    <w:uiPriority w:val="99"/>
    <w:semiHidden/>
    <w:unhideWhenUsed/>
    <w:rsid w:val="00B76C8F"/>
    <w:rPr>
      <w:rFonts w:ascii="Tahoma" w:hAnsi="Tahoma" w:cs="Tahoma"/>
      <w:sz w:val="16"/>
      <w:szCs w:val="16"/>
    </w:rPr>
  </w:style>
  <w:style w:type="character" w:customStyle="1" w:styleId="BalloonTextChar">
    <w:name w:val="Balloon Text Char"/>
    <w:basedOn w:val="DefaultParagraphFont"/>
    <w:link w:val="BalloonText"/>
    <w:uiPriority w:val="99"/>
    <w:semiHidden/>
    <w:rsid w:val="00B76C8F"/>
    <w:rPr>
      <w:rFonts w:ascii="Tahoma" w:eastAsia="Times New Roman" w:hAnsi="Tahoma" w:cs="Tahoma"/>
      <w:sz w:val="16"/>
      <w:szCs w:val="16"/>
    </w:rPr>
  </w:style>
  <w:style w:type="paragraph" w:styleId="Header">
    <w:name w:val="header"/>
    <w:basedOn w:val="Normal"/>
    <w:link w:val="HeaderChar"/>
    <w:uiPriority w:val="99"/>
    <w:semiHidden/>
    <w:unhideWhenUsed/>
    <w:rsid w:val="00B76C8F"/>
    <w:pPr>
      <w:tabs>
        <w:tab w:val="center" w:pos="4680"/>
        <w:tab w:val="right" w:pos="9360"/>
      </w:tabs>
    </w:pPr>
  </w:style>
  <w:style w:type="character" w:customStyle="1" w:styleId="HeaderChar">
    <w:name w:val="Header Char"/>
    <w:basedOn w:val="DefaultParagraphFont"/>
    <w:link w:val="Header"/>
    <w:uiPriority w:val="99"/>
    <w:semiHidden/>
    <w:rsid w:val="00B76C8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76C8F"/>
    <w:pPr>
      <w:tabs>
        <w:tab w:val="center" w:pos="4680"/>
        <w:tab w:val="right" w:pos="9360"/>
      </w:tabs>
    </w:pPr>
  </w:style>
  <w:style w:type="character" w:customStyle="1" w:styleId="FooterChar">
    <w:name w:val="Footer Char"/>
    <w:basedOn w:val="DefaultParagraphFont"/>
    <w:link w:val="Footer"/>
    <w:uiPriority w:val="99"/>
    <w:rsid w:val="00B76C8F"/>
    <w:rPr>
      <w:rFonts w:ascii="Times New Roman" w:eastAsia="Times New Roman" w:hAnsi="Times New Roman" w:cs="Times New Roman"/>
      <w:sz w:val="24"/>
      <w:szCs w:val="20"/>
    </w:rPr>
  </w:style>
  <w:style w:type="paragraph" w:styleId="CommentText">
    <w:name w:val="annotation text"/>
    <w:basedOn w:val="Normal"/>
    <w:link w:val="CommentTextChar"/>
    <w:uiPriority w:val="99"/>
    <w:semiHidden/>
    <w:unhideWhenUsed/>
    <w:rsid w:val="00B76C8F"/>
    <w:rPr>
      <w:sz w:val="20"/>
    </w:rPr>
  </w:style>
  <w:style w:type="character" w:customStyle="1" w:styleId="CommentTextChar">
    <w:name w:val="Comment Text Char"/>
    <w:basedOn w:val="DefaultParagraphFont"/>
    <w:link w:val="CommentText"/>
    <w:uiPriority w:val="99"/>
    <w:semiHidden/>
    <w:rsid w:val="00B76C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6C8F"/>
    <w:rPr>
      <w:b/>
      <w:bCs/>
    </w:rPr>
  </w:style>
  <w:style w:type="character" w:customStyle="1" w:styleId="CommentSubjectChar">
    <w:name w:val="Comment Subject Char"/>
    <w:basedOn w:val="CommentTextChar"/>
    <w:link w:val="CommentSubject"/>
    <w:uiPriority w:val="99"/>
    <w:semiHidden/>
    <w:rsid w:val="00B76C8F"/>
    <w:rPr>
      <w:b/>
      <w:bCs/>
    </w:rPr>
  </w:style>
  <w:style w:type="paragraph" w:styleId="TOAHeading">
    <w:name w:val="toa heading"/>
    <w:basedOn w:val="Normal"/>
    <w:next w:val="Normal"/>
    <w:uiPriority w:val="99"/>
    <w:unhideWhenUsed/>
    <w:rsid w:val="00B76C8F"/>
    <w:pPr>
      <w:spacing w:before="120"/>
    </w:pPr>
    <w:rPr>
      <w:rFonts w:ascii="Cambria" w:hAnsi="Cambria"/>
      <w:bCs/>
      <w:szCs w:val="24"/>
    </w:rPr>
  </w:style>
  <w:style w:type="paragraph" w:styleId="TableofAuthorities">
    <w:name w:val="table of authorities"/>
    <w:basedOn w:val="Normal"/>
    <w:next w:val="Normal"/>
    <w:uiPriority w:val="99"/>
    <w:semiHidden/>
    <w:unhideWhenUsed/>
    <w:rsid w:val="00B76C8F"/>
    <w:pPr>
      <w:ind w:left="240" w:hanging="240"/>
    </w:pPr>
  </w:style>
  <w:style w:type="paragraph" w:styleId="TOCHeading">
    <w:name w:val="TOC Heading"/>
    <w:basedOn w:val="Heading1"/>
    <w:next w:val="Normal"/>
    <w:uiPriority w:val="39"/>
    <w:unhideWhenUsed/>
    <w:qFormat/>
    <w:rsid w:val="00B76C8F"/>
    <w:pPr>
      <w:keepNext/>
      <w:keepLines/>
      <w:numPr>
        <w:numId w:val="0"/>
      </w:numPr>
      <w:spacing w:before="480" w:line="276" w:lineRule="auto"/>
      <w:contextualSpacing w:val="0"/>
      <w:outlineLvl w:val="9"/>
    </w:pPr>
    <w:rPr>
      <w:rFonts w:ascii="Cambria" w:hAnsi="Cambria"/>
      <w:b/>
      <w:bCs/>
      <w:color w:val="365F91"/>
      <w:sz w:val="28"/>
      <w:szCs w:val="28"/>
    </w:rPr>
  </w:style>
  <w:style w:type="paragraph" w:styleId="TOC1">
    <w:name w:val="toc 1"/>
    <w:basedOn w:val="Normal"/>
    <w:next w:val="Normal"/>
    <w:autoRedefine/>
    <w:uiPriority w:val="39"/>
    <w:unhideWhenUsed/>
    <w:rsid w:val="005B3513"/>
    <w:pPr>
      <w:tabs>
        <w:tab w:val="left" w:pos="720"/>
        <w:tab w:val="right" w:leader="dot" w:pos="10070"/>
      </w:tabs>
      <w:spacing w:after="100"/>
    </w:pPr>
  </w:style>
  <w:style w:type="paragraph" w:styleId="TOC2">
    <w:name w:val="toc 2"/>
    <w:basedOn w:val="Normal"/>
    <w:next w:val="Normal"/>
    <w:autoRedefine/>
    <w:uiPriority w:val="39"/>
    <w:unhideWhenUsed/>
    <w:rsid w:val="005B3513"/>
    <w:pPr>
      <w:tabs>
        <w:tab w:val="right" w:leader="dot" w:pos="10070"/>
      </w:tabs>
      <w:spacing w:after="100"/>
      <w:ind w:left="1350" w:hanging="660"/>
    </w:pPr>
  </w:style>
  <w:style w:type="paragraph" w:styleId="TOC3">
    <w:name w:val="toc 3"/>
    <w:basedOn w:val="Normal"/>
    <w:next w:val="Normal"/>
    <w:autoRedefine/>
    <w:uiPriority w:val="39"/>
    <w:unhideWhenUsed/>
    <w:rsid w:val="005B3513"/>
    <w:pPr>
      <w:tabs>
        <w:tab w:val="right" w:leader="dot" w:pos="10070"/>
      </w:tabs>
      <w:spacing w:after="100"/>
      <w:ind w:left="2070" w:hanging="600"/>
    </w:pPr>
  </w:style>
  <w:style w:type="paragraph" w:styleId="TOC4">
    <w:name w:val="toc 4"/>
    <w:basedOn w:val="Normal"/>
    <w:next w:val="Normal"/>
    <w:autoRedefine/>
    <w:uiPriority w:val="39"/>
    <w:unhideWhenUsed/>
    <w:rsid w:val="002A7DC5"/>
    <w:pPr>
      <w:tabs>
        <w:tab w:val="left" w:pos="2070"/>
        <w:tab w:val="right" w:leader="dot" w:pos="10070"/>
      </w:tabs>
      <w:spacing w:after="100"/>
      <w:ind w:left="2880" w:hanging="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www.baltimorecity.gov/Portals/0/Charter%20and%20Codes/Code/Art%2000%20-%20Zoning.pdf" TargetMode="External"/><Relationship Id="rId2" Type="http://schemas.openxmlformats.org/officeDocument/2006/relationships/hyperlink" Target="http://www.baltimorecity.gov/Portals/0/Charter%20and%20Codes/Code/Art%2000%20-%20Zoning.pdf" TargetMode="External"/><Relationship Id="rId1" Type="http://schemas.openxmlformats.org/officeDocument/2006/relationships/hyperlink" Target="http://www.baltimorecity.gov/Portals/0/Charter%20and%20Codes/Code/Art%2000%20-%20Zon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11626</Words>
  <Characters>66270</Characters>
  <Application>Microsoft Office Word</Application>
  <DocSecurity>0</DocSecurity>
  <Lines>552</Lines>
  <Paragraphs>155</Paragraphs>
  <ScaleCrop>false</ScaleCrop>
  <Company/>
  <LinksUpToDate>false</LinksUpToDate>
  <CharactersWithSpaces>77741</CharactersWithSpaces>
  <SharedDoc>false</SharedDoc>
  <HLinks>
    <vt:vector size="120" baseType="variant">
      <vt:variant>
        <vt:i4>2031671</vt:i4>
      </vt:variant>
      <vt:variant>
        <vt:i4>112</vt:i4>
      </vt:variant>
      <vt:variant>
        <vt:i4>0</vt:i4>
      </vt:variant>
      <vt:variant>
        <vt:i4>5</vt:i4>
      </vt:variant>
      <vt:variant>
        <vt:lpwstr/>
      </vt:variant>
      <vt:variant>
        <vt:lpwstr>_Toc290552062</vt:lpwstr>
      </vt:variant>
      <vt:variant>
        <vt:i4>2031671</vt:i4>
      </vt:variant>
      <vt:variant>
        <vt:i4>106</vt:i4>
      </vt:variant>
      <vt:variant>
        <vt:i4>0</vt:i4>
      </vt:variant>
      <vt:variant>
        <vt:i4>5</vt:i4>
      </vt:variant>
      <vt:variant>
        <vt:lpwstr/>
      </vt:variant>
      <vt:variant>
        <vt:lpwstr>_Toc290552061</vt:lpwstr>
      </vt:variant>
      <vt:variant>
        <vt:i4>2031671</vt:i4>
      </vt:variant>
      <vt:variant>
        <vt:i4>100</vt:i4>
      </vt:variant>
      <vt:variant>
        <vt:i4>0</vt:i4>
      </vt:variant>
      <vt:variant>
        <vt:i4>5</vt:i4>
      </vt:variant>
      <vt:variant>
        <vt:lpwstr/>
      </vt:variant>
      <vt:variant>
        <vt:lpwstr>_Toc290552060</vt:lpwstr>
      </vt:variant>
      <vt:variant>
        <vt:i4>1835063</vt:i4>
      </vt:variant>
      <vt:variant>
        <vt:i4>94</vt:i4>
      </vt:variant>
      <vt:variant>
        <vt:i4>0</vt:i4>
      </vt:variant>
      <vt:variant>
        <vt:i4>5</vt:i4>
      </vt:variant>
      <vt:variant>
        <vt:lpwstr/>
      </vt:variant>
      <vt:variant>
        <vt:lpwstr>_Toc290552059</vt:lpwstr>
      </vt:variant>
      <vt:variant>
        <vt:i4>1835063</vt:i4>
      </vt:variant>
      <vt:variant>
        <vt:i4>88</vt:i4>
      </vt:variant>
      <vt:variant>
        <vt:i4>0</vt:i4>
      </vt:variant>
      <vt:variant>
        <vt:i4>5</vt:i4>
      </vt:variant>
      <vt:variant>
        <vt:lpwstr/>
      </vt:variant>
      <vt:variant>
        <vt:lpwstr>_Toc290552058</vt:lpwstr>
      </vt:variant>
      <vt:variant>
        <vt:i4>1835063</vt:i4>
      </vt:variant>
      <vt:variant>
        <vt:i4>82</vt:i4>
      </vt:variant>
      <vt:variant>
        <vt:i4>0</vt:i4>
      </vt:variant>
      <vt:variant>
        <vt:i4>5</vt:i4>
      </vt:variant>
      <vt:variant>
        <vt:lpwstr/>
      </vt:variant>
      <vt:variant>
        <vt:lpwstr>_Toc290552057</vt:lpwstr>
      </vt:variant>
      <vt:variant>
        <vt:i4>1835063</vt:i4>
      </vt:variant>
      <vt:variant>
        <vt:i4>76</vt:i4>
      </vt:variant>
      <vt:variant>
        <vt:i4>0</vt:i4>
      </vt:variant>
      <vt:variant>
        <vt:i4>5</vt:i4>
      </vt:variant>
      <vt:variant>
        <vt:lpwstr/>
      </vt:variant>
      <vt:variant>
        <vt:lpwstr>_Toc290552056</vt:lpwstr>
      </vt:variant>
      <vt:variant>
        <vt:i4>1835063</vt:i4>
      </vt:variant>
      <vt:variant>
        <vt:i4>70</vt:i4>
      </vt:variant>
      <vt:variant>
        <vt:i4>0</vt:i4>
      </vt:variant>
      <vt:variant>
        <vt:i4>5</vt:i4>
      </vt:variant>
      <vt:variant>
        <vt:lpwstr/>
      </vt:variant>
      <vt:variant>
        <vt:lpwstr>_Toc290552055</vt:lpwstr>
      </vt:variant>
      <vt:variant>
        <vt:i4>1835063</vt:i4>
      </vt:variant>
      <vt:variant>
        <vt:i4>64</vt:i4>
      </vt:variant>
      <vt:variant>
        <vt:i4>0</vt:i4>
      </vt:variant>
      <vt:variant>
        <vt:i4>5</vt:i4>
      </vt:variant>
      <vt:variant>
        <vt:lpwstr/>
      </vt:variant>
      <vt:variant>
        <vt:lpwstr>_Toc290552054</vt:lpwstr>
      </vt:variant>
      <vt:variant>
        <vt:i4>1835063</vt:i4>
      </vt:variant>
      <vt:variant>
        <vt:i4>58</vt:i4>
      </vt:variant>
      <vt:variant>
        <vt:i4>0</vt:i4>
      </vt:variant>
      <vt:variant>
        <vt:i4>5</vt:i4>
      </vt:variant>
      <vt:variant>
        <vt:lpwstr/>
      </vt:variant>
      <vt:variant>
        <vt:lpwstr>_Toc290552053</vt:lpwstr>
      </vt:variant>
      <vt:variant>
        <vt:i4>1835063</vt:i4>
      </vt:variant>
      <vt:variant>
        <vt:i4>52</vt:i4>
      </vt:variant>
      <vt:variant>
        <vt:i4>0</vt:i4>
      </vt:variant>
      <vt:variant>
        <vt:i4>5</vt:i4>
      </vt:variant>
      <vt:variant>
        <vt:lpwstr/>
      </vt:variant>
      <vt:variant>
        <vt:lpwstr>_Toc290552052</vt:lpwstr>
      </vt:variant>
      <vt:variant>
        <vt:i4>1835063</vt:i4>
      </vt:variant>
      <vt:variant>
        <vt:i4>46</vt:i4>
      </vt:variant>
      <vt:variant>
        <vt:i4>0</vt:i4>
      </vt:variant>
      <vt:variant>
        <vt:i4>5</vt:i4>
      </vt:variant>
      <vt:variant>
        <vt:lpwstr/>
      </vt:variant>
      <vt:variant>
        <vt:lpwstr>_Toc290552051</vt:lpwstr>
      </vt:variant>
      <vt:variant>
        <vt:i4>1835063</vt:i4>
      </vt:variant>
      <vt:variant>
        <vt:i4>40</vt:i4>
      </vt:variant>
      <vt:variant>
        <vt:i4>0</vt:i4>
      </vt:variant>
      <vt:variant>
        <vt:i4>5</vt:i4>
      </vt:variant>
      <vt:variant>
        <vt:lpwstr/>
      </vt:variant>
      <vt:variant>
        <vt:lpwstr>_Toc290552050</vt:lpwstr>
      </vt:variant>
      <vt:variant>
        <vt:i4>1900599</vt:i4>
      </vt:variant>
      <vt:variant>
        <vt:i4>34</vt:i4>
      </vt:variant>
      <vt:variant>
        <vt:i4>0</vt:i4>
      </vt:variant>
      <vt:variant>
        <vt:i4>5</vt:i4>
      </vt:variant>
      <vt:variant>
        <vt:lpwstr/>
      </vt:variant>
      <vt:variant>
        <vt:lpwstr>_Toc290552049</vt:lpwstr>
      </vt:variant>
      <vt:variant>
        <vt:i4>1900599</vt:i4>
      </vt:variant>
      <vt:variant>
        <vt:i4>28</vt:i4>
      </vt:variant>
      <vt:variant>
        <vt:i4>0</vt:i4>
      </vt:variant>
      <vt:variant>
        <vt:i4>5</vt:i4>
      </vt:variant>
      <vt:variant>
        <vt:lpwstr/>
      </vt:variant>
      <vt:variant>
        <vt:lpwstr>_Toc290552048</vt:lpwstr>
      </vt:variant>
      <vt:variant>
        <vt:i4>1900599</vt:i4>
      </vt:variant>
      <vt:variant>
        <vt:i4>22</vt:i4>
      </vt:variant>
      <vt:variant>
        <vt:i4>0</vt:i4>
      </vt:variant>
      <vt:variant>
        <vt:i4>5</vt:i4>
      </vt:variant>
      <vt:variant>
        <vt:lpwstr/>
      </vt:variant>
      <vt:variant>
        <vt:lpwstr>_Toc290552047</vt:lpwstr>
      </vt:variant>
      <vt:variant>
        <vt:i4>1900599</vt:i4>
      </vt:variant>
      <vt:variant>
        <vt:i4>16</vt:i4>
      </vt:variant>
      <vt:variant>
        <vt:i4>0</vt:i4>
      </vt:variant>
      <vt:variant>
        <vt:i4>5</vt:i4>
      </vt:variant>
      <vt:variant>
        <vt:lpwstr/>
      </vt:variant>
      <vt:variant>
        <vt:lpwstr>_Toc290552046</vt:lpwstr>
      </vt:variant>
      <vt:variant>
        <vt:i4>1900599</vt:i4>
      </vt:variant>
      <vt:variant>
        <vt:i4>10</vt:i4>
      </vt:variant>
      <vt:variant>
        <vt:i4>0</vt:i4>
      </vt:variant>
      <vt:variant>
        <vt:i4>5</vt:i4>
      </vt:variant>
      <vt:variant>
        <vt:lpwstr/>
      </vt:variant>
      <vt:variant>
        <vt:lpwstr>_Toc290552045</vt:lpwstr>
      </vt:variant>
      <vt:variant>
        <vt:i4>1900599</vt:i4>
      </vt:variant>
      <vt:variant>
        <vt:i4>4</vt:i4>
      </vt:variant>
      <vt:variant>
        <vt:i4>0</vt:i4>
      </vt:variant>
      <vt:variant>
        <vt:i4>5</vt:i4>
      </vt:variant>
      <vt:variant>
        <vt:lpwstr/>
      </vt:variant>
      <vt:variant>
        <vt:lpwstr>_Toc290552044</vt:lpwstr>
      </vt:variant>
      <vt:variant>
        <vt:i4>4522078</vt:i4>
      </vt:variant>
      <vt:variant>
        <vt:i4>0</vt:i4>
      </vt:variant>
      <vt:variant>
        <vt:i4>0</vt:i4>
      </vt:variant>
      <vt:variant>
        <vt:i4>5</vt:i4>
      </vt:variant>
      <vt:variant>
        <vt:lpwstr>http://www.baltimorecity.gov/Portals/0/Charter and Codes/Code/Art 00 - Zoning.pdf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2011-05-04T17:00:00Z</dcterms:created>
  <dcterms:modified xsi:type="dcterms:W3CDTF">2011-05-04T17:00:00Z</dcterms:modified>
</cp:coreProperties>
</file>