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D0" w:rsidRDefault="002978D0" w:rsidP="003D4381">
      <w:pPr>
        <w:tabs>
          <w:tab w:val="left" w:pos="1620"/>
        </w:tabs>
        <w:ind w:left="1620" w:hanging="1620"/>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-2540</wp:posOffset>
            </wp:positionV>
            <wp:extent cx="954405" cy="783590"/>
            <wp:effectExtent l="0" t="0" r="0" b="0"/>
            <wp:wrapThrough wrapText="bothSides">
              <wp:wrapPolygon edited="0">
                <wp:start x="0" y="0"/>
                <wp:lineTo x="0" y="21005"/>
                <wp:lineTo x="21126" y="21005"/>
                <wp:lineTo x="211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4405" cy="783590"/>
                    </a:xfrm>
                    <a:prstGeom prst="rect">
                      <a:avLst/>
                    </a:prstGeom>
                    <a:noFill/>
                    <a:ln w="9525">
                      <a:noFill/>
                      <a:miter lim="800000"/>
                      <a:headEnd/>
                      <a:tailEnd/>
                    </a:ln>
                  </pic:spPr>
                </pic:pic>
              </a:graphicData>
            </a:graphic>
          </wp:anchor>
        </w:drawing>
      </w:r>
      <w:r>
        <w:t xml:space="preserve"> </w:t>
      </w:r>
    </w:p>
    <w:p w:rsidR="002978D0" w:rsidRDefault="002978D0" w:rsidP="003D4381">
      <w:pPr>
        <w:tabs>
          <w:tab w:val="left" w:pos="1620"/>
        </w:tabs>
        <w:ind w:left="1620" w:hanging="1620"/>
      </w:pPr>
    </w:p>
    <w:p w:rsidR="00EF134B" w:rsidRDefault="002978D0" w:rsidP="003D4381">
      <w:pPr>
        <w:tabs>
          <w:tab w:val="left" w:pos="1620"/>
        </w:tabs>
        <w:ind w:left="1627" w:hanging="1530"/>
        <w:rPr>
          <w:b/>
          <w:bCs/>
          <w:color w:val="000000"/>
          <w:szCs w:val="24"/>
        </w:rPr>
      </w:pPr>
      <w:r w:rsidRPr="001E2B0D">
        <w:rPr>
          <w:b/>
          <w:bCs/>
          <w:color w:val="000000"/>
          <w:szCs w:val="24"/>
        </w:rPr>
        <w:t>U.S. Department of Justice</w:t>
      </w:r>
    </w:p>
    <w:p w:rsidR="003D4381" w:rsidRDefault="002978D0" w:rsidP="003D4381">
      <w:pPr>
        <w:tabs>
          <w:tab w:val="left" w:pos="1620"/>
        </w:tabs>
        <w:ind w:left="1627" w:hanging="1530"/>
        <w:rPr>
          <w:i/>
          <w:color w:val="000000"/>
          <w:szCs w:val="24"/>
        </w:rPr>
      </w:pPr>
      <w:r w:rsidRPr="003D4381">
        <w:rPr>
          <w:i/>
          <w:color w:val="000000"/>
          <w:szCs w:val="24"/>
        </w:rPr>
        <w:t>Civil Rights Division</w:t>
      </w:r>
    </w:p>
    <w:p w:rsidR="00FB5600" w:rsidRDefault="00FB5600" w:rsidP="003D4381">
      <w:pPr>
        <w:tabs>
          <w:tab w:val="left" w:pos="1620"/>
        </w:tabs>
        <w:ind w:left="1627" w:hanging="1530"/>
        <w:jc w:val="right"/>
        <w:rPr>
          <w:sz w:val="22"/>
          <w:szCs w:val="22"/>
        </w:rPr>
      </w:pPr>
    </w:p>
    <w:p w:rsidR="00FB5600" w:rsidRDefault="00FB5600" w:rsidP="003D4381">
      <w:pPr>
        <w:tabs>
          <w:tab w:val="left" w:pos="1620"/>
        </w:tabs>
        <w:ind w:left="1627" w:hanging="1530"/>
        <w:jc w:val="right"/>
        <w:rPr>
          <w:sz w:val="22"/>
          <w:szCs w:val="22"/>
        </w:rPr>
      </w:pPr>
    </w:p>
    <w:p w:rsidR="00FB5600" w:rsidRDefault="00FB5600" w:rsidP="003D4381">
      <w:pPr>
        <w:tabs>
          <w:tab w:val="left" w:pos="1620"/>
        </w:tabs>
        <w:ind w:left="1627" w:hanging="1530"/>
        <w:jc w:val="right"/>
        <w:rPr>
          <w:sz w:val="22"/>
          <w:szCs w:val="22"/>
        </w:rPr>
      </w:pPr>
    </w:p>
    <w:p w:rsidR="00FB5600" w:rsidRDefault="00FB5600" w:rsidP="003D4381">
      <w:pPr>
        <w:tabs>
          <w:tab w:val="left" w:pos="1620"/>
        </w:tabs>
        <w:ind w:left="1627" w:hanging="1530"/>
        <w:jc w:val="right"/>
        <w:rPr>
          <w:sz w:val="22"/>
          <w:szCs w:val="22"/>
        </w:rPr>
      </w:pPr>
    </w:p>
    <w:p w:rsidR="00FB5600" w:rsidRDefault="00FB5600" w:rsidP="003D4381">
      <w:pPr>
        <w:tabs>
          <w:tab w:val="left" w:pos="1620"/>
        </w:tabs>
        <w:ind w:left="1627" w:hanging="1530"/>
        <w:jc w:val="right"/>
        <w:rPr>
          <w:sz w:val="22"/>
          <w:szCs w:val="22"/>
        </w:rPr>
      </w:pPr>
      <w:r>
        <w:rPr>
          <w:noProof/>
        </w:rPr>
        <w:lastRenderedPageBreak/>
        <w:drawing>
          <wp:anchor distT="0" distB="0" distL="114300" distR="114300" simplePos="0" relativeHeight="251659264" behindDoc="0" locked="0" layoutInCell="1" allowOverlap="1">
            <wp:simplePos x="0" y="0"/>
            <wp:positionH relativeFrom="column">
              <wp:posOffset>2423160</wp:posOffset>
            </wp:positionH>
            <wp:positionV relativeFrom="paragraph">
              <wp:posOffset>-66675</wp:posOffset>
            </wp:positionV>
            <wp:extent cx="895350" cy="914400"/>
            <wp:effectExtent l="19050" t="0" r="0" b="0"/>
            <wp:wrapNone/>
            <wp:docPr id="3" name="Picture 3" descr="Blue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HHS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anchor>
        </w:drawing>
      </w:r>
    </w:p>
    <w:p w:rsidR="00FB5600" w:rsidRDefault="00FB5600" w:rsidP="003D4381">
      <w:pPr>
        <w:tabs>
          <w:tab w:val="left" w:pos="1620"/>
        </w:tabs>
        <w:ind w:left="1627" w:hanging="1530"/>
        <w:jc w:val="right"/>
        <w:rPr>
          <w:sz w:val="22"/>
          <w:szCs w:val="22"/>
        </w:rPr>
      </w:pPr>
    </w:p>
    <w:p w:rsidR="002978D0" w:rsidRPr="00FB5600" w:rsidRDefault="002978D0" w:rsidP="00FB5600">
      <w:pPr>
        <w:tabs>
          <w:tab w:val="left" w:pos="1620"/>
        </w:tabs>
        <w:ind w:left="1627" w:right="1800" w:hanging="1530"/>
        <w:jc w:val="right"/>
        <w:rPr>
          <w:b/>
          <w:i/>
          <w:color w:val="000000"/>
          <w:szCs w:val="24"/>
        </w:rPr>
      </w:pPr>
      <w:r w:rsidRPr="00FB5600">
        <w:rPr>
          <w:b/>
          <w:szCs w:val="24"/>
        </w:rPr>
        <w:t>Department of Health and Human Services</w:t>
      </w:r>
    </w:p>
    <w:p w:rsidR="002978D0" w:rsidRDefault="002978D0" w:rsidP="00FB5600">
      <w:pPr>
        <w:ind w:right="1800"/>
        <w:jc w:val="right"/>
        <w:rPr>
          <w:i/>
        </w:rPr>
      </w:pPr>
      <w:r>
        <w:rPr>
          <w:i/>
        </w:rPr>
        <w:t>Office for Civil Rights</w:t>
      </w:r>
    </w:p>
    <w:p w:rsidR="00FB5600" w:rsidRDefault="00FB5600" w:rsidP="00FB5600">
      <w:pPr>
        <w:jc w:val="right"/>
        <w:rPr>
          <w:i/>
        </w:rPr>
      </w:pPr>
    </w:p>
    <w:p w:rsidR="00FB5600" w:rsidRDefault="00FB5600" w:rsidP="00FB5600">
      <w:pPr>
        <w:jc w:val="right"/>
        <w:rPr>
          <w:i/>
        </w:rPr>
      </w:pPr>
    </w:p>
    <w:p w:rsidR="00FB5600" w:rsidRDefault="00FB5600" w:rsidP="00FB5600">
      <w:pPr>
        <w:jc w:val="right"/>
        <w:rPr>
          <w:i/>
        </w:rPr>
      </w:pPr>
    </w:p>
    <w:p w:rsidR="00FB5600" w:rsidRPr="00FB5600" w:rsidRDefault="00FB5600" w:rsidP="00FB5600">
      <w:pPr>
        <w:jc w:val="right"/>
        <w:rPr>
          <w:i/>
        </w:rPr>
        <w:sectPr w:rsidR="00FB5600" w:rsidRPr="00FB5600" w:rsidSect="003D4381">
          <w:headerReference w:type="default" r:id="rId9"/>
          <w:footerReference w:type="default" r:id="rId10"/>
          <w:footerReference w:type="first" r:id="rId11"/>
          <w:pgSz w:w="12240" w:h="15840"/>
          <w:pgMar w:top="432" w:right="180" w:bottom="1440" w:left="1170" w:header="432" w:footer="720" w:gutter="0"/>
          <w:cols w:num="2" w:space="90"/>
          <w:titlePg/>
          <w:docGrid w:linePitch="360"/>
        </w:sectPr>
      </w:pPr>
    </w:p>
    <w:p w:rsidR="002978D0" w:rsidRDefault="002978D0" w:rsidP="00EF134B"/>
    <w:p w:rsidR="004B4E15" w:rsidRDefault="001457C8" w:rsidP="004C20DB">
      <w:pPr>
        <w:ind w:left="4320" w:firstLine="720"/>
        <w:jc w:val="center"/>
      </w:pPr>
      <w:r>
        <w:t>December 15, 2014</w:t>
      </w:r>
    </w:p>
    <w:p w:rsidR="00F620E4" w:rsidRDefault="00F620E4" w:rsidP="00EF134B"/>
    <w:p w:rsidR="00F620E4" w:rsidRDefault="00F620E4" w:rsidP="00EF134B"/>
    <w:p w:rsidR="00F620E4" w:rsidRDefault="00F620E4" w:rsidP="00EF134B">
      <w:pPr>
        <w:rPr>
          <w:szCs w:val="24"/>
        </w:rPr>
      </w:pPr>
      <w:r w:rsidRPr="006626B2">
        <w:rPr>
          <w:szCs w:val="24"/>
        </w:rPr>
        <w:t>Dear Colleague:</w:t>
      </w:r>
    </w:p>
    <w:p w:rsidR="00EF134B" w:rsidRDefault="00EF134B" w:rsidP="00EF134B">
      <w:pPr>
        <w:rPr>
          <w:szCs w:val="24"/>
        </w:rPr>
      </w:pPr>
    </w:p>
    <w:p w:rsidR="00EF134B" w:rsidRPr="006626B2" w:rsidRDefault="00EF134B" w:rsidP="00EF134B">
      <w:pPr>
        <w:rPr>
          <w:szCs w:val="24"/>
        </w:rPr>
        <w:sectPr w:rsidR="00EF134B" w:rsidRPr="006626B2" w:rsidSect="002978D0">
          <w:type w:val="continuous"/>
          <w:pgSz w:w="12240" w:h="15840"/>
          <w:pgMar w:top="432" w:right="1440" w:bottom="1440" w:left="1440" w:header="432" w:footer="720" w:gutter="0"/>
          <w:cols w:space="720"/>
          <w:titlePg/>
          <w:docGrid w:linePitch="360"/>
        </w:sectPr>
      </w:pPr>
    </w:p>
    <w:p w:rsidR="00400BE4" w:rsidRDefault="00400BE4" w:rsidP="00EF134B">
      <w:pPr>
        <w:rPr>
          <w:szCs w:val="24"/>
        </w:rPr>
      </w:pPr>
      <w:bookmarkStart w:id="0" w:name="Indicator"/>
      <w:bookmarkEnd w:id="0"/>
      <w:r w:rsidRPr="006626B2">
        <w:rPr>
          <w:szCs w:val="24"/>
        </w:rPr>
        <w:lastRenderedPageBreak/>
        <w:t xml:space="preserve">On October 1, 2013, the Department of Labor promulgated a rule extending </w:t>
      </w:r>
      <w:r>
        <w:rPr>
          <w:szCs w:val="24"/>
        </w:rPr>
        <w:t xml:space="preserve">the </w:t>
      </w:r>
      <w:r w:rsidRPr="006626B2">
        <w:rPr>
          <w:szCs w:val="24"/>
        </w:rPr>
        <w:t>minimum wage and overtime protections of the Fair Labor Standards Act</w:t>
      </w:r>
      <w:r>
        <w:rPr>
          <w:szCs w:val="24"/>
        </w:rPr>
        <w:t xml:space="preserve"> (FLSA)</w:t>
      </w:r>
      <w:r w:rsidRPr="006626B2">
        <w:rPr>
          <w:szCs w:val="24"/>
        </w:rPr>
        <w:t xml:space="preserve"> to </w:t>
      </w:r>
      <w:r>
        <w:rPr>
          <w:szCs w:val="24"/>
        </w:rPr>
        <w:t xml:space="preserve">most </w:t>
      </w:r>
      <w:r w:rsidRPr="006626B2">
        <w:rPr>
          <w:szCs w:val="24"/>
        </w:rPr>
        <w:t>home care workers (“Home Care Rule”)</w:t>
      </w:r>
      <w:r w:rsidR="00DD1643">
        <w:rPr>
          <w:szCs w:val="24"/>
        </w:rPr>
        <w:t>.</w:t>
      </w:r>
      <w:r>
        <w:rPr>
          <w:szCs w:val="24"/>
        </w:rPr>
        <w:t xml:space="preserve"> </w:t>
      </w:r>
      <w:r w:rsidR="00DD1643">
        <w:rPr>
          <w:szCs w:val="24"/>
        </w:rPr>
        <w:t xml:space="preserve"> </w:t>
      </w:r>
      <w:proofErr w:type="gramStart"/>
      <w:r w:rsidR="00DD1643">
        <w:rPr>
          <w:szCs w:val="24"/>
        </w:rPr>
        <w:t xml:space="preserve">Application of the Fair Labor Standards Act to Domestic Service, </w:t>
      </w:r>
      <w:r>
        <w:rPr>
          <w:szCs w:val="24"/>
        </w:rPr>
        <w:t>78 Fed.</w:t>
      </w:r>
      <w:proofErr w:type="gramEnd"/>
      <w:r>
        <w:rPr>
          <w:szCs w:val="24"/>
        </w:rPr>
        <w:t xml:space="preserve"> Reg. 60,454 (Oct. 1, 2013). </w:t>
      </w:r>
      <w:r w:rsidRPr="006626B2">
        <w:rPr>
          <w:szCs w:val="24"/>
        </w:rPr>
        <w:t xml:space="preserve"> The Home Care Rule becomes effective on January 1, 2015.</w:t>
      </w:r>
      <w:r>
        <w:rPr>
          <w:rStyle w:val="FootnoteReference"/>
          <w:szCs w:val="24"/>
        </w:rPr>
        <w:footnoteReference w:id="1"/>
      </w:r>
      <w:r>
        <w:rPr>
          <w:szCs w:val="24"/>
        </w:rPr>
        <w:t xml:space="preserve">  </w:t>
      </w:r>
    </w:p>
    <w:p w:rsidR="00400BE4" w:rsidRDefault="00400BE4" w:rsidP="00EF134B">
      <w:pPr>
        <w:rPr>
          <w:szCs w:val="24"/>
        </w:rPr>
      </w:pPr>
    </w:p>
    <w:p w:rsidR="00EE7B6D" w:rsidRPr="006626B2" w:rsidRDefault="008B4AB2" w:rsidP="00EF134B">
      <w:pPr>
        <w:rPr>
          <w:szCs w:val="24"/>
        </w:rPr>
      </w:pPr>
      <w:r w:rsidRPr="006626B2">
        <w:rPr>
          <w:szCs w:val="24"/>
        </w:rPr>
        <w:t xml:space="preserve">The </w:t>
      </w:r>
      <w:r w:rsidR="00612468">
        <w:rPr>
          <w:szCs w:val="24"/>
        </w:rPr>
        <w:t xml:space="preserve">Civil Rights Division </w:t>
      </w:r>
      <w:r>
        <w:rPr>
          <w:szCs w:val="24"/>
        </w:rPr>
        <w:t xml:space="preserve">and the Department of Health and Human Services’ Office for Civil Rights </w:t>
      </w:r>
      <w:r w:rsidR="00855CE2">
        <w:rPr>
          <w:szCs w:val="24"/>
        </w:rPr>
        <w:t>(OCR</w:t>
      </w:r>
      <w:r>
        <w:rPr>
          <w:szCs w:val="24"/>
        </w:rPr>
        <w:t xml:space="preserve">) </w:t>
      </w:r>
      <w:r w:rsidR="00400BE4">
        <w:rPr>
          <w:szCs w:val="24"/>
        </w:rPr>
        <w:t>recognize the importance of ensuring adequate workplace protections for home care workers, who provid</w:t>
      </w:r>
      <w:r w:rsidR="00CE12D1">
        <w:rPr>
          <w:szCs w:val="24"/>
        </w:rPr>
        <w:t xml:space="preserve">e critical services to millions </w:t>
      </w:r>
      <w:r w:rsidR="00400BE4">
        <w:rPr>
          <w:szCs w:val="24"/>
        </w:rPr>
        <w:t xml:space="preserve">of Americans.  At the same time, it is important that </w:t>
      </w:r>
      <w:r w:rsidRPr="006626B2">
        <w:rPr>
          <w:szCs w:val="24"/>
        </w:rPr>
        <w:t xml:space="preserve">states </w:t>
      </w:r>
      <w:r w:rsidR="00400BE4">
        <w:rPr>
          <w:szCs w:val="24"/>
        </w:rPr>
        <w:t xml:space="preserve">implement the </w:t>
      </w:r>
      <w:r w:rsidR="00A109C3">
        <w:rPr>
          <w:szCs w:val="24"/>
        </w:rPr>
        <w:t xml:space="preserve">Department of Labor’s </w:t>
      </w:r>
      <w:r w:rsidR="00400BE4">
        <w:rPr>
          <w:szCs w:val="24"/>
        </w:rPr>
        <w:t xml:space="preserve">rule in ways that </w:t>
      </w:r>
      <w:r w:rsidR="00594EDF">
        <w:rPr>
          <w:szCs w:val="24"/>
        </w:rPr>
        <w:t xml:space="preserve">also </w:t>
      </w:r>
      <w:r w:rsidR="00400BE4">
        <w:rPr>
          <w:szCs w:val="24"/>
        </w:rPr>
        <w:t xml:space="preserve">comply with </w:t>
      </w:r>
      <w:r w:rsidR="00855CE2">
        <w:rPr>
          <w:szCs w:val="24"/>
        </w:rPr>
        <w:t xml:space="preserve">their obligations under </w:t>
      </w:r>
      <w:r w:rsidR="00855CE2" w:rsidRPr="00DA3C77">
        <w:rPr>
          <w:szCs w:val="24"/>
        </w:rPr>
        <w:t>Title II of the Americans with Disabilities Act</w:t>
      </w:r>
      <w:r w:rsidR="00855CE2">
        <w:rPr>
          <w:szCs w:val="24"/>
        </w:rPr>
        <w:t xml:space="preserve"> </w:t>
      </w:r>
      <w:r w:rsidR="00EF134B">
        <w:rPr>
          <w:szCs w:val="24"/>
        </w:rPr>
        <w:t>(ADA)</w:t>
      </w:r>
      <w:r w:rsidR="00400BE4">
        <w:rPr>
          <w:szCs w:val="24"/>
        </w:rPr>
        <w:t>.</w:t>
      </w:r>
      <w:r w:rsidR="00EF134B">
        <w:rPr>
          <w:szCs w:val="24"/>
        </w:rPr>
        <w:t xml:space="preserve"> </w:t>
      </w:r>
      <w:r>
        <w:t xml:space="preserve"> </w:t>
      </w:r>
      <w:r w:rsidR="00400BE4">
        <w:t>In particular, because h</w:t>
      </w:r>
      <w:r w:rsidR="00400BE4" w:rsidRPr="006626B2">
        <w:rPr>
          <w:szCs w:val="24"/>
        </w:rPr>
        <w:t>ome care workers, such as personal care assistants and home health aides, often provide essential services that enable people with disabilities to live in their own homes and communities instead of in institutions</w:t>
      </w:r>
      <w:r w:rsidR="00400BE4">
        <w:rPr>
          <w:szCs w:val="24"/>
        </w:rPr>
        <w:t>,</w:t>
      </w:r>
      <w:r w:rsidR="00400BE4" w:rsidRPr="006626B2">
        <w:rPr>
          <w:szCs w:val="24"/>
        </w:rPr>
        <w:t xml:space="preserve"> </w:t>
      </w:r>
      <w:r w:rsidR="00400BE4">
        <w:t>s</w:t>
      </w:r>
      <w:r>
        <w:t xml:space="preserve">tates should consider whether reasonable modifications are necessary to avoid placing individuals who receive home care services at serious risk of institutionalization or segregation.  </w:t>
      </w:r>
    </w:p>
    <w:p w:rsidR="00EF134B" w:rsidRDefault="00EF134B" w:rsidP="00EF134B">
      <w:pPr>
        <w:rPr>
          <w:szCs w:val="24"/>
        </w:rPr>
      </w:pPr>
    </w:p>
    <w:p w:rsidR="00344609" w:rsidRDefault="00DA3C77" w:rsidP="00EF134B">
      <w:pPr>
        <w:rPr>
          <w:szCs w:val="24"/>
        </w:rPr>
      </w:pPr>
      <w:r w:rsidRPr="00DA3C77">
        <w:rPr>
          <w:szCs w:val="24"/>
        </w:rPr>
        <w:t xml:space="preserve">The Department of Justice </w:t>
      </w:r>
      <w:r w:rsidR="00C123BB">
        <w:rPr>
          <w:szCs w:val="24"/>
        </w:rPr>
        <w:t xml:space="preserve">and OCR </w:t>
      </w:r>
      <w:r w:rsidRPr="00DA3C77">
        <w:rPr>
          <w:szCs w:val="24"/>
        </w:rPr>
        <w:t>enforce the rights of people with disabilities to live integrated lives free from unnecessary segregation in institutions.  Specifically, Title II of the</w:t>
      </w:r>
      <w:r w:rsidR="00D21632">
        <w:rPr>
          <w:szCs w:val="24"/>
        </w:rPr>
        <w:t xml:space="preserve"> ADA</w:t>
      </w:r>
      <w:r w:rsidRPr="00DA3C77">
        <w:rPr>
          <w:szCs w:val="24"/>
        </w:rPr>
        <w:t xml:space="preserve"> requires that “no qualified individual with a disability shall, by reason of such disability, be excluded from participation in or be denied the benefits of the services, programs, or activities of a public entity, or be subjected to discrimination by any such entity.”</w:t>
      </w:r>
      <w:r w:rsidR="004F463B">
        <w:rPr>
          <w:rStyle w:val="FootnoteReference"/>
          <w:szCs w:val="24"/>
        </w:rPr>
        <w:footnoteReference w:id="2"/>
      </w:r>
      <w:r w:rsidRPr="00DA3C77">
        <w:rPr>
          <w:szCs w:val="24"/>
        </w:rPr>
        <w:t xml:space="preserve">  As directed by Congress, the Attorney General issued regulations implementing Title</w:t>
      </w:r>
      <w:r w:rsidR="006D32E5">
        <w:rPr>
          <w:szCs w:val="24"/>
        </w:rPr>
        <w:t> </w:t>
      </w:r>
      <w:r w:rsidRPr="00DA3C77">
        <w:rPr>
          <w:szCs w:val="24"/>
        </w:rPr>
        <w:t>II, which are based on regulations issued under section 504 of the Rehabilitation Act.</w:t>
      </w:r>
      <w:r w:rsidR="00D21632">
        <w:rPr>
          <w:rStyle w:val="FootnoteReference"/>
          <w:szCs w:val="24"/>
        </w:rPr>
        <w:footnoteReference w:id="3"/>
      </w:r>
      <w:r w:rsidR="00AF4E36">
        <w:rPr>
          <w:szCs w:val="24"/>
        </w:rPr>
        <w:t xml:space="preserve"> </w:t>
      </w:r>
      <w:r w:rsidR="00DD1643">
        <w:rPr>
          <w:szCs w:val="24"/>
        </w:rPr>
        <w:t xml:space="preserve"> </w:t>
      </w:r>
      <w:r w:rsidRPr="00DA3C77">
        <w:rPr>
          <w:szCs w:val="24"/>
        </w:rPr>
        <w:t xml:space="preserve">The Title II regulations require public entities to “administer services, programs, and activities in the most integrated setting </w:t>
      </w:r>
      <w:r w:rsidRPr="00DA3C77">
        <w:rPr>
          <w:szCs w:val="24"/>
        </w:rPr>
        <w:lastRenderedPageBreak/>
        <w:t>appropriate to the needs of qualified individuals with disabilities.”</w:t>
      </w:r>
      <w:r w:rsidR="00D21632">
        <w:rPr>
          <w:rStyle w:val="FootnoteReference"/>
          <w:szCs w:val="24"/>
        </w:rPr>
        <w:footnoteReference w:id="4"/>
      </w:r>
      <w:r w:rsidR="00AF4E36">
        <w:rPr>
          <w:szCs w:val="24"/>
        </w:rPr>
        <w:t xml:space="preserve"> </w:t>
      </w:r>
      <w:r w:rsidR="00DD1643">
        <w:rPr>
          <w:szCs w:val="24"/>
        </w:rPr>
        <w:t xml:space="preserve"> </w:t>
      </w:r>
      <w:r w:rsidRPr="00DA3C77">
        <w:rPr>
          <w:szCs w:val="24"/>
        </w:rPr>
        <w:t xml:space="preserve">The preamble discussion of the “integration regulation” explains that “the most integrated setting” is one that “enables individuals with disabilities to interact with nondisabled persons to the fullest extent </w:t>
      </w:r>
    </w:p>
    <w:p w:rsidR="00DA3C77" w:rsidRPr="006626B2" w:rsidRDefault="00DA3C77" w:rsidP="00EF134B">
      <w:pPr>
        <w:rPr>
          <w:szCs w:val="24"/>
        </w:rPr>
      </w:pPr>
      <w:bookmarkStart w:id="1" w:name="_GoBack"/>
      <w:bookmarkEnd w:id="1"/>
      <w:r w:rsidRPr="00DA3C77">
        <w:rPr>
          <w:szCs w:val="24"/>
        </w:rPr>
        <w:t>possible . . . .”</w:t>
      </w:r>
      <w:r w:rsidR="00D21632">
        <w:rPr>
          <w:szCs w:val="24"/>
        </w:rPr>
        <w:t xml:space="preserve"> </w:t>
      </w:r>
      <w:r w:rsidR="00D21632">
        <w:rPr>
          <w:rStyle w:val="FootnoteReference"/>
          <w:szCs w:val="24"/>
        </w:rPr>
        <w:footnoteReference w:id="5"/>
      </w:r>
    </w:p>
    <w:p w:rsidR="00EF134B" w:rsidRDefault="00EF134B" w:rsidP="00EF134B">
      <w:pPr>
        <w:rPr>
          <w:szCs w:val="24"/>
        </w:rPr>
      </w:pPr>
    </w:p>
    <w:p w:rsidR="00B37437" w:rsidRDefault="006626B2" w:rsidP="00EF134B">
      <w:pPr>
        <w:keepNext/>
        <w:keepLines/>
        <w:rPr>
          <w:szCs w:val="24"/>
        </w:rPr>
      </w:pPr>
      <w:r w:rsidRPr="006626B2">
        <w:rPr>
          <w:szCs w:val="24"/>
        </w:rPr>
        <w:t xml:space="preserve">In </w:t>
      </w:r>
      <w:r w:rsidRPr="006626B2">
        <w:rPr>
          <w:i/>
          <w:iCs/>
          <w:szCs w:val="24"/>
        </w:rPr>
        <w:t>Olmstead v. L.C.</w:t>
      </w:r>
      <w:r w:rsidRPr="006626B2">
        <w:rPr>
          <w:szCs w:val="24"/>
        </w:rPr>
        <w:t xml:space="preserve">, 527 U.S. 581 (1999), the Supreme Court held that </w:t>
      </w:r>
      <w:r w:rsidR="00BD32C8">
        <w:rPr>
          <w:szCs w:val="24"/>
        </w:rPr>
        <w:t>T</w:t>
      </w:r>
      <w:r w:rsidRPr="006626B2">
        <w:rPr>
          <w:szCs w:val="24"/>
        </w:rPr>
        <w:t>itle II</w:t>
      </w:r>
      <w:r w:rsidR="00EC4074">
        <w:rPr>
          <w:szCs w:val="24"/>
        </w:rPr>
        <w:t>’s integration mandate</w:t>
      </w:r>
      <w:r w:rsidRPr="006626B2">
        <w:rPr>
          <w:szCs w:val="24"/>
        </w:rPr>
        <w:t xml:space="preserve"> prohibits</w:t>
      </w:r>
      <w:r w:rsidR="00EC4074">
        <w:rPr>
          <w:szCs w:val="24"/>
        </w:rPr>
        <w:t xml:space="preserve"> </w:t>
      </w:r>
      <w:r w:rsidRPr="006626B2">
        <w:rPr>
          <w:szCs w:val="24"/>
        </w:rPr>
        <w:t xml:space="preserve">the unjustified segregation of individuals with disabilities. </w:t>
      </w:r>
      <w:r w:rsidR="00DD1643">
        <w:rPr>
          <w:szCs w:val="24"/>
        </w:rPr>
        <w:t xml:space="preserve"> </w:t>
      </w:r>
      <w:r w:rsidR="00EC4074">
        <w:rPr>
          <w:szCs w:val="24"/>
        </w:rPr>
        <w:t xml:space="preserve">Furthermore, </w:t>
      </w:r>
      <w:r w:rsidR="00F11858">
        <w:rPr>
          <w:szCs w:val="24"/>
        </w:rPr>
        <w:t>compliance</w:t>
      </w:r>
      <w:r w:rsidRPr="006626B2">
        <w:rPr>
          <w:szCs w:val="24"/>
        </w:rPr>
        <w:t xml:space="preserve"> with </w:t>
      </w:r>
      <w:r w:rsidR="00EC4074">
        <w:rPr>
          <w:szCs w:val="24"/>
        </w:rPr>
        <w:t xml:space="preserve">Title II’s </w:t>
      </w:r>
      <w:r w:rsidR="00F11858">
        <w:rPr>
          <w:szCs w:val="24"/>
        </w:rPr>
        <w:t>integration mandate requires that</w:t>
      </w:r>
      <w:r w:rsidRPr="006626B2">
        <w:rPr>
          <w:szCs w:val="24"/>
        </w:rPr>
        <w:t xml:space="preserve"> public entities reasonably modify</w:t>
      </w:r>
      <w:r w:rsidR="00EC4074">
        <w:rPr>
          <w:szCs w:val="24"/>
        </w:rPr>
        <w:t xml:space="preserve"> </w:t>
      </w:r>
      <w:r w:rsidRPr="006626B2">
        <w:rPr>
          <w:szCs w:val="24"/>
        </w:rPr>
        <w:t>their policies, procedures</w:t>
      </w:r>
      <w:r w:rsidR="00D05EA6">
        <w:rPr>
          <w:szCs w:val="24"/>
        </w:rPr>
        <w:t>,</w:t>
      </w:r>
      <w:r w:rsidRPr="006626B2">
        <w:rPr>
          <w:szCs w:val="24"/>
        </w:rPr>
        <w:t xml:space="preserve"> or practices when necessary to avoid discrimination.</w:t>
      </w:r>
      <w:r w:rsidR="00D04ACB">
        <w:rPr>
          <w:rStyle w:val="FootnoteReference"/>
          <w:szCs w:val="24"/>
        </w:rPr>
        <w:footnoteReference w:id="6"/>
      </w:r>
      <w:r w:rsidR="00D05EA6">
        <w:rPr>
          <w:szCs w:val="24"/>
        </w:rPr>
        <w:t xml:space="preserve"> </w:t>
      </w:r>
      <w:r w:rsidRPr="006626B2">
        <w:rPr>
          <w:szCs w:val="24"/>
        </w:rPr>
        <w:t xml:space="preserve"> The obligation to make reasonable modifications may be excused only where the public entity demonstrates that the requested modifications would “fundamentally alter” its service system.</w:t>
      </w:r>
      <w:r w:rsidR="00D04ACB">
        <w:rPr>
          <w:rStyle w:val="FootnoteReference"/>
          <w:szCs w:val="24"/>
        </w:rPr>
        <w:footnoteReference w:id="7"/>
      </w:r>
    </w:p>
    <w:p w:rsidR="006626B2" w:rsidRPr="006626B2" w:rsidRDefault="006626B2" w:rsidP="00EF134B">
      <w:pPr>
        <w:rPr>
          <w:szCs w:val="24"/>
        </w:rPr>
      </w:pPr>
    </w:p>
    <w:p w:rsidR="006626B2" w:rsidRDefault="00A109C3" w:rsidP="00EF134B">
      <w:pPr>
        <w:rPr>
          <w:szCs w:val="24"/>
        </w:rPr>
      </w:pPr>
      <w:r>
        <w:rPr>
          <w:szCs w:val="24"/>
        </w:rPr>
        <w:t>Moreover, t</w:t>
      </w:r>
      <w:r w:rsidR="006626B2">
        <w:rPr>
          <w:szCs w:val="24"/>
        </w:rPr>
        <w:t xml:space="preserve">he </w:t>
      </w:r>
      <w:r w:rsidR="006626B2" w:rsidRPr="006626B2">
        <w:rPr>
          <w:szCs w:val="24"/>
        </w:rPr>
        <w:t xml:space="preserve">ADA and the </w:t>
      </w:r>
      <w:r w:rsidR="006626B2" w:rsidRPr="006626B2">
        <w:rPr>
          <w:i/>
          <w:iCs/>
          <w:szCs w:val="24"/>
        </w:rPr>
        <w:t xml:space="preserve">Olmstead </w:t>
      </w:r>
      <w:r w:rsidR="006626B2" w:rsidRPr="006626B2">
        <w:rPr>
          <w:szCs w:val="24"/>
        </w:rPr>
        <w:t xml:space="preserve">decision </w:t>
      </w:r>
      <w:r w:rsidR="00D05EA6" w:rsidRPr="006626B2">
        <w:rPr>
          <w:szCs w:val="24"/>
        </w:rPr>
        <w:t>are not limited to individuals currently in institutional or other segregated settings</w:t>
      </w:r>
      <w:r w:rsidR="00D05EA6">
        <w:rPr>
          <w:szCs w:val="24"/>
        </w:rPr>
        <w:t>.  They also</w:t>
      </w:r>
      <w:r w:rsidR="00D05EA6" w:rsidRPr="006626B2" w:rsidDel="00D05EA6">
        <w:rPr>
          <w:szCs w:val="24"/>
        </w:rPr>
        <w:t xml:space="preserve"> </w:t>
      </w:r>
      <w:r w:rsidR="00D05EA6">
        <w:rPr>
          <w:szCs w:val="24"/>
        </w:rPr>
        <w:t>apply</w:t>
      </w:r>
      <w:r w:rsidR="00D05EA6" w:rsidRPr="006626B2">
        <w:rPr>
          <w:szCs w:val="24"/>
        </w:rPr>
        <w:t xml:space="preserve"> </w:t>
      </w:r>
      <w:r w:rsidR="006626B2" w:rsidRPr="006626B2">
        <w:rPr>
          <w:szCs w:val="24"/>
        </w:rPr>
        <w:t xml:space="preserve">to persons at serious risk of </w:t>
      </w:r>
      <w:r w:rsidR="00EC4074" w:rsidRPr="006626B2">
        <w:rPr>
          <w:szCs w:val="24"/>
        </w:rPr>
        <w:t>institutionalization or</w:t>
      </w:r>
      <w:r w:rsidR="006626B2" w:rsidRPr="006626B2">
        <w:rPr>
          <w:szCs w:val="24"/>
        </w:rPr>
        <w:t xml:space="preserve"> segregation.</w:t>
      </w:r>
      <w:r w:rsidR="005623CD">
        <w:rPr>
          <w:szCs w:val="24"/>
        </w:rPr>
        <w:t xml:space="preserve"> </w:t>
      </w:r>
      <w:r w:rsidR="006626B2" w:rsidRPr="006626B2">
        <w:rPr>
          <w:szCs w:val="24"/>
        </w:rPr>
        <w:t xml:space="preserve"> For example, a public entity</w:t>
      </w:r>
      <w:r w:rsidR="005623CD">
        <w:rPr>
          <w:szCs w:val="24"/>
        </w:rPr>
        <w:t xml:space="preserve"> could violate </w:t>
      </w:r>
      <w:r w:rsidR="005623CD">
        <w:rPr>
          <w:i/>
          <w:szCs w:val="24"/>
        </w:rPr>
        <w:t xml:space="preserve">Olmstead </w:t>
      </w:r>
      <w:r w:rsidR="005623CD">
        <w:rPr>
          <w:szCs w:val="24"/>
        </w:rPr>
        <w:t xml:space="preserve">if it fails </w:t>
      </w:r>
      <w:r w:rsidR="006626B2" w:rsidRPr="006626B2">
        <w:rPr>
          <w:szCs w:val="24"/>
        </w:rPr>
        <w:t>to provide community services</w:t>
      </w:r>
      <w:r w:rsidR="005623CD">
        <w:rPr>
          <w:szCs w:val="24"/>
        </w:rPr>
        <w:t xml:space="preserve">, </w:t>
      </w:r>
      <w:r w:rsidR="006626B2" w:rsidRPr="006626B2">
        <w:rPr>
          <w:szCs w:val="24"/>
        </w:rPr>
        <w:t xml:space="preserve">or </w:t>
      </w:r>
      <w:r w:rsidR="00D05EA6">
        <w:rPr>
          <w:szCs w:val="24"/>
        </w:rPr>
        <w:t>r</w:t>
      </w:r>
      <w:r w:rsidR="005623CD">
        <w:rPr>
          <w:szCs w:val="24"/>
        </w:rPr>
        <w:t>educes those</w:t>
      </w:r>
      <w:r w:rsidR="006626B2" w:rsidRPr="006626B2">
        <w:rPr>
          <w:szCs w:val="24"/>
        </w:rPr>
        <w:t xml:space="preserve"> services</w:t>
      </w:r>
      <w:r w:rsidR="005623CD">
        <w:rPr>
          <w:szCs w:val="24"/>
        </w:rPr>
        <w:t xml:space="preserve">, in a way </w:t>
      </w:r>
      <w:r w:rsidR="006626B2" w:rsidRPr="006626B2">
        <w:rPr>
          <w:szCs w:val="24"/>
        </w:rPr>
        <w:t xml:space="preserve">likely </w:t>
      </w:r>
      <w:r w:rsidR="005623CD">
        <w:rPr>
          <w:szCs w:val="24"/>
        </w:rPr>
        <w:t xml:space="preserve">to </w:t>
      </w:r>
      <w:r w:rsidR="006626B2" w:rsidRPr="006626B2">
        <w:rPr>
          <w:szCs w:val="24"/>
        </w:rPr>
        <w:t xml:space="preserve">cause a decline in health, safety, or welfare </w:t>
      </w:r>
      <w:r w:rsidR="005623CD">
        <w:rPr>
          <w:szCs w:val="24"/>
        </w:rPr>
        <w:t xml:space="preserve">leading </w:t>
      </w:r>
      <w:r w:rsidR="006626B2" w:rsidRPr="006626B2">
        <w:rPr>
          <w:szCs w:val="24"/>
        </w:rPr>
        <w:t xml:space="preserve">to </w:t>
      </w:r>
      <w:r w:rsidR="00D05EA6">
        <w:rPr>
          <w:szCs w:val="24"/>
        </w:rPr>
        <w:t xml:space="preserve">an </w:t>
      </w:r>
      <w:r w:rsidR="006626B2" w:rsidRPr="006626B2">
        <w:rPr>
          <w:szCs w:val="24"/>
        </w:rPr>
        <w:t>individual’s eventual placement in an institution.</w:t>
      </w:r>
      <w:r w:rsidR="00C426D8">
        <w:rPr>
          <w:szCs w:val="24"/>
        </w:rPr>
        <w:t xml:space="preserve"> </w:t>
      </w:r>
    </w:p>
    <w:p w:rsidR="00B17310" w:rsidRPr="006626B2" w:rsidRDefault="00B17310" w:rsidP="00EF134B">
      <w:pPr>
        <w:rPr>
          <w:szCs w:val="24"/>
        </w:rPr>
      </w:pPr>
    </w:p>
    <w:p w:rsidR="00235752" w:rsidRDefault="00235752" w:rsidP="00EF134B">
      <w:pPr>
        <w:rPr>
          <w:szCs w:val="24"/>
        </w:rPr>
      </w:pPr>
      <w:r>
        <w:rPr>
          <w:szCs w:val="24"/>
        </w:rPr>
        <w:t xml:space="preserve">The Department of Labor’s Home Care Rule narrows the circumstances in which </w:t>
      </w:r>
      <w:r w:rsidRPr="00B17310">
        <w:rPr>
          <w:szCs w:val="24"/>
        </w:rPr>
        <w:t>the companionship services and live-in domestic service employee exemptions</w:t>
      </w:r>
      <w:r>
        <w:rPr>
          <w:szCs w:val="24"/>
        </w:rPr>
        <w:t xml:space="preserve"> from FLSA protections apply, both by updating the definition of “companionship services” and by prohibiting third party employers from claiming either exemption.  Because of these changes, most home care workers, including those providing services through publicly funded programs, will be entitled to receive at least the Federal minimum wage for all hours worked and overtime compensation—one and a half times the worker’s regular hourly rate of pay—for all hours worked over 40 in a workweek.</w:t>
      </w:r>
    </w:p>
    <w:p w:rsidR="00235752" w:rsidRDefault="00235752" w:rsidP="00EF134B">
      <w:pPr>
        <w:rPr>
          <w:szCs w:val="24"/>
        </w:rPr>
      </w:pPr>
    </w:p>
    <w:p w:rsidR="00235752" w:rsidRDefault="00235752" w:rsidP="00EF134B">
      <w:pPr>
        <w:rPr>
          <w:szCs w:val="24"/>
        </w:rPr>
      </w:pPr>
      <w:r>
        <w:rPr>
          <w:szCs w:val="24"/>
        </w:rPr>
        <w:t xml:space="preserve">Implementation of the Home Care Rule </w:t>
      </w:r>
      <w:r w:rsidRPr="00B17310">
        <w:rPr>
          <w:szCs w:val="24"/>
        </w:rPr>
        <w:t>will require each public or private agency that administers or participates in a consumer-directed home care prog</w:t>
      </w:r>
      <w:r>
        <w:rPr>
          <w:szCs w:val="24"/>
        </w:rPr>
        <w:t>ram</w:t>
      </w:r>
      <w:r w:rsidR="00376A4B">
        <w:rPr>
          <w:szCs w:val="24"/>
        </w:rPr>
        <w:t>, including those funded by Medicaid,</w:t>
      </w:r>
      <w:r>
        <w:rPr>
          <w:szCs w:val="24"/>
        </w:rPr>
        <w:t xml:space="preserve"> to evaluate whether it is a joint</w:t>
      </w:r>
      <w:r w:rsidRPr="00B17310">
        <w:rPr>
          <w:szCs w:val="24"/>
        </w:rPr>
        <w:t xml:space="preserve"> employer under the </w:t>
      </w:r>
      <w:r>
        <w:rPr>
          <w:szCs w:val="24"/>
        </w:rPr>
        <w:t>FLSA</w:t>
      </w:r>
      <w:r w:rsidRPr="00B17310">
        <w:rPr>
          <w:szCs w:val="24"/>
        </w:rPr>
        <w:t>.</w:t>
      </w:r>
      <w:r>
        <w:rPr>
          <w:szCs w:val="24"/>
        </w:rPr>
        <w:t xml:space="preserve">  If it is a joint employer, the</w:t>
      </w:r>
      <w:r w:rsidRPr="001B13FC">
        <w:rPr>
          <w:szCs w:val="24"/>
        </w:rPr>
        <w:t xml:space="preserve"> entity </w:t>
      </w:r>
      <w:r w:rsidR="00A109C3">
        <w:rPr>
          <w:szCs w:val="24"/>
        </w:rPr>
        <w:t>will</w:t>
      </w:r>
      <w:r w:rsidRPr="001B13FC">
        <w:rPr>
          <w:szCs w:val="24"/>
        </w:rPr>
        <w:t xml:space="preserve"> then </w:t>
      </w:r>
      <w:r w:rsidR="00A109C3">
        <w:rPr>
          <w:szCs w:val="24"/>
        </w:rPr>
        <w:t xml:space="preserve">be </w:t>
      </w:r>
      <w:r w:rsidRPr="001B13FC">
        <w:rPr>
          <w:szCs w:val="24"/>
        </w:rPr>
        <w:t xml:space="preserve">responsible for compliance with the requirements of the FLSA. </w:t>
      </w:r>
      <w:r>
        <w:rPr>
          <w:szCs w:val="24"/>
        </w:rPr>
        <w:t xml:space="preserve"> </w:t>
      </w:r>
      <w:r w:rsidRPr="001B13FC">
        <w:rPr>
          <w:szCs w:val="24"/>
        </w:rPr>
        <w:t>The Act</w:t>
      </w:r>
      <w:r>
        <w:rPr>
          <w:szCs w:val="24"/>
        </w:rPr>
        <w:t>’s minimum wage requirement applies to</w:t>
      </w:r>
      <w:r w:rsidRPr="001B13FC">
        <w:rPr>
          <w:szCs w:val="24"/>
        </w:rPr>
        <w:t xml:space="preserve"> any time spent traveling between worksites</w:t>
      </w:r>
      <w:r>
        <w:rPr>
          <w:szCs w:val="24"/>
        </w:rPr>
        <w:t>—in the home care context, the consumer’s home—when employed by the same sole or joint employer at each worksite.  The FLSA’s overtime compensation requirement</w:t>
      </w:r>
      <w:r w:rsidRPr="001B13FC">
        <w:rPr>
          <w:szCs w:val="24"/>
        </w:rPr>
        <w:t xml:space="preserve"> includ</w:t>
      </w:r>
      <w:r>
        <w:rPr>
          <w:szCs w:val="24"/>
        </w:rPr>
        <w:t>es</w:t>
      </w:r>
      <w:r w:rsidRPr="001B13FC">
        <w:rPr>
          <w:szCs w:val="24"/>
        </w:rPr>
        <w:t xml:space="preserve">, in the </w:t>
      </w:r>
      <w:r>
        <w:rPr>
          <w:szCs w:val="24"/>
        </w:rPr>
        <w:t>home care</w:t>
      </w:r>
      <w:r w:rsidRPr="001B13FC">
        <w:rPr>
          <w:szCs w:val="24"/>
        </w:rPr>
        <w:t xml:space="preserve"> context, combined hours spent working for more than one consumer as part of the joint employment by the third party entity.</w:t>
      </w:r>
      <w:r>
        <w:rPr>
          <w:szCs w:val="24"/>
        </w:rPr>
        <w:t xml:space="preserve">  More information and guidance regarding the Home Care Rule can be found at: </w:t>
      </w:r>
      <w:r w:rsidR="00FE6DBC" w:rsidRPr="00FE6DBC">
        <w:rPr>
          <w:szCs w:val="24"/>
        </w:rPr>
        <w:t xml:space="preserve">U.S. Dept. of Labor, Wage and Hour Div., </w:t>
      </w:r>
      <w:r w:rsidR="00FE6DBC" w:rsidRPr="00FE6DBC">
        <w:rPr>
          <w:i/>
          <w:szCs w:val="24"/>
        </w:rPr>
        <w:t>We Count on Home Care</w:t>
      </w:r>
      <w:r w:rsidR="00FE6DBC" w:rsidRPr="00FE6DBC">
        <w:rPr>
          <w:szCs w:val="24"/>
        </w:rPr>
        <w:t>, available at: http://www.dol.gov/whd/homecare/</w:t>
      </w:r>
      <w:r w:rsidR="00FE6DBC" w:rsidRPr="00FE6DBC">
        <w:t xml:space="preserve"> (last visited December 5, 2014)</w:t>
      </w:r>
      <w:r w:rsidR="00FE6DBC" w:rsidRPr="00FE6DBC">
        <w:rPr>
          <w:szCs w:val="24"/>
        </w:rPr>
        <w:t>.</w:t>
      </w:r>
    </w:p>
    <w:p w:rsidR="001B13FC" w:rsidRDefault="001B13FC" w:rsidP="00EF134B">
      <w:pPr>
        <w:rPr>
          <w:szCs w:val="24"/>
        </w:rPr>
      </w:pPr>
    </w:p>
    <w:p w:rsidR="00EE7B6D" w:rsidRDefault="00EE7B6D" w:rsidP="00EF134B">
      <w:r w:rsidRPr="006626B2">
        <w:rPr>
          <w:szCs w:val="24"/>
        </w:rPr>
        <w:t xml:space="preserve">The </w:t>
      </w:r>
      <w:r w:rsidR="00F11858">
        <w:rPr>
          <w:szCs w:val="24"/>
        </w:rPr>
        <w:t>Civil Rights Division</w:t>
      </w:r>
      <w:r w:rsidRPr="006626B2">
        <w:rPr>
          <w:szCs w:val="24"/>
        </w:rPr>
        <w:t xml:space="preserve"> </w:t>
      </w:r>
      <w:r w:rsidR="00C123BB">
        <w:rPr>
          <w:szCs w:val="24"/>
        </w:rPr>
        <w:t xml:space="preserve">and OCR </w:t>
      </w:r>
      <w:r w:rsidRPr="006626B2">
        <w:rPr>
          <w:szCs w:val="24"/>
        </w:rPr>
        <w:t xml:space="preserve">encourage states to conduct a </w:t>
      </w:r>
      <w:r w:rsidR="006626B2" w:rsidRPr="006626B2">
        <w:rPr>
          <w:szCs w:val="24"/>
        </w:rPr>
        <w:t>thorough</w:t>
      </w:r>
      <w:r w:rsidRPr="006626B2">
        <w:rPr>
          <w:szCs w:val="24"/>
        </w:rPr>
        <w:t xml:space="preserve"> analysis of all their home</w:t>
      </w:r>
      <w:r>
        <w:t xml:space="preserve"> care programs to determine whether any changes must be made to comply with the </w:t>
      </w:r>
      <w:r w:rsidR="00235752">
        <w:t xml:space="preserve">FLSA once </w:t>
      </w:r>
      <w:r w:rsidR="00701579">
        <w:t xml:space="preserve">the </w:t>
      </w:r>
      <w:r>
        <w:t>Home Care Rule</w:t>
      </w:r>
      <w:r w:rsidR="00235752">
        <w:t xml:space="preserve"> becomes effective</w:t>
      </w:r>
      <w:r>
        <w:t xml:space="preserve">.  In </w:t>
      </w:r>
      <w:r w:rsidR="00C426D8">
        <w:t>planning implementation steps, s</w:t>
      </w:r>
      <w:r>
        <w:t xml:space="preserve">tates </w:t>
      </w:r>
      <w:r w:rsidR="001B13FC">
        <w:t>must</w:t>
      </w:r>
      <w:r>
        <w:t xml:space="preserve"> </w:t>
      </w:r>
      <w:r w:rsidR="006626B2">
        <w:lastRenderedPageBreak/>
        <w:t>consider whether reasonable modifications are necessary to avoid placing individuals who receive home care services at serious risk of institutionalization</w:t>
      </w:r>
      <w:r w:rsidR="00D04ACB">
        <w:t xml:space="preserve"> or segregation</w:t>
      </w:r>
      <w:r w:rsidR="006626B2">
        <w:t>.</w:t>
      </w:r>
      <w:r w:rsidR="00E62BA2">
        <w:rPr>
          <w:rStyle w:val="FootnoteReference"/>
        </w:rPr>
        <w:footnoteReference w:id="8"/>
      </w:r>
      <w:r w:rsidR="006626B2">
        <w:t xml:space="preserve"> </w:t>
      </w:r>
      <w:r w:rsidR="005623CD">
        <w:t xml:space="preserve"> </w:t>
      </w:r>
      <w:r w:rsidR="00C426D8">
        <w:t>A state’s obligation to make reasonable modifications to its</w:t>
      </w:r>
      <w:r w:rsidR="00E30667">
        <w:t xml:space="preserve"> poli</w:t>
      </w:r>
      <w:r w:rsidR="00C426D8">
        <w:t>cies, procedures, and practices applies</w:t>
      </w:r>
      <w:r w:rsidR="00E30667">
        <w:t xml:space="preserve"> even when a home care progra</w:t>
      </w:r>
      <w:r w:rsidR="00C426D8">
        <w:t>m is delivered through non-public</w:t>
      </w:r>
      <w:r w:rsidR="00E30667">
        <w:t xml:space="preserve"> entities.</w:t>
      </w:r>
    </w:p>
    <w:p w:rsidR="00EF134B" w:rsidRDefault="00EF134B" w:rsidP="00EF134B"/>
    <w:p w:rsidR="00C700DC" w:rsidRDefault="004C66EB" w:rsidP="00EF134B">
      <w:r>
        <w:t>Many states</w:t>
      </w:r>
      <w:r w:rsidR="006626B2">
        <w:t xml:space="preserve"> are already taking concrete steps to implement the Home Care Rule.  Some states are </w:t>
      </w:r>
      <w:r>
        <w:t xml:space="preserve">developing budget proposals to pay overtime and travel time for </w:t>
      </w:r>
      <w:r w:rsidR="006626B2">
        <w:t xml:space="preserve">home care </w:t>
      </w:r>
      <w:r>
        <w:t xml:space="preserve">workers </w:t>
      </w:r>
      <w:r w:rsidR="00C71D55">
        <w:t xml:space="preserve">who </w:t>
      </w:r>
      <w:r>
        <w:t xml:space="preserve">work over 40 hours in a week.  </w:t>
      </w:r>
      <w:r w:rsidR="009B2A8B">
        <w:t xml:space="preserve">The Centers for Medicare and Medicaid Services </w:t>
      </w:r>
      <w:r w:rsidR="00FE6DBC">
        <w:t xml:space="preserve">(CMS) </w:t>
      </w:r>
      <w:r w:rsidR="009B2A8B">
        <w:t>has published guidance to assist states in understanding Medicaid reimbursement options that will enable them to accoun</w:t>
      </w:r>
      <w:r w:rsidR="009B2A8B" w:rsidRPr="001F6088">
        <w:rPr>
          <w:szCs w:val="24"/>
        </w:rPr>
        <w:t xml:space="preserve">t for the cost of overtime and travel time that may </w:t>
      </w:r>
      <w:r w:rsidR="00701579">
        <w:rPr>
          <w:szCs w:val="24"/>
        </w:rPr>
        <w:t xml:space="preserve">be </w:t>
      </w:r>
      <w:r w:rsidR="009B2A8B" w:rsidRPr="001F6088">
        <w:rPr>
          <w:szCs w:val="24"/>
        </w:rPr>
        <w:t xml:space="preserve">compensable as a result of the </w:t>
      </w:r>
      <w:r w:rsidR="001F6088" w:rsidRPr="001F6088">
        <w:rPr>
          <w:szCs w:val="24"/>
        </w:rPr>
        <w:t xml:space="preserve">Home Care Rule. </w:t>
      </w:r>
      <w:r w:rsidR="00DD1643">
        <w:rPr>
          <w:szCs w:val="24"/>
        </w:rPr>
        <w:t xml:space="preserve"> </w:t>
      </w:r>
      <w:r w:rsidR="001F6088" w:rsidRPr="001F6088">
        <w:rPr>
          <w:i/>
          <w:szCs w:val="24"/>
        </w:rPr>
        <w:t xml:space="preserve">See </w:t>
      </w:r>
      <w:r w:rsidR="00FE6DBC" w:rsidRPr="00FE6DBC">
        <w:rPr>
          <w:szCs w:val="24"/>
        </w:rPr>
        <w:t xml:space="preserve">Cindy Mann, </w:t>
      </w:r>
      <w:r w:rsidR="00FE6DBC" w:rsidRPr="00FE6DBC">
        <w:rPr>
          <w:i/>
          <w:szCs w:val="24"/>
        </w:rPr>
        <w:t>CMCS Informational Bulletin: Self-Direction Program Options for Medicaid Payments in the Implementation of the Fair Labor Standards Act Regulation Changes</w:t>
      </w:r>
      <w:r w:rsidR="00FE6DBC" w:rsidRPr="00FE6DBC">
        <w:rPr>
          <w:szCs w:val="24"/>
        </w:rPr>
        <w:t xml:space="preserve"> (July 3, 2014), http://www.medicaid.gov/Federal-Policy-Guidance/Downloads/CIB-07-03-2014.pdf</w:t>
      </w:r>
      <w:r w:rsidR="00FE6DBC" w:rsidRPr="00FE6DBC">
        <w:t>.</w:t>
      </w:r>
      <w:r w:rsidR="00FE6DBC">
        <w:t xml:space="preserve"> </w:t>
      </w:r>
    </w:p>
    <w:p w:rsidR="00EF134B" w:rsidRDefault="00EF134B" w:rsidP="00EF134B"/>
    <w:p w:rsidR="00735B3B" w:rsidRDefault="004C66EB" w:rsidP="00EF134B">
      <w:r>
        <w:t xml:space="preserve">Other states are planning to comply with the new rule by setting limits or capping </w:t>
      </w:r>
      <w:r w:rsidR="006D32E5">
        <w:t xml:space="preserve">direct care workers’ </w:t>
      </w:r>
      <w:r>
        <w:t>hours or travel time.</w:t>
      </w:r>
      <w:r w:rsidR="00C42F38">
        <w:t xml:space="preserve"> </w:t>
      </w:r>
      <w:r w:rsidR="00E62BA2">
        <w:t xml:space="preserve"> </w:t>
      </w:r>
      <w:r w:rsidR="00561959">
        <w:t xml:space="preserve">We are sensitive to states’ budgetary constraints.  However, implementation of across-the-board caps risks </w:t>
      </w:r>
      <w:r w:rsidR="00B41F54">
        <w:t>violat</w:t>
      </w:r>
      <w:r w:rsidR="00561959">
        <w:t>ing</w:t>
      </w:r>
      <w:r w:rsidR="00B41F54">
        <w:t xml:space="preserve"> the ADA if the </w:t>
      </w:r>
      <w:r w:rsidR="00F7257B">
        <w:t xml:space="preserve">caps </w:t>
      </w:r>
      <w:r w:rsidR="00CF5B1A">
        <w:t>do not account for</w:t>
      </w:r>
      <w:r w:rsidR="00047A74">
        <w:t xml:space="preserve"> the needs of individual</w:t>
      </w:r>
      <w:r w:rsidR="00B41F54">
        <w:t>s with disabilities</w:t>
      </w:r>
      <w:r w:rsidR="00047A74">
        <w:t xml:space="preserve"> </w:t>
      </w:r>
      <w:r w:rsidR="00B41F54">
        <w:t xml:space="preserve">and </w:t>
      </w:r>
      <w:r w:rsidR="00CF5B1A">
        <w:t xml:space="preserve">consequently </w:t>
      </w:r>
      <w:r w:rsidR="00047A74">
        <w:t>place</w:t>
      </w:r>
      <w:r w:rsidR="00727B00">
        <w:t>s</w:t>
      </w:r>
      <w:r w:rsidR="00047A74">
        <w:t xml:space="preserve"> </w:t>
      </w:r>
      <w:r w:rsidR="00A77004">
        <w:t>them</w:t>
      </w:r>
      <w:r w:rsidR="00047A74">
        <w:t xml:space="preserve"> at serious risk of institutionalization</w:t>
      </w:r>
      <w:r w:rsidR="00E62BA2">
        <w:t xml:space="preserve"> </w:t>
      </w:r>
      <w:r w:rsidR="00D04ACB">
        <w:t>or segregation</w:t>
      </w:r>
      <w:r w:rsidR="00B41F54">
        <w:t xml:space="preserve">. </w:t>
      </w:r>
      <w:r w:rsidR="00E62BA2">
        <w:t xml:space="preserve"> </w:t>
      </w:r>
      <w:r w:rsidR="00C700DC">
        <w:t xml:space="preserve">For example, if </w:t>
      </w:r>
      <w:r w:rsidR="006D32E5">
        <w:t xml:space="preserve">a </w:t>
      </w:r>
      <w:r w:rsidR="00C700DC">
        <w:t xml:space="preserve">state </w:t>
      </w:r>
      <w:r w:rsidR="00A77004">
        <w:t xml:space="preserve">prohibits </w:t>
      </w:r>
      <w:r w:rsidR="00C700DC">
        <w:t>home care worker</w:t>
      </w:r>
      <w:r w:rsidR="00A77004">
        <w:t xml:space="preserve">s from </w:t>
      </w:r>
      <w:r w:rsidR="002F3638">
        <w:t>exceeding</w:t>
      </w:r>
      <w:r w:rsidR="00C700DC">
        <w:t xml:space="preserve"> 40 hours </w:t>
      </w:r>
      <w:r w:rsidR="00A77004">
        <w:t>a</w:t>
      </w:r>
      <w:r w:rsidR="00C700DC">
        <w:t xml:space="preserve"> week</w:t>
      </w:r>
      <w:r w:rsidR="002F3638">
        <w:t xml:space="preserve"> of work</w:t>
      </w:r>
      <w:r w:rsidR="00C700DC">
        <w:t xml:space="preserve">, </w:t>
      </w:r>
      <w:r w:rsidR="00A77004">
        <w:t xml:space="preserve">individuals </w:t>
      </w:r>
      <w:r w:rsidR="00C700DC">
        <w:t xml:space="preserve">who need more than 40 hours </w:t>
      </w:r>
      <w:r w:rsidR="002F3638">
        <w:t xml:space="preserve">a week </w:t>
      </w:r>
      <w:r w:rsidR="00C700DC">
        <w:t xml:space="preserve">of care </w:t>
      </w:r>
      <w:r w:rsidR="002F3638">
        <w:t xml:space="preserve">may not </w:t>
      </w:r>
      <w:r w:rsidR="00E809AD">
        <w:t>receive their full hours</w:t>
      </w:r>
      <w:r w:rsidR="002F3638">
        <w:t xml:space="preserve"> where home care workers are scarce.  </w:t>
      </w:r>
      <w:r w:rsidR="00CF5B1A">
        <w:t xml:space="preserve">And even where home care workers are available, </w:t>
      </w:r>
      <w:r w:rsidR="00C700DC">
        <w:t xml:space="preserve">consumers with extraordinary medical or behavioral needs may not be able to tolerate multiple workers in their home.  </w:t>
      </w:r>
      <w:r w:rsidR="00915EAC">
        <w:t>E</w:t>
      </w:r>
      <w:r w:rsidR="00C700DC">
        <w:t xml:space="preserve">mergency situations </w:t>
      </w:r>
      <w:r w:rsidR="00915EAC">
        <w:t xml:space="preserve">may also arise </w:t>
      </w:r>
      <w:r w:rsidR="00C700DC">
        <w:t xml:space="preserve">where a scheduled second worker is not available and the </w:t>
      </w:r>
      <w:r w:rsidR="00915EAC">
        <w:t xml:space="preserve">individual’s </w:t>
      </w:r>
      <w:r w:rsidR="00C700DC">
        <w:t xml:space="preserve">home care support </w:t>
      </w:r>
      <w:r w:rsidR="00735B3B">
        <w:t xml:space="preserve">needs would not be met without immediate </w:t>
      </w:r>
      <w:r w:rsidR="00C700DC">
        <w:t xml:space="preserve">authorization of overtime hours and pay.  </w:t>
      </w:r>
    </w:p>
    <w:p w:rsidR="00EF134B" w:rsidRDefault="00EF134B" w:rsidP="00EF134B"/>
    <w:p w:rsidR="00D04ACB" w:rsidRDefault="00561959" w:rsidP="00EF134B">
      <w:r>
        <w:t>Therefore</w:t>
      </w:r>
      <w:r w:rsidR="00735B3B">
        <w:t xml:space="preserve">, </w:t>
      </w:r>
      <w:r w:rsidR="00E62BA2">
        <w:t xml:space="preserve">states </w:t>
      </w:r>
      <w:r>
        <w:t xml:space="preserve">need to </w:t>
      </w:r>
      <w:r w:rsidR="00E62BA2">
        <w:t xml:space="preserve">consider reasonable modifications to policies capping </w:t>
      </w:r>
      <w:r w:rsidR="00C700DC">
        <w:t>overtime</w:t>
      </w:r>
      <w:r w:rsidR="00C426D8">
        <w:t xml:space="preserve"> and travel time for home</w:t>
      </w:r>
      <w:r w:rsidR="00E62BA2">
        <w:t xml:space="preserve"> care work</w:t>
      </w:r>
      <w:r w:rsidR="000A63FD">
        <w:t>er</w:t>
      </w:r>
      <w:r w:rsidR="00E62BA2">
        <w:t>s</w:t>
      </w:r>
      <w:r w:rsidR="0051267A">
        <w:t xml:space="preserve">, including </w:t>
      </w:r>
      <w:r w:rsidR="0002714A">
        <w:t xml:space="preserve">exceptions </w:t>
      </w:r>
      <w:r w:rsidR="00E30667">
        <w:t xml:space="preserve">to </w:t>
      </w:r>
      <w:r w:rsidR="0051267A">
        <w:t>these caps</w:t>
      </w:r>
      <w:r w:rsidR="0002714A">
        <w:t xml:space="preserve"> </w:t>
      </w:r>
      <w:r w:rsidR="0051267A">
        <w:t>whe</w:t>
      </w:r>
      <w:r w:rsidR="00915EAC">
        <w:t>n</w:t>
      </w:r>
      <w:r w:rsidR="0051267A">
        <w:t xml:space="preserve"> individuals with disabilities otherwise </w:t>
      </w:r>
      <w:r w:rsidR="0002714A">
        <w:t>would be placed at serious risk of institutionalizati</w:t>
      </w:r>
      <w:r w:rsidR="00477F96">
        <w:t>on</w:t>
      </w:r>
      <w:r w:rsidR="0051267A">
        <w:t>.</w:t>
      </w:r>
      <w:r w:rsidR="00AB6664">
        <w:rPr>
          <w:rStyle w:val="FootnoteReference"/>
        </w:rPr>
        <w:footnoteReference w:id="9"/>
      </w:r>
      <w:r w:rsidR="0051267A">
        <w:t xml:space="preserve"> </w:t>
      </w:r>
      <w:r w:rsidR="00C71D55">
        <w:t xml:space="preserve"> </w:t>
      </w:r>
      <w:r>
        <w:t>Whether a reasonable modification is needed and what the modification should be depend</w:t>
      </w:r>
      <w:r w:rsidR="00701579">
        <w:t>s</w:t>
      </w:r>
      <w:r>
        <w:t xml:space="preserve"> on the specific factual circumstances.</w:t>
      </w:r>
      <w:r w:rsidR="00C71D55">
        <w:t xml:space="preserve"> </w:t>
      </w:r>
      <w:r w:rsidR="0051267A">
        <w:t xml:space="preserve"> States should</w:t>
      </w:r>
      <w:r w:rsidR="00EA5203">
        <w:t xml:space="preserve"> </w:t>
      </w:r>
      <w:r w:rsidR="0051267A">
        <w:t>also consider implementing processes that reliably</w:t>
      </w:r>
      <w:r>
        <w:t xml:space="preserve"> and </w:t>
      </w:r>
      <w:r w:rsidR="00307B65">
        <w:t>expeditiously</w:t>
      </w:r>
      <w:r w:rsidR="0051267A">
        <w:t xml:space="preserve"> enable individuals with disabilities to obtain </w:t>
      </w:r>
      <w:r w:rsidR="007617C8">
        <w:t>cap</w:t>
      </w:r>
      <w:r w:rsidR="0051267A">
        <w:t xml:space="preserve"> </w:t>
      </w:r>
      <w:r w:rsidR="00E30667">
        <w:t>exception</w:t>
      </w:r>
      <w:r w:rsidR="0051267A">
        <w:t>s</w:t>
      </w:r>
      <w:r w:rsidR="007617C8">
        <w:t xml:space="preserve"> when </w:t>
      </w:r>
      <w:r>
        <w:t xml:space="preserve">they </w:t>
      </w:r>
      <w:r w:rsidR="007617C8">
        <w:t>are warranted</w:t>
      </w:r>
      <w:r w:rsidR="00E30667">
        <w:t>.</w:t>
      </w:r>
      <w:r w:rsidR="00033014">
        <w:t xml:space="preserve"> </w:t>
      </w:r>
      <w:r w:rsidR="00C426D8">
        <w:t xml:space="preserve"> </w:t>
      </w:r>
      <w:r w:rsidR="007617C8">
        <w:t>Finally, where implementation of the Home Care Rule disrupts services, s</w:t>
      </w:r>
      <w:r w:rsidR="00C426D8">
        <w:t xml:space="preserve">tates should </w:t>
      </w:r>
      <w:r w:rsidR="007617C8">
        <w:t xml:space="preserve">collect and monitor data </w:t>
      </w:r>
      <w:r w:rsidR="00C426D8">
        <w:t xml:space="preserve">to ensure that </w:t>
      </w:r>
      <w:r w:rsidR="007617C8">
        <w:t xml:space="preserve">the service disruption does not place individuals with disabilities </w:t>
      </w:r>
      <w:r w:rsidR="00C426D8">
        <w:t xml:space="preserve">at serious risk of institutionalization. </w:t>
      </w:r>
    </w:p>
    <w:p w:rsidR="00AF4E36" w:rsidRDefault="00AF4E36" w:rsidP="00EF134B"/>
    <w:p w:rsidR="000D349E" w:rsidRPr="000D349E" w:rsidRDefault="000D349E" w:rsidP="000D349E">
      <w:r w:rsidRPr="000D349E">
        <w:lastRenderedPageBreak/>
        <w:t xml:space="preserve">For more information regarding states’ obligations under </w:t>
      </w:r>
      <w:r w:rsidRPr="000D349E">
        <w:rPr>
          <w:i/>
        </w:rPr>
        <w:t>Olmstead</w:t>
      </w:r>
      <w:r w:rsidRPr="000D349E">
        <w:t xml:space="preserve"> and the Americans with Disabilities Act’s integration mandate, visit </w:t>
      </w:r>
      <w:r w:rsidRPr="000D349E">
        <w:rPr>
          <w:i/>
        </w:rPr>
        <w:t>Statement of the Department of Justice on Enforcement of the Integration Mandate of Title II of the Americans with Disabilities Act and</w:t>
      </w:r>
      <w:r w:rsidRPr="000D349E">
        <w:t xml:space="preserve"> </w:t>
      </w:r>
      <w:r w:rsidRPr="000D349E">
        <w:rPr>
          <w:i/>
        </w:rPr>
        <w:t>Olmstead v. L.C.</w:t>
      </w:r>
      <w:r w:rsidRPr="000D349E">
        <w:t xml:space="preserve">, available at: http://www.ada.gov/olmstead/q&amp;a_olmstead.htm (last visited December 5, 2014). </w:t>
      </w:r>
    </w:p>
    <w:p w:rsidR="00AF4E36" w:rsidRDefault="00AF4E36" w:rsidP="00EF134B">
      <w:pPr>
        <w:keepNext/>
        <w:keepLines/>
      </w:pPr>
    </w:p>
    <w:p w:rsidR="00D04ACB" w:rsidRDefault="00D04ACB" w:rsidP="00EF134B">
      <w:pPr>
        <w:keepNext/>
        <w:keepLines/>
      </w:pPr>
      <w:r>
        <w:t xml:space="preserve">The </w:t>
      </w:r>
      <w:r w:rsidR="00F11858">
        <w:t>Civil Rights Division</w:t>
      </w:r>
      <w:r>
        <w:t xml:space="preserve"> </w:t>
      </w:r>
      <w:r w:rsidR="00FA5659">
        <w:t xml:space="preserve">and OCR </w:t>
      </w:r>
      <w:r>
        <w:t xml:space="preserve">recognize and appreciate the work that states do in supporting individuals with disabilities to live integrated lives in their communities.  </w:t>
      </w:r>
    </w:p>
    <w:p w:rsidR="00701579" w:rsidRDefault="00701579" w:rsidP="00701579">
      <w:pPr>
        <w:keepNext/>
        <w:keepLines/>
        <w:rPr>
          <w:u w:val="single"/>
        </w:rPr>
      </w:pPr>
    </w:p>
    <w:p w:rsidR="00701579" w:rsidRDefault="00701579" w:rsidP="00701579">
      <w:pPr>
        <w:keepNext/>
        <w:keepLines/>
        <w:rPr>
          <w:u w:val="single"/>
        </w:rPr>
      </w:pPr>
    </w:p>
    <w:p w:rsidR="003A0983" w:rsidRDefault="003A0983" w:rsidP="00701579">
      <w:pPr>
        <w:keepNext/>
        <w:keepLines/>
        <w:rPr>
          <w:u w:val="single"/>
        </w:rPr>
      </w:pPr>
    </w:p>
    <w:p w:rsidR="003A0983" w:rsidRDefault="003A0983" w:rsidP="00701579">
      <w:pPr>
        <w:keepNext/>
        <w:keepLines/>
        <w:rPr>
          <w:u w:val="single"/>
        </w:rPr>
      </w:pPr>
    </w:p>
    <w:p w:rsidR="00701579" w:rsidRDefault="003A0983" w:rsidP="00701579">
      <w:r>
        <w:rPr>
          <w:u w:val="single"/>
        </w:rPr>
        <w:softHyphen/>
      </w:r>
      <w:r w:rsidR="00117E64">
        <w:rPr>
          <w:u w:val="single"/>
        </w:rPr>
        <w:t xml:space="preserve">/s/ </w:t>
      </w:r>
      <w:proofErr w:type="spellStart"/>
      <w:r w:rsidR="00117E64">
        <w:rPr>
          <w:u w:val="single"/>
        </w:rPr>
        <w:t>Vanita</w:t>
      </w:r>
      <w:proofErr w:type="spellEnd"/>
      <w:r w:rsidR="00117E64">
        <w:rPr>
          <w:u w:val="single"/>
        </w:rPr>
        <w:t xml:space="preserve"> Gupta</w:t>
      </w:r>
      <w:r>
        <w:tab/>
      </w:r>
      <w:r>
        <w:tab/>
      </w:r>
      <w:r>
        <w:tab/>
      </w:r>
      <w:r w:rsidR="00117E64">
        <w:tab/>
      </w:r>
      <w:r w:rsidR="00117E64">
        <w:tab/>
      </w:r>
      <w:r w:rsidR="00117E64">
        <w:rPr>
          <w:u w:val="single"/>
        </w:rPr>
        <w:t>/s/ Jocelyn Samuels</w:t>
      </w:r>
    </w:p>
    <w:p w:rsidR="00701579" w:rsidRDefault="00701579" w:rsidP="00701579">
      <w:r>
        <w:t>Vanita Gupta</w:t>
      </w:r>
      <w:r w:rsidRPr="00701579">
        <w:t xml:space="preserve"> </w:t>
      </w:r>
      <w:r>
        <w:tab/>
      </w:r>
      <w:r>
        <w:tab/>
      </w:r>
      <w:r>
        <w:tab/>
      </w:r>
      <w:r>
        <w:tab/>
      </w:r>
      <w:r>
        <w:tab/>
      </w:r>
      <w:r>
        <w:tab/>
        <w:t>Jocelyn Samuels</w:t>
      </w:r>
    </w:p>
    <w:p w:rsidR="00701579" w:rsidRDefault="00701579" w:rsidP="00701579">
      <w:pPr>
        <w:keepNext/>
        <w:keepLines/>
      </w:pPr>
      <w:r>
        <w:t>Acting Assistant Attorney General</w:t>
      </w:r>
      <w:r>
        <w:tab/>
      </w:r>
      <w:r>
        <w:tab/>
      </w:r>
      <w:r>
        <w:tab/>
        <w:t>Director</w:t>
      </w:r>
    </w:p>
    <w:p w:rsidR="00701579" w:rsidRDefault="00701579" w:rsidP="00701579">
      <w:pPr>
        <w:keepNext/>
        <w:keepLines/>
      </w:pPr>
      <w:r>
        <w:t>Civil Rights Division</w:t>
      </w:r>
      <w:r>
        <w:tab/>
      </w:r>
      <w:r>
        <w:tab/>
      </w:r>
      <w:r>
        <w:tab/>
      </w:r>
      <w:r>
        <w:tab/>
      </w:r>
      <w:r>
        <w:tab/>
        <w:t>Office for Civil Rights</w:t>
      </w:r>
    </w:p>
    <w:p w:rsidR="00701579" w:rsidRDefault="00701579" w:rsidP="00701579">
      <w:pPr>
        <w:keepNext/>
        <w:keepLines/>
      </w:pPr>
      <w:r>
        <w:t>U.S. Department of Justice</w:t>
      </w:r>
      <w:r>
        <w:tab/>
      </w:r>
      <w:r>
        <w:tab/>
      </w:r>
      <w:r>
        <w:tab/>
      </w:r>
      <w:r>
        <w:tab/>
        <w:t>Department of Health and Human Services</w:t>
      </w:r>
    </w:p>
    <w:p w:rsidR="00701579" w:rsidRDefault="00701579" w:rsidP="00701579"/>
    <w:sectPr w:rsidR="00701579" w:rsidSect="009D7726">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812" w:rsidRDefault="00127812" w:rsidP="007B5B00">
      <w:r>
        <w:separator/>
      </w:r>
    </w:p>
  </w:endnote>
  <w:endnote w:type="continuationSeparator" w:id="0">
    <w:p w:rsidR="00127812" w:rsidRDefault="00127812" w:rsidP="007B5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188253"/>
      <w:docPartObj>
        <w:docPartGallery w:val="Page Numbers (Bottom of Page)"/>
        <w:docPartUnique/>
      </w:docPartObj>
    </w:sdtPr>
    <w:sdtEndPr>
      <w:rPr>
        <w:noProof/>
      </w:rPr>
    </w:sdtEndPr>
    <w:sdtContent>
      <w:p w:rsidR="009D7726" w:rsidRDefault="0046463D">
        <w:pPr>
          <w:pStyle w:val="Footer"/>
          <w:jc w:val="center"/>
        </w:pPr>
        <w:r>
          <w:fldChar w:fldCharType="begin"/>
        </w:r>
        <w:r w:rsidR="009D7726">
          <w:instrText xml:space="preserve"> PAGE   \* MERGEFORMAT </w:instrText>
        </w:r>
        <w:r>
          <w:fldChar w:fldCharType="separate"/>
        </w:r>
        <w:r w:rsidR="002A2AA6">
          <w:rPr>
            <w:noProof/>
          </w:rPr>
          <w:t>2</w:t>
        </w:r>
        <w:r>
          <w:rPr>
            <w:noProof/>
          </w:rPr>
          <w:fldChar w:fldCharType="end"/>
        </w:r>
      </w:p>
    </w:sdtContent>
  </w:sdt>
  <w:p w:rsidR="000410C9" w:rsidRDefault="00041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C9" w:rsidRDefault="000410C9">
    <w:pPr>
      <w:pStyle w:val="Footer"/>
      <w:jc w:val="center"/>
    </w:pPr>
  </w:p>
  <w:p w:rsidR="000410C9" w:rsidRDefault="00041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812" w:rsidRDefault="00127812" w:rsidP="007B5B00">
      <w:r>
        <w:separator/>
      </w:r>
    </w:p>
  </w:footnote>
  <w:footnote w:type="continuationSeparator" w:id="0">
    <w:p w:rsidR="00127812" w:rsidRDefault="00127812" w:rsidP="007B5B00">
      <w:r>
        <w:continuationSeparator/>
      </w:r>
    </w:p>
  </w:footnote>
  <w:footnote w:id="1">
    <w:p w:rsidR="00400BE4" w:rsidRDefault="00400BE4" w:rsidP="00400BE4">
      <w:pPr>
        <w:pStyle w:val="FootnoteText"/>
      </w:pPr>
      <w:r>
        <w:rPr>
          <w:rStyle w:val="FootnoteReference"/>
        </w:rPr>
        <w:footnoteRef/>
      </w:r>
      <w:r>
        <w:t xml:space="preserve"> </w:t>
      </w:r>
      <w:r w:rsidR="00D854E0" w:rsidRPr="00D854E0">
        <w:t xml:space="preserve">The Department of Labor announced that it will not bring an enforcement action against any employer related to FLSA obligations under the new Home Care Rule before June 30, 2015.  It will then use prosecutorial discretion until December 31, 2015 to determine whether to bring enforcement actions, taking into account the good faith efforts of states and other entities to bring their home care programs into compliance with the Home Care Rule. </w:t>
      </w:r>
      <w:proofErr w:type="gramStart"/>
      <w:r w:rsidR="00D854E0" w:rsidRPr="00D854E0">
        <w:t>Application of the Fair Labor Standards Act to Domestic Service; Announcement of Time-Limited Non-Enforcement Policy, 79 Fed.</w:t>
      </w:r>
      <w:proofErr w:type="gramEnd"/>
      <w:r w:rsidR="00D854E0" w:rsidRPr="00D854E0">
        <w:t xml:space="preserve"> Reg. 60,974 (Oct. 9, 2014).</w:t>
      </w:r>
      <w:r>
        <w:t xml:space="preserve">  </w:t>
      </w:r>
    </w:p>
  </w:footnote>
  <w:footnote w:id="2">
    <w:p w:rsidR="004F463B" w:rsidRDefault="004F463B">
      <w:pPr>
        <w:pStyle w:val="FootnoteText"/>
      </w:pPr>
      <w:r>
        <w:rPr>
          <w:rStyle w:val="FootnoteReference"/>
        </w:rPr>
        <w:footnoteRef/>
      </w:r>
      <w:r>
        <w:t xml:space="preserve"> </w:t>
      </w:r>
      <w:proofErr w:type="gramStart"/>
      <w:r w:rsidRPr="00DA3C77">
        <w:rPr>
          <w:szCs w:val="24"/>
        </w:rPr>
        <w:t>42 U.S.C. §</w:t>
      </w:r>
      <w:r>
        <w:rPr>
          <w:szCs w:val="24"/>
        </w:rPr>
        <w:t> </w:t>
      </w:r>
      <w:r w:rsidRPr="00DA3C77">
        <w:rPr>
          <w:szCs w:val="24"/>
        </w:rPr>
        <w:t>12132</w:t>
      </w:r>
      <w:r w:rsidR="00D854E0">
        <w:rPr>
          <w:szCs w:val="24"/>
        </w:rPr>
        <w:t xml:space="preserve"> (1990)</w:t>
      </w:r>
      <w:r w:rsidR="00637BBE">
        <w:rPr>
          <w:szCs w:val="24"/>
        </w:rPr>
        <w:t>.</w:t>
      </w:r>
      <w:proofErr w:type="gramEnd"/>
    </w:p>
  </w:footnote>
  <w:footnote w:id="3">
    <w:p w:rsidR="00D21632" w:rsidRDefault="00D21632">
      <w:pPr>
        <w:pStyle w:val="FootnoteText"/>
      </w:pPr>
      <w:r>
        <w:rPr>
          <w:rStyle w:val="FootnoteReference"/>
        </w:rPr>
        <w:footnoteRef/>
      </w:r>
      <w:r>
        <w:t xml:space="preserve"> </w:t>
      </w:r>
      <w:r w:rsidR="00D854E0">
        <w:rPr>
          <w:rStyle w:val="Emphasis"/>
        </w:rPr>
        <w:t>See</w:t>
      </w:r>
      <w:r w:rsidR="00D854E0">
        <w:t xml:space="preserve"> </w:t>
      </w:r>
      <w:r w:rsidR="00D854E0">
        <w:rPr>
          <w:i/>
        </w:rPr>
        <w:t>id.</w:t>
      </w:r>
      <w:r w:rsidR="00D854E0">
        <w:t xml:space="preserve"> § 12134(a); 28 C.F.R. § 35.190(a) (1991); Exec. Order No. 12,250 (1980), 45 Fed. Reg. 72,995 (1980), </w:t>
      </w:r>
      <w:r w:rsidR="00D854E0">
        <w:rPr>
          <w:rStyle w:val="Emphasis"/>
        </w:rPr>
        <w:t>reprinted in</w:t>
      </w:r>
      <w:r w:rsidR="00D854E0">
        <w:t xml:space="preserve"> 42 U.S.C. § 2000d-1.  Section 504 of the Rehabilitation Act of 1973 similarly prohibits disability-based discrimination.  29 </w:t>
      </w:r>
      <w:r w:rsidR="00576B35">
        <w:t>U.S.C.</w:t>
      </w:r>
      <w:r w:rsidR="00D854E0">
        <w:t xml:space="preserve"> § 794(a) (“No otherwise qualified individual with a disability . . . shall, solely by reason of her or his disability, be excluded from the participation in, be denied the benefits of, or be subjected to discrimination under any program or activity receiving Federal financial assistance . . . .”).</w:t>
      </w:r>
    </w:p>
  </w:footnote>
  <w:footnote w:id="4">
    <w:p w:rsidR="00D21632" w:rsidRDefault="00D21632">
      <w:pPr>
        <w:pStyle w:val="FootnoteText"/>
      </w:pPr>
      <w:r>
        <w:rPr>
          <w:rStyle w:val="FootnoteReference"/>
        </w:rPr>
        <w:footnoteRef/>
      </w:r>
      <w:r>
        <w:t xml:space="preserve"> </w:t>
      </w:r>
      <w:proofErr w:type="gramStart"/>
      <w:r>
        <w:t>28 C.F.R. § 35.130(d)</w:t>
      </w:r>
      <w:r w:rsidR="00576B35">
        <w:t xml:space="preserve"> (1991)</w:t>
      </w:r>
      <w:r w:rsidR="00637BBE">
        <w:t>.</w:t>
      </w:r>
      <w:proofErr w:type="gramEnd"/>
    </w:p>
  </w:footnote>
  <w:footnote w:id="5">
    <w:p w:rsidR="00D21632" w:rsidRDefault="00D21632">
      <w:pPr>
        <w:pStyle w:val="FootnoteText"/>
      </w:pPr>
      <w:r>
        <w:rPr>
          <w:rStyle w:val="FootnoteReference"/>
        </w:rPr>
        <w:footnoteRef/>
      </w:r>
      <w:r>
        <w:t xml:space="preserve"> </w:t>
      </w:r>
      <w:proofErr w:type="gramStart"/>
      <w:r>
        <w:t>28 C.F.R. Pt. 35, App. B at 673 (2011)</w:t>
      </w:r>
      <w:r w:rsidR="00637BBE">
        <w:t>.</w:t>
      </w:r>
      <w:proofErr w:type="gramEnd"/>
    </w:p>
  </w:footnote>
  <w:footnote w:id="6">
    <w:p w:rsidR="000410C9" w:rsidRPr="00D04ACB" w:rsidRDefault="000410C9">
      <w:pPr>
        <w:pStyle w:val="FootnoteText"/>
      </w:pPr>
      <w:r w:rsidRPr="00D04ACB">
        <w:rPr>
          <w:rStyle w:val="FootnoteReference"/>
        </w:rPr>
        <w:footnoteRef/>
      </w:r>
      <w:r w:rsidRPr="00D04ACB">
        <w:t xml:space="preserve"> 28 C.F.R. § 35.130(b</w:t>
      </w:r>
      <w:proofErr w:type="gramStart"/>
      <w:r w:rsidRPr="00D04ACB">
        <w:t>)(</w:t>
      </w:r>
      <w:proofErr w:type="gramEnd"/>
      <w:r w:rsidRPr="00D04ACB">
        <w:t>7)</w:t>
      </w:r>
      <w:r w:rsidR="00576B35">
        <w:t xml:space="preserve"> (1991)</w:t>
      </w:r>
      <w:r w:rsidRPr="00D04ACB">
        <w:t>.</w:t>
      </w:r>
    </w:p>
  </w:footnote>
  <w:footnote w:id="7">
    <w:p w:rsidR="000410C9" w:rsidRPr="00D04ACB" w:rsidRDefault="000410C9">
      <w:pPr>
        <w:pStyle w:val="FootnoteText"/>
      </w:pPr>
      <w:r w:rsidRPr="00D04ACB">
        <w:rPr>
          <w:rStyle w:val="FootnoteReference"/>
        </w:rPr>
        <w:footnoteRef/>
      </w:r>
      <w:r w:rsidRPr="00D04ACB">
        <w:t xml:space="preserve"> </w:t>
      </w:r>
      <w:r w:rsidRPr="00D04ACB">
        <w:rPr>
          <w:i/>
          <w:iCs/>
        </w:rPr>
        <w:t>Id.</w:t>
      </w:r>
      <w:r w:rsidRPr="00D04ACB">
        <w:t xml:space="preserve">; </w:t>
      </w:r>
      <w:r w:rsidRPr="00D04ACB">
        <w:rPr>
          <w:i/>
          <w:iCs/>
        </w:rPr>
        <w:t>see also Olmstead</w:t>
      </w:r>
      <w:r w:rsidRPr="00D04ACB">
        <w:t>, 527 U.S. at 604-07.</w:t>
      </w:r>
    </w:p>
  </w:footnote>
  <w:footnote w:id="8">
    <w:p w:rsidR="000410C9" w:rsidRDefault="000410C9">
      <w:pPr>
        <w:pStyle w:val="FootnoteText"/>
      </w:pPr>
      <w:r w:rsidRPr="00D04ACB">
        <w:rPr>
          <w:rStyle w:val="FootnoteReference"/>
        </w:rPr>
        <w:footnoteRef/>
      </w:r>
      <w:r w:rsidRPr="00D04ACB">
        <w:t xml:space="preserve"> </w:t>
      </w:r>
      <w:r w:rsidR="00576B35" w:rsidRPr="00D04ACB">
        <w:t xml:space="preserve">In the final Home Care Rule regulations, the Department of Labor recognized states’ obligations to comply with the requirements of the Americans with Disabilities Act when considering changes to implement the Home Care Rule.  </w:t>
      </w:r>
      <w:proofErr w:type="gramStart"/>
      <w:r w:rsidR="00576B35">
        <w:t>78 Fed.</w:t>
      </w:r>
      <w:proofErr w:type="gramEnd"/>
      <w:r w:rsidR="00576B35">
        <w:t xml:space="preserve"> </w:t>
      </w:r>
      <w:proofErr w:type="gramStart"/>
      <w:r w:rsidR="00576B35">
        <w:t>Reg. 60,454, 60,485-87.</w:t>
      </w:r>
      <w:proofErr w:type="gramEnd"/>
    </w:p>
  </w:footnote>
  <w:footnote w:id="9">
    <w:p w:rsidR="000410C9" w:rsidRPr="003D6189" w:rsidRDefault="000410C9" w:rsidP="00AB6664">
      <w:pPr>
        <w:pStyle w:val="Default"/>
        <w:rPr>
          <w:sz w:val="20"/>
          <w:szCs w:val="20"/>
        </w:rPr>
      </w:pPr>
      <w:r w:rsidRPr="003D6189">
        <w:rPr>
          <w:rStyle w:val="FootnoteReference"/>
          <w:sz w:val="20"/>
          <w:szCs w:val="20"/>
        </w:rPr>
        <w:footnoteRef/>
      </w:r>
      <w:r w:rsidRPr="003D6189">
        <w:rPr>
          <w:sz w:val="20"/>
          <w:szCs w:val="20"/>
        </w:rPr>
        <w:t xml:space="preserve"> </w:t>
      </w:r>
      <w:r w:rsidR="00576B35" w:rsidRPr="00576B35">
        <w:rPr>
          <w:color w:val="auto"/>
          <w:sz w:val="20"/>
          <w:szCs w:val="20"/>
        </w:rPr>
        <w:t>CMS has similarly encouraged states to consider exceptions to limitations on overtime and travel time when necessary to avoid placing an individual at risk of harm.</w:t>
      </w:r>
      <w:r w:rsidR="00576B35" w:rsidRPr="00576B35">
        <w:rPr>
          <w:i/>
          <w:color w:val="auto"/>
          <w:sz w:val="20"/>
          <w:szCs w:val="20"/>
        </w:rPr>
        <w:t xml:space="preserve"> See </w:t>
      </w:r>
      <w:r w:rsidR="00576B35" w:rsidRPr="00576B35">
        <w:rPr>
          <w:color w:val="auto"/>
          <w:sz w:val="20"/>
          <w:szCs w:val="20"/>
        </w:rPr>
        <w:t>Cindy Mann</w:t>
      </w:r>
      <w:r w:rsidR="00576B35" w:rsidRPr="00576B35">
        <w:rPr>
          <w:i/>
          <w:color w:val="auto"/>
          <w:sz w:val="20"/>
          <w:szCs w:val="20"/>
        </w:rPr>
        <w:t xml:space="preserve">, CMCS Informational Bulletin: Self-Direction Program Options for Medicaid Payments in the Implementation of the Fair Labor Standards Act Regulation Changes </w:t>
      </w:r>
      <w:r w:rsidR="00576B35" w:rsidRPr="00576B35">
        <w:rPr>
          <w:color w:val="auto"/>
          <w:sz w:val="20"/>
          <w:szCs w:val="20"/>
        </w:rPr>
        <w:t xml:space="preserve">(July 3, 2014), http://www.medicaid.gov/Federal-Policy-Guidance/Downloads/CIB-07-03-2014.pdf.; </w:t>
      </w:r>
      <w:r w:rsidR="00576B35" w:rsidRPr="00576B35">
        <w:rPr>
          <w:i/>
          <w:color w:val="auto"/>
          <w:sz w:val="20"/>
          <w:szCs w:val="20"/>
        </w:rPr>
        <w:t xml:space="preserve">see also </w:t>
      </w:r>
      <w:r w:rsidR="00576B35" w:rsidRPr="00576B35">
        <w:rPr>
          <w:color w:val="auto"/>
          <w:sz w:val="20"/>
          <w:szCs w:val="20"/>
        </w:rPr>
        <w:t xml:space="preserve">CMS, </w:t>
      </w:r>
      <w:r w:rsidR="00576B35" w:rsidRPr="00576B35">
        <w:rPr>
          <w:i/>
          <w:color w:val="auto"/>
          <w:sz w:val="20"/>
          <w:szCs w:val="20"/>
        </w:rPr>
        <w:t>Application for a § 1915(c) Home and Community-Based Waiver, Instructions, Technical Guide and Review Criteria</w:t>
      </w:r>
      <w:r w:rsidR="00576B35" w:rsidRPr="00576B35">
        <w:rPr>
          <w:color w:val="auto"/>
          <w:sz w:val="20"/>
          <w:szCs w:val="20"/>
        </w:rPr>
        <w:t xml:space="preserve"> at 141</w:t>
      </w:r>
      <w:r w:rsidR="00576B35" w:rsidRPr="00576B35">
        <w:rPr>
          <w:i/>
          <w:color w:val="auto"/>
          <w:sz w:val="20"/>
          <w:szCs w:val="20"/>
        </w:rPr>
        <w:t xml:space="preserve"> </w:t>
      </w:r>
      <w:r w:rsidR="00576B35" w:rsidRPr="00576B35">
        <w:rPr>
          <w:color w:val="auto"/>
          <w:sz w:val="20"/>
          <w:szCs w:val="20"/>
        </w:rPr>
        <w:t>(January 2008), http://www.medicaid.gov/Medicaid-CHIP-Program-Information/By-Topics/Waivers/Downloads/Technical-Guidance.pdf.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C9" w:rsidRDefault="0046463D" w:rsidP="001E2B0D">
    <w:pPr>
      <w:ind w:left="6480"/>
    </w:pPr>
    <w:r>
      <w:rPr>
        <w:szCs w:val="24"/>
      </w:rPr>
      <w:fldChar w:fldCharType="begin"/>
    </w:r>
    <w:r w:rsidR="000410C9">
      <w:rPr>
        <w:szCs w:val="24"/>
      </w:rPr>
      <w:instrText>ADVANCE \x 0</w:instrText>
    </w:r>
    <w:r>
      <w:rPr>
        <w:szCs w:val="24"/>
      </w:rPr>
      <w:fldChar w:fldCharType="end"/>
    </w:r>
    <w:r>
      <w:rPr>
        <w:szCs w:val="24"/>
      </w:rPr>
      <w:fldChar w:fldCharType="begin"/>
    </w:r>
    <w:r w:rsidR="000410C9">
      <w:rPr>
        <w:szCs w:val="24"/>
      </w:rPr>
      <w:instrText>ADVANCE \y 129</w:instrText>
    </w:r>
    <w:r>
      <w:rPr>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620E4"/>
    <w:rsid w:val="00001148"/>
    <w:rsid w:val="00015656"/>
    <w:rsid w:val="00026A56"/>
    <w:rsid w:val="0002714A"/>
    <w:rsid w:val="00033014"/>
    <w:rsid w:val="000410C9"/>
    <w:rsid w:val="00047A74"/>
    <w:rsid w:val="000576F2"/>
    <w:rsid w:val="00091513"/>
    <w:rsid w:val="000A63FD"/>
    <w:rsid w:val="000C6531"/>
    <w:rsid w:val="000D349E"/>
    <w:rsid w:val="000F1B43"/>
    <w:rsid w:val="0010028E"/>
    <w:rsid w:val="00117E64"/>
    <w:rsid w:val="00127812"/>
    <w:rsid w:val="00144137"/>
    <w:rsid w:val="001457C8"/>
    <w:rsid w:val="001B13FC"/>
    <w:rsid w:val="001B5A2B"/>
    <w:rsid w:val="001C2D03"/>
    <w:rsid w:val="001D598A"/>
    <w:rsid w:val="001E2B0D"/>
    <w:rsid w:val="001E3247"/>
    <w:rsid w:val="001F245B"/>
    <w:rsid w:val="001F6088"/>
    <w:rsid w:val="00213161"/>
    <w:rsid w:val="00213931"/>
    <w:rsid w:val="0022172A"/>
    <w:rsid w:val="002339AA"/>
    <w:rsid w:val="00235752"/>
    <w:rsid w:val="002567CE"/>
    <w:rsid w:val="00263433"/>
    <w:rsid w:val="00277FA4"/>
    <w:rsid w:val="00282A9E"/>
    <w:rsid w:val="002978D0"/>
    <w:rsid w:val="002A2AA6"/>
    <w:rsid w:val="002B48E2"/>
    <w:rsid w:val="002C4138"/>
    <w:rsid w:val="002C454B"/>
    <w:rsid w:val="002E1280"/>
    <w:rsid w:val="002F3638"/>
    <w:rsid w:val="00307B65"/>
    <w:rsid w:val="00310CDD"/>
    <w:rsid w:val="00336E57"/>
    <w:rsid w:val="00344609"/>
    <w:rsid w:val="00374FD2"/>
    <w:rsid w:val="00376A4B"/>
    <w:rsid w:val="003867A4"/>
    <w:rsid w:val="003A0983"/>
    <w:rsid w:val="003C0429"/>
    <w:rsid w:val="003C1FA7"/>
    <w:rsid w:val="003C54AE"/>
    <w:rsid w:val="003D4381"/>
    <w:rsid w:val="003D6189"/>
    <w:rsid w:val="003D69A7"/>
    <w:rsid w:val="003F10C7"/>
    <w:rsid w:val="003F728F"/>
    <w:rsid w:val="00400BE4"/>
    <w:rsid w:val="004415F5"/>
    <w:rsid w:val="0045009F"/>
    <w:rsid w:val="0046463D"/>
    <w:rsid w:val="00473B94"/>
    <w:rsid w:val="004744B9"/>
    <w:rsid w:val="00477F96"/>
    <w:rsid w:val="004929C4"/>
    <w:rsid w:val="004B4E15"/>
    <w:rsid w:val="004C20DB"/>
    <w:rsid w:val="004C2767"/>
    <w:rsid w:val="004C66EB"/>
    <w:rsid w:val="004F124F"/>
    <w:rsid w:val="004F463B"/>
    <w:rsid w:val="0051267A"/>
    <w:rsid w:val="00514266"/>
    <w:rsid w:val="00553554"/>
    <w:rsid w:val="00561959"/>
    <w:rsid w:val="005623CD"/>
    <w:rsid w:val="00576B35"/>
    <w:rsid w:val="00594EDF"/>
    <w:rsid w:val="00595666"/>
    <w:rsid w:val="005A53C8"/>
    <w:rsid w:val="005B2B49"/>
    <w:rsid w:val="005D3FB6"/>
    <w:rsid w:val="005F6A2F"/>
    <w:rsid w:val="00612468"/>
    <w:rsid w:val="00612C37"/>
    <w:rsid w:val="00617C42"/>
    <w:rsid w:val="00621682"/>
    <w:rsid w:val="00631642"/>
    <w:rsid w:val="00634A8B"/>
    <w:rsid w:val="006353F8"/>
    <w:rsid w:val="00637BBE"/>
    <w:rsid w:val="00661FBB"/>
    <w:rsid w:val="006626B2"/>
    <w:rsid w:val="0066489E"/>
    <w:rsid w:val="006718F2"/>
    <w:rsid w:val="006736E6"/>
    <w:rsid w:val="006862E0"/>
    <w:rsid w:val="006B5728"/>
    <w:rsid w:val="006C0D99"/>
    <w:rsid w:val="006D32E5"/>
    <w:rsid w:val="006E5BE9"/>
    <w:rsid w:val="006F257D"/>
    <w:rsid w:val="00701579"/>
    <w:rsid w:val="00711324"/>
    <w:rsid w:val="00713A95"/>
    <w:rsid w:val="00727B00"/>
    <w:rsid w:val="00731A0E"/>
    <w:rsid w:val="00735B3B"/>
    <w:rsid w:val="007617C8"/>
    <w:rsid w:val="007644FB"/>
    <w:rsid w:val="00795563"/>
    <w:rsid w:val="00797BEA"/>
    <w:rsid w:val="007B5B00"/>
    <w:rsid w:val="007D3D0A"/>
    <w:rsid w:val="007E6B02"/>
    <w:rsid w:val="007F49D6"/>
    <w:rsid w:val="00817B00"/>
    <w:rsid w:val="00851B0D"/>
    <w:rsid w:val="00855CE2"/>
    <w:rsid w:val="00857459"/>
    <w:rsid w:val="00896551"/>
    <w:rsid w:val="008B48CB"/>
    <w:rsid w:val="008B4AB2"/>
    <w:rsid w:val="008B6EFE"/>
    <w:rsid w:val="008C42F2"/>
    <w:rsid w:val="008D0008"/>
    <w:rsid w:val="00905CF0"/>
    <w:rsid w:val="00915EAC"/>
    <w:rsid w:val="00917AF9"/>
    <w:rsid w:val="009B2A8B"/>
    <w:rsid w:val="009D3F6A"/>
    <w:rsid w:val="009D7726"/>
    <w:rsid w:val="009E20CB"/>
    <w:rsid w:val="00A06B0A"/>
    <w:rsid w:val="00A109C3"/>
    <w:rsid w:val="00A168F2"/>
    <w:rsid w:val="00A22F26"/>
    <w:rsid w:val="00A5264C"/>
    <w:rsid w:val="00A52BB1"/>
    <w:rsid w:val="00A77004"/>
    <w:rsid w:val="00A82FE8"/>
    <w:rsid w:val="00A935C6"/>
    <w:rsid w:val="00AA2C26"/>
    <w:rsid w:val="00AB32F0"/>
    <w:rsid w:val="00AB4367"/>
    <w:rsid w:val="00AB4723"/>
    <w:rsid w:val="00AB4838"/>
    <w:rsid w:val="00AB6664"/>
    <w:rsid w:val="00AE70E5"/>
    <w:rsid w:val="00AE7AD9"/>
    <w:rsid w:val="00AF4E36"/>
    <w:rsid w:val="00B17310"/>
    <w:rsid w:val="00B22851"/>
    <w:rsid w:val="00B37437"/>
    <w:rsid w:val="00B40A1C"/>
    <w:rsid w:val="00B41F54"/>
    <w:rsid w:val="00B5556F"/>
    <w:rsid w:val="00B62D52"/>
    <w:rsid w:val="00BD32C8"/>
    <w:rsid w:val="00BF380F"/>
    <w:rsid w:val="00BF7634"/>
    <w:rsid w:val="00C123BB"/>
    <w:rsid w:val="00C25630"/>
    <w:rsid w:val="00C426D8"/>
    <w:rsid w:val="00C42F38"/>
    <w:rsid w:val="00C442FA"/>
    <w:rsid w:val="00C46CED"/>
    <w:rsid w:val="00C700DC"/>
    <w:rsid w:val="00C71D55"/>
    <w:rsid w:val="00C7440B"/>
    <w:rsid w:val="00CA24B8"/>
    <w:rsid w:val="00CE12D1"/>
    <w:rsid w:val="00CF5B1A"/>
    <w:rsid w:val="00D03E64"/>
    <w:rsid w:val="00D04ACB"/>
    <w:rsid w:val="00D05EA6"/>
    <w:rsid w:val="00D0678D"/>
    <w:rsid w:val="00D21632"/>
    <w:rsid w:val="00D40BD6"/>
    <w:rsid w:val="00D441A2"/>
    <w:rsid w:val="00D521F8"/>
    <w:rsid w:val="00D53A7B"/>
    <w:rsid w:val="00D64E90"/>
    <w:rsid w:val="00D8454C"/>
    <w:rsid w:val="00D854E0"/>
    <w:rsid w:val="00D91660"/>
    <w:rsid w:val="00DA3C77"/>
    <w:rsid w:val="00DA4EA3"/>
    <w:rsid w:val="00DC0302"/>
    <w:rsid w:val="00DC2FE8"/>
    <w:rsid w:val="00DD1643"/>
    <w:rsid w:val="00DD3A54"/>
    <w:rsid w:val="00DF57BB"/>
    <w:rsid w:val="00E30667"/>
    <w:rsid w:val="00E52F19"/>
    <w:rsid w:val="00E62BA2"/>
    <w:rsid w:val="00E8025A"/>
    <w:rsid w:val="00E809AD"/>
    <w:rsid w:val="00E80ABA"/>
    <w:rsid w:val="00E83D84"/>
    <w:rsid w:val="00EA5203"/>
    <w:rsid w:val="00EC1A68"/>
    <w:rsid w:val="00EC4074"/>
    <w:rsid w:val="00EC4D27"/>
    <w:rsid w:val="00ED1F78"/>
    <w:rsid w:val="00ED7DC0"/>
    <w:rsid w:val="00EE3322"/>
    <w:rsid w:val="00EE7B6D"/>
    <w:rsid w:val="00EF134B"/>
    <w:rsid w:val="00EF356E"/>
    <w:rsid w:val="00F03CDD"/>
    <w:rsid w:val="00F11858"/>
    <w:rsid w:val="00F16261"/>
    <w:rsid w:val="00F17585"/>
    <w:rsid w:val="00F32280"/>
    <w:rsid w:val="00F620E4"/>
    <w:rsid w:val="00F7257B"/>
    <w:rsid w:val="00F93BFB"/>
    <w:rsid w:val="00FA5659"/>
    <w:rsid w:val="00FB5600"/>
    <w:rsid w:val="00FE6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4C66EB"/>
    <w:pPr>
      <w:keepNext/>
      <w:keepLines/>
      <w:autoSpaceDE/>
      <w:autoSpaceDN/>
      <w:adjustRightInd/>
      <w:spacing w:before="48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7B5B00"/>
    <w:pPr>
      <w:tabs>
        <w:tab w:val="center" w:pos="4680"/>
        <w:tab w:val="right" w:pos="9360"/>
      </w:tabs>
    </w:pPr>
  </w:style>
  <w:style w:type="character" w:customStyle="1" w:styleId="HeaderChar">
    <w:name w:val="Header Char"/>
    <w:basedOn w:val="DefaultParagraphFont"/>
    <w:link w:val="Header"/>
    <w:uiPriority w:val="99"/>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character" w:customStyle="1" w:styleId="Heading1Char">
    <w:name w:val="Heading 1 Char"/>
    <w:basedOn w:val="DefaultParagraphFont"/>
    <w:link w:val="Heading1"/>
    <w:uiPriority w:val="9"/>
    <w:rsid w:val="004C66EB"/>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4C66EB"/>
    <w:rPr>
      <w:color w:val="0000FF"/>
      <w:u w:val="single"/>
    </w:rPr>
  </w:style>
  <w:style w:type="character" w:styleId="CommentReference">
    <w:name w:val="annotation reference"/>
    <w:basedOn w:val="DefaultParagraphFont"/>
    <w:uiPriority w:val="99"/>
    <w:semiHidden/>
    <w:unhideWhenUsed/>
    <w:rsid w:val="004C66EB"/>
    <w:rPr>
      <w:sz w:val="16"/>
      <w:szCs w:val="16"/>
    </w:rPr>
  </w:style>
  <w:style w:type="paragraph" w:styleId="CommentText">
    <w:name w:val="annotation text"/>
    <w:basedOn w:val="Normal"/>
    <w:link w:val="CommentTextChar"/>
    <w:uiPriority w:val="99"/>
    <w:semiHidden/>
    <w:unhideWhenUsed/>
    <w:rsid w:val="004C66EB"/>
    <w:pPr>
      <w:autoSpaceDE/>
      <w:autoSpaceDN/>
      <w:adjustRightInd/>
      <w:spacing w:after="200"/>
    </w:pPr>
    <w:rPr>
      <w:rFonts w:ascii="Calibri" w:hAnsi="Calibri"/>
      <w:sz w:val="20"/>
    </w:rPr>
  </w:style>
  <w:style w:type="character" w:customStyle="1" w:styleId="CommentTextChar">
    <w:name w:val="Comment Text Char"/>
    <w:basedOn w:val="DefaultParagraphFont"/>
    <w:link w:val="CommentText"/>
    <w:uiPriority w:val="99"/>
    <w:semiHidden/>
    <w:rsid w:val="004C66EB"/>
    <w:rPr>
      <w:sz w:val="20"/>
      <w:szCs w:val="20"/>
    </w:rPr>
  </w:style>
  <w:style w:type="character" w:styleId="FollowedHyperlink">
    <w:name w:val="FollowedHyperlink"/>
    <w:basedOn w:val="DefaultParagraphFont"/>
    <w:uiPriority w:val="99"/>
    <w:semiHidden/>
    <w:unhideWhenUsed/>
    <w:rsid w:val="004C66EB"/>
    <w:rPr>
      <w:color w:val="800080"/>
      <w:u w:val="single"/>
    </w:rPr>
  </w:style>
  <w:style w:type="paragraph" w:styleId="FootnoteText">
    <w:name w:val="footnote text"/>
    <w:basedOn w:val="Normal"/>
    <w:link w:val="FootnoteTextChar"/>
    <w:uiPriority w:val="99"/>
    <w:semiHidden/>
    <w:unhideWhenUsed/>
    <w:rsid w:val="00E62BA2"/>
    <w:rPr>
      <w:sz w:val="20"/>
    </w:rPr>
  </w:style>
  <w:style w:type="character" w:customStyle="1" w:styleId="FootnoteTextChar">
    <w:name w:val="Footnote Text Char"/>
    <w:basedOn w:val="DefaultParagraphFont"/>
    <w:link w:val="FootnoteText"/>
    <w:uiPriority w:val="99"/>
    <w:semiHidden/>
    <w:rsid w:val="00E62BA2"/>
    <w:rPr>
      <w:rFonts w:ascii="Times New Roman" w:hAnsi="Times New Roman"/>
    </w:rPr>
  </w:style>
  <w:style w:type="character" w:styleId="FootnoteReference">
    <w:name w:val="footnote reference"/>
    <w:basedOn w:val="DefaultParagraphFont"/>
    <w:uiPriority w:val="99"/>
    <w:semiHidden/>
    <w:unhideWhenUsed/>
    <w:rsid w:val="00E62BA2"/>
    <w:rPr>
      <w:vertAlign w:val="superscript"/>
    </w:rPr>
  </w:style>
  <w:style w:type="paragraph" w:styleId="CommentSubject">
    <w:name w:val="annotation subject"/>
    <w:basedOn w:val="CommentText"/>
    <w:next w:val="CommentText"/>
    <w:link w:val="CommentSubjectChar"/>
    <w:uiPriority w:val="99"/>
    <w:semiHidden/>
    <w:unhideWhenUsed/>
    <w:rsid w:val="000A63FD"/>
    <w:pPr>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0A63FD"/>
    <w:rPr>
      <w:rFonts w:ascii="Times New Roman" w:hAnsi="Times New Roman"/>
      <w:b/>
      <w:bCs/>
      <w:sz w:val="20"/>
      <w:szCs w:val="20"/>
    </w:rPr>
  </w:style>
  <w:style w:type="paragraph" w:styleId="NormalWeb">
    <w:name w:val="Normal (Web)"/>
    <w:basedOn w:val="Normal"/>
    <w:uiPriority w:val="99"/>
    <w:semiHidden/>
    <w:unhideWhenUsed/>
    <w:rsid w:val="00B17310"/>
    <w:pPr>
      <w:autoSpaceDE/>
      <w:autoSpaceDN/>
      <w:adjustRightInd/>
      <w:spacing w:before="100" w:beforeAutospacing="1" w:after="75"/>
      <w:ind w:left="150"/>
    </w:pPr>
    <w:rPr>
      <w:rFonts w:eastAsia="Times New Roman"/>
      <w:sz w:val="19"/>
      <w:szCs w:val="19"/>
    </w:rPr>
  </w:style>
  <w:style w:type="character" w:styleId="Emphasis">
    <w:name w:val="Emphasis"/>
    <w:basedOn w:val="DefaultParagraphFont"/>
    <w:uiPriority w:val="20"/>
    <w:qFormat/>
    <w:rsid w:val="001B13FC"/>
    <w:rPr>
      <w:i/>
      <w:iCs/>
    </w:rPr>
  </w:style>
  <w:style w:type="paragraph" w:styleId="Revision">
    <w:name w:val="Revision"/>
    <w:hidden/>
    <w:uiPriority w:val="99"/>
    <w:semiHidden/>
    <w:rsid w:val="00EC4D27"/>
    <w:rPr>
      <w:rFonts w:ascii="Times New Roman" w:hAnsi="Times New Roman"/>
      <w:sz w:val="24"/>
    </w:rPr>
  </w:style>
  <w:style w:type="paragraph" w:customStyle="1" w:styleId="Default">
    <w:name w:val="Default"/>
    <w:rsid w:val="00D53A7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4C66EB"/>
    <w:pPr>
      <w:keepNext/>
      <w:keepLines/>
      <w:autoSpaceDE/>
      <w:autoSpaceDN/>
      <w:adjustRightInd/>
      <w:spacing w:before="48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7B5B00"/>
    <w:pPr>
      <w:tabs>
        <w:tab w:val="center" w:pos="4680"/>
        <w:tab w:val="right" w:pos="9360"/>
      </w:tabs>
    </w:pPr>
  </w:style>
  <w:style w:type="character" w:customStyle="1" w:styleId="HeaderChar">
    <w:name w:val="Header Char"/>
    <w:basedOn w:val="DefaultParagraphFont"/>
    <w:link w:val="Header"/>
    <w:uiPriority w:val="99"/>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character" w:customStyle="1" w:styleId="Heading1Char">
    <w:name w:val="Heading 1 Char"/>
    <w:basedOn w:val="DefaultParagraphFont"/>
    <w:link w:val="Heading1"/>
    <w:uiPriority w:val="9"/>
    <w:rsid w:val="004C66EB"/>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4C66EB"/>
    <w:rPr>
      <w:color w:val="0000FF"/>
      <w:u w:val="single"/>
    </w:rPr>
  </w:style>
  <w:style w:type="character" w:styleId="CommentReference">
    <w:name w:val="annotation reference"/>
    <w:basedOn w:val="DefaultParagraphFont"/>
    <w:uiPriority w:val="99"/>
    <w:semiHidden/>
    <w:unhideWhenUsed/>
    <w:rsid w:val="004C66EB"/>
    <w:rPr>
      <w:sz w:val="16"/>
      <w:szCs w:val="16"/>
    </w:rPr>
  </w:style>
  <w:style w:type="paragraph" w:styleId="CommentText">
    <w:name w:val="annotation text"/>
    <w:basedOn w:val="Normal"/>
    <w:link w:val="CommentTextChar"/>
    <w:uiPriority w:val="99"/>
    <w:semiHidden/>
    <w:unhideWhenUsed/>
    <w:rsid w:val="004C66EB"/>
    <w:pPr>
      <w:autoSpaceDE/>
      <w:autoSpaceDN/>
      <w:adjustRightInd/>
      <w:spacing w:after="200"/>
    </w:pPr>
    <w:rPr>
      <w:rFonts w:ascii="Calibri" w:hAnsi="Calibri"/>
      <w:sz w:val="20"/>
    </w:rPr>
  </w:style>
  <w:style w:type="character" w:customStyle="1" w:styleId="CommentTextChar">
    <w:name w:val="Comment Text Char"/>
    <w:basedOn w:val="DefaultParagraphFont"/>
    <w:link w:val="CommentText"/>
    <w:uiPriority w:val="99"/>
    <w:semiHidden/>
    <w:rsid w:val="004C66EB"/>
    <w:rPr>
      <w:sz w:val="20"/>
      <w:szCs w:val="20"/>
    </w:rPr>
  </w:style>
  <w:style w:type="character" w:styleId="FollowedHyperlink">
    <w:name w:val="FollowedHyperlink"/>
    <w:basedOn w:val="DefaultParagraphFont"/>
    <w:uiPriority w:val="99"/>
    <w:semiHidden/>
    <w:unhideWhenUsed/>
    <w:rsid w:val="004C66EB"/>
    <w:rPr>
      <w:color w:val="800080"/>
      <w:u w:val="single"/>
    </w:rPr>
  </w:style>
  <w:style w:type="paragraph" w:styleId="FootnoteText">
    <w:name w:val="footnote text"/>
    <w:basedOn w:val="Normal"/>
    <w:link w:val="FootnoteTextChar"/>
    <w:uiPriority w:val="99"/>
    <w:semiHidden/>
    <w:unhideWhenUsed/>
    <w:rsid w:val="00E62BA2"/>
    <w:rPr>
      <w:sz w:val="20"/>
    </w:rPr>
  </w:style>
  <w:style w:type="character" w:customStyle="1" w:styleId="FootnoteTextChar">
    <w:name w:val="Footnote Text Char"/>
    <w:basedOn w:val="DefaultParagraphFont"/>
    <w:link w:val="FootnoteText"/>
    <w:uiPriority w:val="99"/>
    <w:semiHidden/>
    <w:rsid w:val="00E62BA2"/>
    <w:rPr>
      <w:rFonts w:ascii="Times New Roman" w:hAnsi="Times New Roman"/>
    </w:rPr>
  </w:style>
  <w:style w:type="character" w:styleId="FootnoteReference">
    <w:name w:val="footnote reference"/>
    <w:basedOn w:val="DefaultParagraphFont"/>
    <w:uiPriority w:val="99"/>
    <w:semiHidden/>
    <w:unhideWhenUsed/>
    <w:rsid w:val="00E62BA2"/>
    <w:rPr>
      <w:vertAlign w:val="superscript"/>
    </w:rPr>
  </w:style>
  <w:style w:type="paragraph" w:styleId="CommentSubject">
    <w:name w:val="annotation subject"/>
    <w:basedOn w:val="CommentText"/>
    <w:next w:val="CommentText"/>
    <w:link w:val="CommentSubjectChar"/>
    <w:uiPriority w:val="99"/>
    <w:semiHidden/>
    <w:unhideWhenUsed/>
    <w:rsid w:val="000A63FD"/>
    <w:pPr>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0A63FD"/>
    <w:rPr>
      <w:rFonts w:ascii="Times New Roman" w:hAnsi="Times New Roman"/>
      <w:b/>
      <w:bCs/>
      <w:sz w:val="20"/>
      <w:szCs w:val="20"/>
    </w:rPr>
  </w:style>
  <w:style w:type="paragraph" w:styleId="NormalWeb">
    <w:name w:val="Normal (Web)"/>
    <w:basedOn w:val="Normal"/>
    <w:uiPriority w:val="99"/>
    <w:semiHidden/>
    <w:unhideWhenUsed/>
    <w:rsid w:val="00B17310"/>
    <w:pPr>
      <w:autoSpaceDE/>
      <w:autoSpaceDN/>
      <w:adjustRightInd/>
      <w:spacing w:before="100" w:beforeAutospacing="1" w:after="75"/>
      <w:ind w:left="150"/>
    </w:pPr>
    <w:rPr>
      <w:rFonts w:eastAsia="Times New Roman"/>
      <w:sz w:val="19"/>
      <w:szCs w:val="19"/>
    </w:rPr>
  </w:style>
  <w:style w:type="character" w:styleId="Emphasis">
    <w:name w:val="Emphasis"/>
    <w:basedOn w:val="DefaultParagraphFont"/>
    <w:uiPriority w:val="20"/>
    <w:qFormat/>
    <w:rsid w:val="001B13FC"/>
    <w:rPr>
      <w:i/>
      <w:iCs/>
    </w:rPr>
  </w:style>
  <w:style w:type="paragraph" w:styleId="Revision">
    <w:name w:val="Revision"/>
    <w:hidden/>
    <w:uiPriority w:val="99"/>
    <w:semiHidden/>
    <w:rsid w:val="00EC4D27"/>
    <w:rPr>
      <w:rFonts w:ascii="Times New Roman" w:hAnsi="Times New Roman"/>
      <w:sz w:val="24"/>
    </w:rPr>
  </w:style>
  <w:style w:type="paragraph" w:customStyle="1" w:styleId="Default">
    <w:name w:val="Default"/>
    <w:rsid w:val="00D53A7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8181087">
      <w:bodyDiv w:val="1"/>
      <w:marLeft w:val="0"/>
      <w:marRight w:val="0"/>
      <w:marTop w:val="0"/>
      <w:marBottom w:val="0"/>
      <w:divBdr>
        <w:top w:val="none" w:sz="0" w:space="0" w:color="auto"/>
        <w:left w:val="none" w:sz="0" w:space="0" w:color="auto"/>
        <w:bottom w:val="none" w:sz="0" w:space="0" w:color="auto"/>
        <w:right w:val="none" w:sz="0" w:space="0" w:color="auto"/>
      </w:divBdr>
      <w:divsChild>
        <w:div w:id="946616739">
          <w:marLeft w:val="0"/>
          <w:marRight w:val="0"/>
          <w:marTop w:val="0"/>
          <w:marBottom w:val="0"/>
          <w:divBdr>
            <w:top w:val="none" w:sz="0" w:space="0" w:color="auto"/>
            <w:left w:val="none" w:sz="0" w:space="0" w:color="auto"/>
            <w:bottom w:val="none" w:sz="0" w:space="0" w:color="auto"/>
            <w:right w:val="none" w:sz="0" w:space="0" w:color="auto"/>
          </w:divBdr>
          <w:divsChild>
            <w:div w:id="261030887">
              <w:marLeft w:val="0"/>
              <w:marRight w:val="0"/>
              <w:marTop w:val="0"/>
              <w:marBottom w:val="0"/>
              <w:divBdr>
                <w:top w:val="none" w:sz="0" w:space="0" w:color="auto"/>
                <w:left w:val="none" w:sz="0" w:space="0" w:color="auto"/>
                <w:bottom w:val="none" w:sz="0" w:space="0" w:color="auto"/>
                <w:right w:val="none" w:sz="0" w:space="0" w:color="auto"/>
              </w:divBdr>
              <w:divsChild>
                <w:div w:id="1951741346">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4DF2-CE53-4252-AC2F-9AEE6B42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9114</CharactersWithSpaces>
  <SharedDoc>false</SharedDoc>
  <HLinks>
    <vt:vector size="6" baseType="variant">
      <vt:variant>
        <vt:i4>6291481</vt:i4>
      </vt:variant>
      <vt:variant>
        <vt:i4>0</vt:i4>
      </vt:variant>
      <vt:variant>
        <vt:i4>0</vt:i4>
      </vt:variant>
      <vt:variant>
        <vt:i4>5</vt:i4>
      </vt:variant>
      <vt:variant>
        <vt:lpwstr>http://www.ada.gov/olmstead/q&amp;a_olmstead.htm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2014-12-16T15:01:00Z</dcterms:created>
  <dcterms:modified xsi:type="dcterms:W3CDTF">2014-12-16T15:01:00Z</dcterms:modified>
</cp:coreProperties>
</file>