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99" w:rsidRPr="009460AE" w:rsidRDefault="00894099" w:rsidP="00894099">
      <w:pPr>
        <w:spacing w:after="0" w:line="240" w:lineRule="auto"/>
        <w:rPr>
          <w:rFonts w:ascii="Times New Roman" w:hAnsi="Times New Roman"/>
          <w:sz w:val="24"/>
          <w:szCs w:val="24"/>
        </w:rPr>
      </w:pPr>
      <w:r w:rsidRPr="009460AE">
        <w:rPr>
          <w:rFonts w:ascii="Times New Roman" w:hAnsi="Times New Roman"/>
          <w:sz w:val="24"/>
          <w:szCs w:val="24"/>
        </w:rPr>
        <w:t>UNITED STATES DISTRICT COURT</w:t>
      </w:r>
    </w:p>
    <w:p w:rsidR="00894099" w:rsidRPr="009460AE" w:rsidRDefault="00894099" w:rsidP="00894099">
      <w:pPr>
        <w:spacing w:after="0" w:line="240" w:lineRule="auto"/>
        <w:rPr>
          <w:rFonts w:ascii="Times New Roman" w:hAnsi="Times New Roman"/>
          <w:sz w:val="24"/>
          <w:szCs w:val="24"/>
        </w:rPr>
      </w:pPr>
      <w:r w:rsidRPr="009460AE">
        <w:rPr>
          <w:rFonts w:ascii="Times New Roman" w:hAnsi="Times New Roman"/>
          <w:sz w:val="24"/>
          <w:szCs w:val="24"/>
        </w:rPr>
        <w:t>EASTERN DISTRICT OF NEW YORK</w:t>
      </w:r>
    </w:p>
    <w:p w:rsidR="00894099" w:rsidRPr="009460AE" w:rsidRDefault="00894099" w:rsidP="00894099">
      <w:pPr>
        <w:tabs>
          <w:tab w:val="left" w:pos="540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sidRPr="009460AE">
        <w:rPr>
          <w:rFonts w:ascii="Times New Roman" w:hAnsi="Times New Roman"/>
          <w:sz w:val="24"/>
          <w:szCs w:val="24"/>
        </w:rPr>
        <w:t>- - - - - - - - - - - - - - - - - - - - - - - - - - - - - - - - - - - - - - - - -X</w:t>
      </w:r>
    </w:p>
    <w:p w:rsidR="0080180D" w:rsidRPr="009460AE" w:rsidRDefault="0080180D" w:rsidP="00894099">
      <w:pPr>
        <w:tabs>
          <w:tab w:val="left" w:pos="540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14617B" w:rsidRPr="009460AE" w:rsidRDefault="0014617B"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sidRPr="009460AE">
        <w:rPr>
          <w:rFonts w:ascii="Times New Roman" w:hAnsi="Times New Roman"/>
          <w:sz w:val="24"/>
          <w:szCs w:val="24"/>
        </w:rPr>
        <w:t>CHILD WITH DISABIL</w:t>
      </w:r>
      <w:r w:rsidR="0050254D">
        <w:rPr>
          <w:rFonts w:ascii="Times New Roman" w:hAnsi="Times New Roman"/>
          <w:sz w:val="24"/>
          <w:szCs w:val="24"/>
        </w:rPr>
        <w:t>I</w:t>
      </w:r>
      <w:r w:rsidRPr="009460AE">
        <w:rPr>
          <w:rFonts w:ascii="Times New Roman" w:hAnsi="Times New Roman"/>
          <w:sz w:val="24"/>
          <w:szCs w:val="24"/>
        </w:rPr>
        <w:t>TY and MOTHER</w:t>
      </w:r>
      <w:r w:rsidR="00894099" w:rsidRPr="009460AE">
        <w:rPr>
          <w:rFonts w:ascii="Times New Roman" w:hAnsi="Times New Roman"/>
          <w:sz w:val="24"/>
          <w:szCs w:val="24"/>
        </w:rPr>
        <w:t>,</w:t>
      </w:r>
    </w:p>
    <w:p w:rsidR="0014617B" w:rsidRPr="009460AE" w:rsidRDefault="0014617B"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roofErr w:type="gramStart"/>
      <w:r w:rsidRPr="009460AE">
        <w:rPr>
          <w:rFonts w:ascii="Times New Roman" w:hAnsi="Times New Roman"/>
          <w:sz w:val="24"/>
          <w:szCs w:val="24"/>
        </w:rPr>
        <w:t>and</w:t>
      </w:r>
      <w:proofErr w:type="gramEnd"/>
      <w:r w:rsidRPr="009460AE">
        <w:rPr>
          <w:rFonts w:ascii="Times New Roman" w:hAnsi="Times New Roman"/>
          <w:sz w:val="24"/>
          <w:szCs w:val="24"/>
        </w:rPr>
        <w:t xml:space="preserve"> FATHER, individual and on behalf of their son, </w:t>
      </w:r>
    </w:p>
    <w:p w:rsidR="00894099" w:rsidRPr="009460AE" w:rsidRDefault="0014617B"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roofErr w:type="gramStart"/>
      <w:r w:rsidRPr="009460AE">
        <w:rPr>
          <w:rFonts w:ascii="Times New Roman" w:hAnsi="Times New Roman"/>
          <w:sz w:val="24"/>
          <w:szCs w:val="24"/>
        </w:rPr>
        <w:t>a</w:t>
      </w:r>
      <w:proofErr w:type="gramEnd"/>
      <w:r w:rsidRPr="009460AE">
        <w:rPr>
          <w:rFonts w:ascii="Times New Roman" w:hAnsi="Times New Roman"/>
          <w:sz w:val="24"/>
          <w:szCs w:val="24"/>
        </w:rPr>
        <w:t xml:space="preserve"> minor,</w:t>
      </w:r>
      <w:r w:rsidR="00894099" w:rsidRPr="009460AE">
        <w:rPr>
          <w:rFonts w:ascii="Times New Roman" w:hAnsi="Times New Roman"/>
          <w:sz w:val="24"/>
          <w:szCs w:val="24"/>
        </w:rPr>
        <w:tab/>
      </w:r>
      <w:r w:rsidR="00894099" w:rsidRPr="009460AE">
        <w:rPr>
          <w:rFonts w:ascii="Times New Roman" w:hAnsi="Times New Roman"/>
          <w:sz w:val="24"/>
          <w:szCs w:val="24"/>
        </w:rPr>
        <w:tab/>
      </w:r>
      <w:r w:rsidR="00894099" w:rsidRPr="009460AE">
        <w:rPr>
          <w:rFonts w:ascii="Times New Roman" w:hAnsi="Times New Roman"/>
          <w:sz w:val="24"/>
          <w:szCs w:val="24"/>
        </w:rPr>
        <w:tab/>
      </w:r>
      <w:r w:rsidR="00894099" w:rsidRPr="009460AE">
        <w:rPr>
          <w:rFonts w:ascii="Times New Roman" w:hAnsi="Times New Roman"/>
          <w:sz w:val="24"/>
          <w:szCs w:val="24"/>
        </w:rPr>
        <w:tab/>
      </w:r>
      <w:r w:rsidR="00894099" w:rsidRPr="009460AE">
        <w:rPr>
          <w:rFonts w:ascii="Times New Roman" w:hAnsi="Times New Roman"/>
          <w:sz w:val="24"/>
          <w:szCs w:val="24"/>
        </w:rPr>
        <w:tab/>
      </w:r>
      <w:r w:rsidR="00894099" w:rsidRPr="009460AE">
        <w:rPr>
          <w:rFonts w:ascii="Times New Roman" w:hAnsi="Times New Roman"/>
          <w:sz w:val="24"/>
          <w:szCs w:val="24"/>
        </w:rPr>
        <w:tab/>
      </w:r>
      <w:r w:rsidR="00894099" w:rsidRPr="009460AE">
        <w:rPr>
          <w:rFonts w:ascii="Times New Roman" w:hAnsi="Times New Roman"/>
          <w:sz w:val="24"/>
          <w:szCs w:val="24"/>
        </w:rPr>
        <w:tab/>
      </w:r>
      <w:r w:rsidR="00894099" w:rsidRPr="009460AE">
        <w:rPr>
          <w:rFonts w:ascii="Times New Roman" w:hAnsi="Times New Roman"/>
          <w:sz w:val="24"/>
          <w:szCs w:val="24"/>
        </w:rPr>
        <w:tab/>
      </w:r>
      <w:r w:rsidR="00894099" w:rsidRPr="009460AE">
        <w:rPr>
          <w:rFonts w:ascii="Times New Roman" w:hAnsi="Times New Roman"/>
          <w:sz w:val="24"/>
          <w:szCs w:val="24"/>
        </w:rPr>
        <w:tab/>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2880"/>
        <w:rPr>
          <w:rFonts w:ascii="Times New Roman" w:hAnsi="Times New Roman"/>
          <w:sz w:val="24"/>
          <w:szCs w:val="24"/>
          <w:u w:val="single"/>
        </w:rPr>
      </w:pPr>
      <w:r w:rsidRPr="009460AE">
        <w:rPr>
          <w:rFonts w:ascii="Times New Roman" w:hAnsi="Times New Roman"/>
          <w:sz w:val="24"/>
          <w:szCs w:val="24"/>
        </w:rPr>
        <w:t>Plaintiff,</w:t>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0080180D" w:rsidRPr="009460AE">
        <w:rPr>
          <w:rFonts w:ascii="Times New Roman" w:hAnsi="Times New Roman"/>
          <w:sz w:val="24"/>
          <w:szCs w:val="24"/>
        </w:rPr>
        <w:tab/>
      </w:r>
      <w:proofErr w:type="gramStart"/>
      <w:r w:rsidR="0080180D" w:rsidRPr="009460AE">
        <w:rPr>
          <w:rFonts w:ascii="Times New Roman" w:hAnsi="Times New Roman"/>
          <w:sz w:val="24"/>
          <w:szCs w:val="24"/>
        </w:rPr>
        <w:t>Plaintiff</w:t>
      </w:r>
      <w:r w:rsidR="0014617B" w:rsidRPr="009460AE">
        <w:rPr>
          <w:rFonts w:ascii="Times New Roman" w:hAnsi="Times New Roman"/>
          <w:sz w:val="24"/>
          <w:szCs w:val="24"/>
        </w:rPr>
        <w:t>s</w:t>
      </w:r>
      <w:r w:rsidRPr="009460AE">
        <w:rPr>
          <w:rFonts w:ascii="Times New Roman" w:hAnsi="Times New Roman"/>
          <w:sz w:val="24"/>
          <w:szCs w:val="24"/>
        </w:rPr>
        <w:t>,</w:t>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t>Civil Action</w:t>
      </w:r>
      <w:r w:rsidRPr="009460AE">
        <w:rPr>
          <w:rFonts w:ascii="Times New Roman" w:hAnsi="Times New Roman"/>
          <w:b/>
          <w:bCs/>
          <w:sz w:val="24"/>
          <w:szCs w:val="24"/>
        </w:rPr>
        <w:t xml:space="preserve"> </w:t>
      </w:r>
      <w:r w:rsidRPr="009460AE">
        <w:rPr>
          <w:rFonts w:ascii="Times New Roman" w:hAnsi="Times New Roman"/>
          <w:sz w:val="24"/>
          <w:szCs w:val="24"/>
        </w:rPr>
        <w:t>No.</w:t>
      </w:r>
      <w:proofErr w:type="gramEnd"/>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5040"/>
        <w:rPr>
          <w:rFonts w:ascii="Times New Roman" w:hAnsi="Times New Roman"/>
          <w:sz w:val="24"/>
          <w:szCs w:val="24"/>
        </w:rPr>
      </w:pPr>
      <w:r w:rsidRPr="009460AE">
        <w:rPr>
          <w:rFonts w:ascii="Times New Roman" w:hAnsi="Times New Roman"/>
          <w:sz w:val="24"/>
          <w:szCs w:val="24"/>
        </w:rPr>
        <w:t xml:space="preserve">- </w:t>
      </w:r>
      <w:proofErr w:type="gramStart"/>
      <w:r w:rsidRPr="009460AE">
        <w:rPr>
          <w:rFonts w:ascii="Times New Roman" w:hAnsi="Times New Roman"/>
          <w:sz w:val="24"/>
          <w:szCs w:val="24"/>
        </w:rPr>
        <w:t>against</w:t>
      </w:r>
      <w:proofErr w:type="gramEnd"/>
      <w:r w:rsidRPr="009460AE">
        <w:rPr>
          <w:rFonts w:ascii="Times New Roman" w:hAnsi="Times New Roman"/>
          <w:sz w:val="24"/>
          <w:szCs w:val="24"/>
        </w:rPr>
        <w:t xml:space="preserve"> -</w:t>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00016C2E" w:rsidRPr="009460AE">
        <w:rPr>
          <w:rFonts w:ascii="Times New Roman" w:hAnsi="Times New Roman"/>
          <w:sz w:val="24"/>
          <w:szCs w:val="24"/>
        </w:rPr>
        <w:tab/>
      </w:r>
      <w:r w:rsidR="00016C2E" w:rsidRPr="009460AE">
        <w:rPr>
          <w:rFonts w:ascii="Times New Roman" w:hAnsi="Times New Roman"/>
          <w:sz w:val="24"/>
          <w:szCs w:val="24"/>
        </w:rPr>
        <w:tab/>
      </w:r>
      <w:r w:rsidR="00016C2E" w:rsidRPr="009460AE">
        <w:rPr>
          <w:rFonts w:ascii="Times New Roman" w:hAnsi="Times New Roman"/>
          <w:sz w:val="24"/>
          <w:szCs w:val="24"/>
        </w:rPr>
        <w:tab/>
      </w:r>
      <w:r w:rsidR="00016C2E" w:rsidRPr="009460AE">
        <w:rPr>
          <w:rFonts w:ascii="Times New Roman" w:hAnsi="Times New Roman"/>
          <w:sz w:val="24"/>
          <w:szCs w:val="24"/>
        </w:rPr>
        <w:tab/>
        <w:t>15-CV-2903</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t>-</w:t>
      </w:r>
      <w:proofErr w:type="gramStart"/>
      <w:r w:rsidRPr="009460AE">
        <w:rPr>
          <w:rFonts w:ascii="Times New Roman" w:hAnsi="Times New Roman"/>
          <w:sz w:val="24"/>
          <w:szCs w:val="24"/>
        </w:rPr>
        <w:t>against</w:t>
      </w:r>
      <w:proofErr w:type="gramEnd"/>
      <w:r w:rsidRPr="009460AE">
        <w:rPr>
          <w:rFonts w:ascii="Times New Roman" w:hAnsi="Times New Roman"/>
          <w:sz w:val="24"/>
          <w:szCs w:val="24"/>
        </w:rPr>
        <w:t>-</w:t>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p>
    <w:p w:rsidR="00894099" w:rsidRPr="009460AE" w:rsidRDefault="0014617B" w:rsidP="00894099">
      <w:pPr>
        <w:tabs>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t>(Feuerstein</w:t>
      </w:r>
      <w:r w:rsidR="00894099" w:rsidRPr="009460AE">
        <w:rPr>
          <w:rFonts w:ascii="Times New Roman" w:hAnsi="Times New Roman"/>
          <w:sz w:val="24"/>
          <w:szCs w:val="24"/>
        </w:rPr>
        <w:t>, J.)</w:t>
      </w:r>
    </w:p>
    <w:p w:rsidR="0014617B" w:rsidRPr="009460AE" w:rsidRDefault="0014617B" w:rsidP="00894099">
      <w:pPr>
        <w:tabs>
          <w:tab w:val="left" w:pos="5760"/>
          <w:tab w:val="left" w:pos="6480"/>
          <w:tab w:val="left" w:pos="7200"/>
          <w:tab w:val="left" w:pos="7920"/>
          <w:tab w:val="left" w:pos="8640"/>
          <w:tab w:val="left" w:pos="9360"/>
        </w:tabs>
        <w:spacing w:after="0" w:line="240" w:lineRule="auto"/>
        <w:rPr>
          <w:rFonts w:ascii="Times New Roman" w:hAnsi="Times New Roman"/>
          <w:sz w:val="24"/>
          <w:szCs w:val="24"/>
        </w:rPr>
      </w:pPr>
      <w:proofErr w:type="gramStart"/>
      <w:r w:rsidRPr="009460AE">
        <w:rPr>
          <w:rFonts w:ascii="Times New Roman" w:hAnsi="Times New Roman"/>
          <w:sz w:val="24"/>
          <w:szCs w:val="24"/>
        </w:rPr>
        <w:t xml:space="preserve">SACHEM CENTRAL SCHOOL DISTRICT BOARD </w:t>
      </w:r>
      <w:r w:rsidRPr="009460AE">
        <w:rPr>
          <w:rFonts w:ascii="Times New Roman" w:hAnsi="Times New Roman"/>
          <w:sz w:val="24"/>
          <w:szCs w:val="24"/>
        </w:rPr>
        <w:tab/>
      </w:r>
      <w:r w:rsidRPr="009460AE">
        <w:rPr>
          <w:rFonts w:ascii="Times New Roman" w:hAnsi="Times New Roman"/>
          <w:sz w:val="24"/>
          <w:szCs w:val="24"/>
        </w:rPr>
        <w:tab/>
        <w:t>(Lindsay, M.J.)</w:t>
      </w:r>
      <w:proofErr w:type="gramEnd"/>
    </w:p>
    <w:p w:rsidR="0014617B" w:rsidRPr="009460AE" w:rsidRDefault="0014617B" w:rsidP="00894099">
      <w:pPr>
        <w:tabs>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460AE">
        <w:rPr>
          <w:rFonts w:ascii="Times New Roman" w:hAnsi="Times New Roman"/>
          <w:sz w:val="24"/>
          <w:szCs w:val="24"/>
        </w:rPr>
        <w:t xml:space="preserve">OF EDUCATION; SACHEM CENTRAL SCHOOL </w:t>
      </w:r>
    </w:p>
    <w:p w:rsidR="0014617B" w:rsidRPr="009460AE" w:rsidRDefault="0014617B" w:rsidP="00894099">
      <w:pPr>
        <w:tabs>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460AE">
        <w:rPr>
          <w:rFonts w:ascii="Times New Roman" w:hAnsi="Times New Roman"/>
          <w:sz w:val="24"/>
          <w:szCs w:val="24"/>
        </w:rPr>
        <w:t xml:space="preserve">DISTRICT; and JAMES NOLAN in his official </w:t>
      </w:r>
    </w:p>
    <w:p w:rsidR="0014617B" w:rsidRPr="009460AE" w:rsidRDefault="0014617B" w:rsidP="00894099">
      <w:pPr>
        <w:tabs>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460AE">
        <w:rPr>
          <w:rFonts w:ascii="Times New Roman" w:hAnsi="Times New Roman"/>
          <w:sz w:val="24"/>
          <w:szCs w:val="24"/>
        </w:rPr>
        <w:t>Capacity as Superintendent for Sachem Central</w:t>
      </w:r>
    </w:p>
    <w:p w:rsidR="00894099" w:rsidRPr="009460AE" w:rsidRDefault="0014617B" w:rsidP="00894099">
      <w:pPr>
        <w:tabs>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460AE">
        <w:rPr>
          <w:rFonts w:ascii="Times New Roman" w:hAnsi="Times New Roman"/>
          <w:sz w:val="24"/>
          <w:szCs w:val="24"/>
        </w:rPr>
        <w:t>School District,</w:t>
      </w:r>
      <w:r w:rsidR="0080180D" w:rsidRPr="009460AE">
        <w:rPr>
          <w:rFonts w:ascii="Times New Roman" w:hAnsi="Times New Roman"/>
          <w:sz w:val="24"/>
          <w:szCs w:val="24"/>
        </w:rPr>
        <w:tab/>
      </w:r>
      <w:r w:rsidR="0080180D" w:rsidRPr="009460AE">
        <w:rPr>
          <w:rFonts w:ascii="Times New Roman" w:hAnsi="Times New Roman"/>
          <w:sz w:val="24"/>
          <w:szCs w:val="24"/>
        </w:rPr>
        <w:tab/>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rPr>
          <w:rFonts w:ascii="Times New Roman" w:hAnsi="Times New Roman"/>
          <w:sz w:val="24"/>
          <w:szCs w:val="24"/>
        </w:rPr>
      </w:pPr>
    </w:p>
    <w:p w:rsidR="0080180D"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rPr>
          <w:rFonts w:ascii="Times New Roman" w:hAnsi="Times New Roman"/>
          <w:sz w:val="24"/>
          <w:szCs w:val="24"/>
        </w:rPr>
      </w:pPr>
      <w:proofErr w:type="gramStart"/>
      <w:r w:rsidRPr="009460AE">
        <w:rPr>
          <w:rFonts w:ascii="Times New Roman" w:hAnsi="Times New Roman"/>
          <w:sz w:val="24"/>
          <w:szCs w:val="24"/>
        </w:rPr>
        <w:t>Defendants.</w:t>
      </w:r>
      <w:proofErr w:type="gramEnd"/>
      <w:r w:rsidRPr="009460AE">
        <w:rPr>
          <w:rFonts w:ascii="Times New Roman" w:hAnsi="Times New Roman"/>
          <w:sz w:val="24"/>
          <w:szCs w:val="24"/>
        </w:rPr>
        <w:tab/>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460AE">
        <w:rPr>
          <w:rFonts w:ascii="Times New Roman" w:hAnsi="Times New Roman"/>
          <w:sz w:val="24"/>
          <w:szCs w:val="24"/>
        </w:rPr>
        <w:t>- - - - - - - - - - - - - - - - - - - - - - - - - - - - - - - - - - - - - - - - -X</w:t>
      </w:r>
    </w:p>
    <w:p w:rsidR="0080180D" w:rsidRPr="009460AE" w:rsidRDefault="0080180D"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80180D" w:rsidRPr="009460AE" w:rsidRDefault="0080180D"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80180D" w:rsidRPr="009460AE" w:rsidRDefault="0080180D"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80180D" w:rsidRPr="009460AE" w:rsidRDefault="0080180D"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14617B" w:rsidRPr="009460AE" w:rsidRDefault="0014617B" w:rsidP="00146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b/>
          <w:sz w:val="24"/>
          <w:szCs w:val="24"/>
        </w:rPr>
      </w:pPr>
    </w:p>
    <w:p w:rsidR="0014617B" w:rsidRPr="009460AE" w:rsidRDefault="0014617B" w:rsidP="00146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b/>
          <w:sz w:val="24"/>
          <w:szCs w:val="24"/>
        </w:rPr>
      </w:pPr>
    </w:p>
    <w:p w:rsidR="0014617B" w:rsidRPr="009460AE" w:rsidRDefault="0014617B" w:rsidP="00146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b/>
          <w:sz w:val="24"/>
          <w:szCs w:val="24"/>
        </w:rPr>
      </w:pPr>
    </w:p>
    <w:p w:rsidR="0080180D" w:rsidRPr="00741E96" w:rsidRDefault="0014617B" w:rsidP="00741E96">
      <w:pPr>
        <w:pStyle w:val="Title"/>
      </w:pPr>
      <w:r w:rsidRPr="00741E96">
        <w:t>STATEMENT OF INTEREST OF THE UNITED STATES OF AMERICA</w:t>
      </w:r>
    </w:p>
    <w:p w:rsidR="00894099" w:rsidRPr="009460AE" w:rsidRDefault="00894099" w:rsidP="00894099">
      <w:pPr>
        <w:tabs>
          <w:tab w:val="center" w:pos="468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rPr>
      </w:pPr>
    </w:p>
    <w:p w:rsidR="00894099" w:rsidRPr="009460AE" w:rsidRDefault="00894099" w:rsidP="00894099">
      <w:pPr>
        <w:tabs>
          <w:tab w:val="center" w:pos="468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4"/>
          <w:szCs w:val="24"/>
        </w:rPr>
      </w:pPr>
    </w:p>
    <w:p w:rsidR="0080180D" w:rsidRPr="009460AE" w:rsidRDefault="0080180D" w:rsidP="00894099">
      <w:pPr>
        <w:tabs>
          <w:tab w:val="center" w:pos="468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4"/>
          <w:szCs w:val="24"/>
        </w:rPr>
      </w:pP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p>
    <w:p w:rsidR="0080180D" w:rsidRPr="009460AE" w:rsidRDefault="0080180D"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4320"/>
        <w:jc w:val="both"/>
        <w:rPr>
          <w:rFonts w:ascii="Times New Roman" w:hAnsi="Times New Roman"/>
          <w:sz w:val="24"/>
          <w:szCs w:val="24"/>
        </w:rPr>
      </w:pPr>
      <w:r w:rsidRPr="009460AE">
        <w:rPr>
          <w:rFonts w:ascii="Times New Roman" w:hAnsi="Times New Roman"/>
          <w:sz w:val="24"/>
          <w:szCs w:val="24"/>
        </w:rPr>
        <w:tab/>
      </w:r>
      <w:r w:rsidR="0014617B" w:rsidRPr="009460AE">
        <w:rPr>
          <w:rFonts w:ascii="Times New Roman" w:hAnsi="Times New Roman"/>
          <w:sz w:val="24"/>
          <w:szCs w:val="24"/>
        </w:rPr>
        <w:t>ROBERT L. CAPERS</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4320"/>
        <w:jc w:val="both"/>
        <w:rPr>
          <w:rFonts w:ascii="Times New Roman" w:hAnsi="Times New Roman"/>
          <w:sz w:val="24"/>
          <w:szCs w:val="24"/>
        </w:rPr>
      </w:pPr>
      <w:r w:rsidRPr="009460AE">
        <w:rPr>
          <w:rFonts w:ascii="Times New Roman" w:hAnsi="Times New Roman"/>
          <w:sz w:val="24"/>
          <w:szCs w:val="24"/>
        </w:rPr>
        <w:tab/>
        <w:t>United States Attorney</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4320"/>
        <w:jc w:val="both"/>
        <w:rPr>
          <w:rFonts w:ascii="Times New Roman" w:hAnsi="Times New Roman"/>
          <w:sz w:val="24"/>
          <w:szCs w:val="24"/>
        </w:rPr>
      </w:pPr>
      <w:r w:rsidRPr="009460AE">
        <w:rPr>
          <w:rFonts w:ascii="Times New Roman" w:hAnsi="Times New Roman"/>
          <w:sz w:val="24"/>
          <w:szCs w:val="24"/>
        </w:rPr>
        <w:tab/>
        <w:t xml:space="preserve">Attorney for </w:t>
      </w:r>
      <w:r w:rsidR="002B3646">
        <w:rPr>
          <w:rFonts w:ascii="Times New Roman" w:hAnsi="Times New Roman"/>
          <w:sz w:val="24"/>
          <w:szCs w:val="24"/>
        </w:rPr>
        <w:t>United States of America</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4320"/>
        <w:jc w:val="both"/>
        <w:rPr>
          <w:rFonts w:ascii="Times New Roman" w:hAnsi="Times New Roman"/>
          <w:sz w:val="24"/>
          <w:szCs w:val="24"/>
        </w:rPr>
      </w:pPr>
      <w:r w:rsidRPr="009460AE">
        <w:rPr>
          <w:rFonts w:ascii="Times New Roman" w:hAnsi="Times New Roman"/>
          <w:sz w:val="24"/>
          <w:szCs w:val="24"/>
        </w:rPr>
        <w:tab/>
        <w:t>Eastern District of New York</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5040"/>
        <w:jc w:val="both"/>
        <w:rPr>
          <w:rFonts w:ascii="Times New Roman" w:hAnsi="Times New Roman"/>
          <w:sz w:val="24"/>
          <w:szCs w:val="24"/>
        </w:rPr>
      </w:pPr>
      <w:r w:rsidRPr="009460AE">
        <w:rPr>
          <w:rFonts w:ascii="Times New Roman" w:hAnsi="Times New Roman"/>
          <w:sz w:val="24"/>
          <w:szCs w:val="24"/>
        </w:rPr>
        <w:t xml:space="preserve"> </w:t>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t>271 Cadman Plaza East</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4320"/>
        <w:jc w:val="both"/>
        <w:rPr>
          <w:rFonts w:ascii="Times New Roman" w:hAnsi="Times New Roman"/>
          <w:sz w:val="24"/>
          <w:szCs w:val="24"/>
        </w:rPr>
      </w:pPr>
      <w:r w:rsidRPr="009460AE">
        <w:rPr>
          <w:rFonts w:ascii="Times New Roman" w:hAnsi="Times New Roman"/>
          <w:sz w:val="24"/>
          <w:szCs w:val="24"/>
        </w:rPr>
        <w:tab/>
        <w:t>Brooklyn, New York 11201</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p>
    <w:p w:rsidR="0080180D" w:rsidRPr="009460AE" w:rsidRDefault="0080180D"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r w:rsidRPr="009460AE">
        <w:rPr>
          <w:rFonts w:ascii="Times New Roman" w:hAnsi="Times New Roman"/>
          <w:sz w:val="24"/>
          <w:szCs w:val="24"/>
        </w:rPr>
        <w:t>KELLY HORAN FLORIO</w:t>
      </w:r>
    </w:p>
    <w:p w:rsidR="00894099" w:rsidRPr="009460AE" w:rsidRDefault="00894099" w:rsidP="0089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r w:rsidRPr="009460AE">
        <w:rPr>
          <w:rFonts w:ascii="Times New Roman" w:hAnsi="Times New Roman"/>
          <w:sz w:val="24"/>
          <w:szCs w:val="24"/>
        </w:rPr>
        <w:t>Assistant United States Attorney</w:t>
      </w:r>
    </w:p>
    <w:p w:rsidR="00894099" w:rsidRPr="009460AE" w:rsidRDefault="00894099" w:rsidP="00741E96">
      <w:pPr>
        <w:pStyle w:val="Heading1"/>
        <w:rPr>
          <w:bCs/>
        </w:rPr>
      </w:pPr>
      <w:r w:rsidRPr="009460AE">
        <w:t>(Of Counsel)</w:t>
      </w:r>
    </w:p>
    <w:p w:rsidR="0080180D" w:rsidRPr="009460AE" w:rsidRDefault="0080180D" w:rsidP="0080180D">
      <w:pPr>
        <w:rPr>
          <w:rFonts w:ascii="Times New Roman" w:hAnsi="Times New Roman"/>
          <w:sz w:val="24"/>
          <w:szCs w:val="24"/>
        </w:rPr>
      </w:pPr>
    </w:p>
    <w:p w:rsidR="005033DA" w:rsidRPr="00741E96" w:rsidRDefault="00D22D2E" w:rsidP="00741E96">
      <w:pPr>
        <w:pStyle w:val="Heading1"/>
      </w:pPr>
      <w:r w:rsidRPr="00741E96">
        <w:lastRenderedPageBreak/>
        <w:t>PRELIMINARY STATEMENT</w:t>
      </w:r>
    </w:p>
    <w:p w:rsidR="009460AE" w:rsidRPr="009460AE" w:rsidRDefault="009460AE" w:rsidP="00BD0A1C">
      <w:pPr>
        <w:spacing w:after="0"/>
        <w:jc w:val="center"/>
        <w:rPr>
          <w:rFonts w:ascii="Times New Roman" w:hAnsi="Times New Roman"/>
          <w:b/>
          <w:sz w:val="24"/>
          <w:szCs w:val="24"/>
          <w:u w:val="single"/>
        </w:rPr>
      </w:pPr>
    </w:p>
    <w:p w:rsidR="00614A52" w:rsidRDefault="009460AE" w:rsidP="00BD0A1C">
      <w:pPr>
        <w:spacing w:after="0" w:line="480" w:lineRule="auto"/>
        <w:ind w:firstLine="720"/>
        <w:rPr>
          <w:rFonts w:ascii="Times New Roman" w:hAnsi="Times New Roman"/>
          <w:sz w:val="24"/>
          <w:szCs w:val="24"/>
        </w:rPr>
      </w:pPr>
      <w:r w:rsidRPr="009460AE">
        <w:rPr>
          <w:rFonts w:ascii="Times New Roman" w:hAnsi="Times New Roman"/>
          <w:color w:val="000000"/>
          <w:sz w:val="24"/>
          <w:szCs w:val="24"/>
        </w:rPr>
        <w:t>The United States respectfully submits this Statement of Interest pursuant to 28 U.S.C. § 517,</w:t>
      </w:r>
      <w:r w:rsidRPr="009460AE">
        <w:rPr>
          <w:rStyle w:val="FootnoteReference"/>
          <w:rFonts w:ascii="Times New Roman" w:hAnsi="Times New Roman"/>
          <w:color w:val="000000"/>
          <w:sz w:val="24"/>
          <w:szCs w:val="24"/>
        </w:rPr>
        <w:footnoteReference w:id="1"/>
      </w:r>
      <w:r w:rsidRPr="009460AE">
        <w:rPr>
          <w:rFonts w:ascii="Times New Roman" w:hAnsi="Times New Roman"/>
          <w:color w:val="000000"/>
          <w:sz w:val="24"/>
          <w:szCs w:val="24"/>
        </w:rPr>
        <w:t xml:space="preserve"> in order to </w:t>
      </w:r>
      <w:r w:rsidRPr="009460AE">
        <w:rPr>
          <w:rFonts w:ascii="Times New Roman" w:hAnsi="Times New Roman"/>
          <w:sz w:val="24"/>
          <w:szCs w:val="24"/>
        </w:rPr>
        <w:t>clarify the proper interpretation of Title II of the Americans with Disabilities Act, 42 U.S.C. §§ 12132 et seq. (“Title II of the ADA”</w:t>
      </w:r>
      <w:r w:rsidR="00DE5267">
        <w:rPr>
          <w:rFonts w:ascii="Times New Roman" w:hAnsi="Times New Roman"/>
          <w:sz w:val="24"/>
          <w:szCs w:val="24"/>
        </w:rPr>
        <w:t xml:space="preserve"> or “Title II”</w:t>
      </w:r>
      <w:r w:rsidRPr="009460AE">
        <w:rPr>
          <w:rFonts w:ascii="Times New Roman" w:hAnsi="Times New Roman"/>
          <w:sz w:val="24"/>
          <w:szCs w:val="24"/>
        </w:rPr>
        <w:t xml:space="preserve">) </w:t>
      </w:r>
      <w:r w:rsidR="004A2506">
        <w:rPr>
          <w:rFonts w:ascii="Times New Roman" w:hAnsi="Times New Roman"/>
          <w:sz w:val="24"/>
          <w:szCs w:val="24"/>
        </w:rPr>
        <w:t xml:space="preserve">with respect to the issues </w:t>
      </w:r>
      <w:r>
        <w:rPr>
          <w:rFonts w:ascii="Times New Roman" w:hAnsi="Times New Roman"/>
          <w:sz w:val="24"/>
          <w:szCs w:val="24"/>
        </w:rPr>
        <w:t xml:space="preserve">raised by </w:t>
      </w:r>
      <w:r w:rsidR="00903F65">
        <w:rPr>
          <w:rFonts w:ascii="Times New Roman" w:hAnsi="Times New Roman"/>
          <w:sz w:val="24"/>
          <w:szCs w:val="24"/>
        </w:rPr>
        <w:t xml:space="preserve">Defendants </w:t>
      </w:r>
      <w:r w:rsidR="00903F65" w:rsidRPr="009460AE">
        <w:rPr>
          <w:rFonts w:ascii="Times New Roman" w:hAnsi="Times New Roman"/>
          <w:sz w:val="24"/>
          <w:szCs w:val="24"/>
        </w:rPr>
        <w:t>(Sachem Central Board of Education</w:t>
      </w:r>
      <w:r w:rsidR="007425CA">
        <w:rPr>
          <w:rFonts w:ascii="Times New Roman" w:hAnsi="Times New Roman"/>
          <w:sz w:val="24"/>
          <w:szCs w:val="24"/>
        </w:rPr>
        <w:t xml:space="preserve"> (“Board of Education”)</w:t>
      </w:r>
      <w:r w:rsidR="00903F65" w:rsidRPr="009460AE">
        <w:rPr>
          <w:rFonts w:ascii="Times New Roman" w:hAnsi="Times New Roman"/>
          <w:sz w:val="24"/>
          <w:szCs w:val="24"/>
        </w:rPr>
        <w:t>, Sachem Central School District</w:t>
      </w:r>
      <w:r w:rsidR="0067692B">
        <w:rPr>
          <w:rFonts w:ascii="Times New Roman" w:hAnsi="Times New Roman"/>
          <w:sz w:val="24"/>
          <w:szCs w:val="24"/>
        </w:rPr>
        <w:t xml:space="preserve"> (“School District”)</w:t>
      </w:r>
      <w:r w:rsidR="00903F65" w:rsidRPr="009460AE">
        <w:rPr>
          <w:rFonts w:ascii="Times New Roman" w:hAnsi="Times New Roman"/>
          <w:sz w:val="24"/>
          <w:szCs w:val="24"/>
        </w:rPr>
        <w:t>, and James Nolan)</w:t>
      </w:r>
      <w:r w:rsidR="00903F65">
        <w:rPr>
          <w:rFonts w:ascii="Times New Roman" w:hAnsi="Times New Roman"/>
          <w:sz w:val="24"/>
          <w:szCs w:val="24"/>
        </w:rPr>
        <w:t xml:space="preserve"> in the Memorandum of Law in Support of Defendants’ Motion to Dismiss</w:t>
      </w:r>
      <w:r w:rsidR="008E3FF3">
        <w:rPr>
          <w:rFonts w:ascii="Times New Roman" w:hAnsi="Times New Roman"/>
          <w:sz w:val="24"/>
          <w:szCs w:val="24"/>
        </w:rPr>
        <w:t xml:space="preserve"> </w:t>
      </w:r>
      <w:r w:rsidR="00903F65">
        <w:rPr>
          <w:rFonts w:ascii="Times New Roman" w:hAnsi="Times New Roman"/>
          <w:sz w:val="24"/>
          <w:szCs w:val="24"/>
        </w:rPr>
        <w:t>(“Defendants’ Brief”)</w:t>
      </w:r>
      <w:r w:rsidR="00614A52">
        <w:rPr>
          <w:rFonts w:ascii="Times New Roman" w:hAnsi="Times New Roman"/>
          <w:sz w:val="24"/>
          <w:szCs w:val="24"/>
        </w:rPr>
        <w:t xml:space="preserve">. </w:t>
      </w:r>
      <w:r>
        <w:rPr>
          <w:rFonts w:ascii="Times New Roman" w:hAnsi="Times New Roman"/>
          <w:color w:val="000000"/>
          <w:sz w:val="24"/>
          <w:szCs w:val="24"/>
        </w:rPr>
        <w:t xml:space="preserve"> </w:t>
      </w:r>
      <w:r w:rsidR="008F0ACC" w:rsidRPr="009460AE">
        <w:rPr>
          <w:rFonts w:ascii="Times New Roman" w:hAnsi="Times New Roman"/>
          <w:sz w:val="24"/>
          <w:szCs w:val="24"/>
        </w:rPr>
        <w:t xml:space="preserve">Plaintiffs </w:t>
      </w:r>
      <w:r w:rsidR="009C4A0E" w:rsidRPr="009460AE">
        <w:rPr>
          <w:rFonts w:ascii="Times New Roman" w:hAnsi="Times New Roman"/>
          <w:sz w:val="24"/>
          <w:szCs w:val="24"/>
        </w:rPr>
        <w:t>(</w:t>
      </w:r>
      <w:r w:rsidR="005F576D">
        <w:rPr>
          <w:rFonts w:ascii="Times New Roman" w:hAnsi="Times New Roman"/>
          <w:sz w:val="24"/>
          <w:szCs w:val="24"/>
        </w:rPr>
        <w:t xml:space="preserve">a </w:t>
      </w:r>
      <w:r w:rsidR="00E0529D">
        <w:rPr>
          <w:rFonts w:ascii="Times New Roman" w:hAnsi="Times New Roman"/>
          <w:sz w:val="24"/>
          <w:szCs w:val="24"/>
        </w:rPr>
        <w:t xml:space="preserve">12-year-old </w:t>
      </w:r>
      <w:r w:rsidR="005F576D">
        <w:rPr>
          <w:rFonts w:ascii="Times New Roman" w:hAnsi="Times New Roman"/>
          <w:sz w:val="24"/>
          <w:szCs w:val="24"/>
        </w:rPr>
        <w:t>c</w:t>
      </w:r>
      <w:r w:rsidR="008F0ACC" w:rsidRPr="009460AE">
        <w:rPr>
          <w:rFonts w:ascii="Times New Roman" w:hAnsi="Times New Roman"/>
          <w:sz w:val="24"/>
          <w:szCs w:val="24"/>
        </w:rPr>
        <w:t>hild with a disability (“Child”)</w:t>
      </w:r>
      <w:r w:rsidR="009C4A0E" w:rsidRPr="009460AE">
        <w:rPr>
          <w:rFonts w:ascii="Times New Roman" w:hAnsi="Times New Roman"/>
          <w:sz w:val="24"/>
          <w:szCs w:val="24"/>
        </w:rPr>
        <w:t>,</w:t>
      </w:r>
      <w:r w:rsidR="008F0ACC" w:rsidRPr="009460AE">
        <w:rPr>
          <w:rFonts w:ascii="Times New Roman" w:hAnsi="Times New Roman"/>
          <w:sz w:val="24"/>
          <w:szCs w:val="24"/>
        </w:rPr>
        <w:t xml:space="preserve"> and </w:t>
      </w:r>
      <w:r w:rsidR="009C4A0E" w:rsidRPr="009460AE">
        <w:rPr>
          <w:rFonts w:ascii="Times New Roman" w:hAnsi="Times New Roman"/>
          <w:sz w:val="24"/>
          <w:szCs w:val="24"/>
        </w:rPr>
        <w:t xml:space="preserve">his </w:t>
      </w:r>
      <w:r w:rsidR="008F0ACC" w:rsidRPr="009460AE">
        <w:rPr>
          <w:rFonts w:ascii="Times New Roman" w:hAnsi="Times New Roman"/>
          <w:sz w:val="24"/>
          <w:szCs w:val="24"/>
        </w:rPr>
        <w:t>Mother and Father, both individually and on Child’s be</w:t>
      </w:r>
      <w:r w:rsidR="009C4A0E" w:rsidRPr="009460AE">
        <w:rPr>
          <w:rFonts w:ascii="Times New Roman" w:hAnsi="Times New Roman"/>
          <w:sz w:val="24"/>
          <w:szCs w:val="24"/>
        </w:rPr>
        <w:t>half)</w:t>
      </w:r>
      <w:r w:rsidR="008F0ACC" w:rsidRPr="009460AE">
        <w:rPr>
          <w:rFonts w:ascii="Times New Roman" w:hAnsi="Times New Roman"/>
          <w:sz w:val="24"/>
          <w:szCs w:val="24"/>
        </w:rPr>
        <w:t xml:space="preserve"> </w:t>
      </w:r>
      <w:r w:rsidR="009C4A0E" w:rsidRPr="009460AE">
        <w:rPr>
          <w:rFonts w:ascii="Times New Roman" w:hAnsi="Times New Roman"/>
          <w:sz w:val="24"/>
          <w:szCs w:val="24"/>
        </w:rPr>
        <w:t>allege, among other things, that D</w:t>
      </w:r>
      <w:r w:rsidR="008F0ACC" w:rsidRPr="009460AE">
        <w:rPr>
          <w:rFonts w:ascii="Times New Roman" w:hAnsi="Times New Roman"/>
          <w:sz w:val="24"/>
          <w:szCs w:val="24"/>
        </w:rPr>
        <w:t xml:space="preserve">efendants violated Title II of the ADA by refusing to allow Child’s service </w:t>
      </w:r>
      <w:r w:rsidR="00D7462A">
        <w:rPr>
          <w:rFonts w:ascii="Times New Roman" w:hAnsi="Times New Roman"/>
          <w:sz w:val="24"/>
          <w:szCs w:val="24"/>
        </w:rPr>
        <w:t>animal</w:t>
      </w:r>
      <w:r w:rsidR="00D7462A" w:rsidRPr="009460AE">
        <w:rPr>
          <w:rFonts w:ascii="Times New Roman" w:hAnsi="Times New Roman"/>
          <w:sz w:val="24"/>
          <w:szCs w:val="24"/>
        </w:rPr>
        <w:t xml:space="preserve"> </w:t>
      </w:r>
      <w:r w:rsidR="008F0ACC" w:rsidRPr="009460AE">
        <w:rPr>
          <w:rFonts w:ascii="Times New Roman" w:hAnsi="Times New Roman"/>
          <w:sz w:val="24"/>
          <w:szCs w:val="24"/>
        </w:rPr>
        <w:t xml:space="preserve">to </w:t>
      </w:r>
      <w:r w:rsidR="00877137">
        <w:rPr>
          <w:rFonts w:ascii="Times New Roman" w:hAnsi="Times New Roman"/>
          <w:sz w:val="24"/>
          <w:szCs w:val="24"/>
        </w:rPr>
        <w:t xml:space="preserve">accompany Child at </w:t>
      </w:r>
      <w:r w:rsidR="008F0ACC" w:rsidRPr="009460AE">
        <w:rPr>
          <w:rFonts w:ascii="Times New Roman" w:hAnsi="Times New Roman"/>
          <w:sz w:val="24"/>
          <w:szCs w:val="24"/>
        </w:rPr>
        <w:t>school or school</w:t>
      </w:r>
      <w:r w:rsidR="00736341">
        <w:rPr>
          <w:rFonts w:ascii="Times New Roman" w:hAnsi="Times New Roman"/>
          <w:sz w:val="24"/>
          <w:szCs w:val="24"/>
        </w:rPr>
        <w:t>-</w:t>
      </w:r>
      <w:r w:rsidR="008F0ACC" w:rsidRPr="009460AE">
        <w:rPr>
          <w:rFonts w:ascii="Times New Roman" w:hAnsi="Times New Roman"/>
          <w:sz w:val="24"/>
          <w:szCs w:val="24"/>
        </w:rPr>
        <w:t>related functions</w:t>
      </w:r>
      <w:r w:rsidR="005E18EA" w:rsidRPr="009460AE">
        <w:rPr>
          <w:rFonts w:ascii="Times New Roman" w:hAnsi="Times New Roman"/>
          <w:sz w:val="24"/>
          <w:szCs w:val="24"/>
        </w:rPr>
        <w:t xml:space="preserve">.  </w:t>
      </w:r>
    </w:p>
    <w:p w:rsidR="00D47BD1" w:rsidRDefault="005E18EA" w:rsidP="003E04FB">
      <w:pPr>
        <w:spacing w:after="0" w:line="480" w:lineRule="auto"/>
        <w:ind w:firstLine="720"/>
        <w:rPr>
          <w:rFonts w:ascii="Times New Roman" w:hAnsi="Times New Roman"/>
          <w:sz w:val="24"/>
          <w:szCs w:val="24"/>
        </w:rPr>
      </w:pPr>
      <w:r w:rsidRPr="009460AE">
        <w:rPr>
          <w:rFonts w:ascii="Times New Roman" w:hAnsi="Times New Roman"/>
          <w:sz w:val="24"/>
          <w:szCs w:val="24"/>
        </w:rPr>
        <w:t xml:space="preserve">Defendants have moved </w:t>
      </w:r>
      <w:r w:rsidR="005F576D">
        <w:rPr>
          <w:rFonts w:ascii="Times New Roman" w:hAnsi="Times New Roman"/>
          <w:sz w:val="24"/>
          <w:szCs w:val="24"/>
        </w:rPr>
        <w:t xml:space="preserve">for judgment on the pleadings </w:t>
      </w:r>
      <w:r w:rsidR="00C347B9">
        <w:rPr>
          <w:rFonts w:ascii="Times New Roman" w:hAnsi="Times New Roman"/>
          <w:sz w:val="24"/>
          <w:szCs w:val="24"/>
        </w:rPr>
        <w:t>pursuant to Fed</w:t>
      </w:r>
      <w:r w:rsidR="005F576D">
        <w:rPr>
          <w:rFonts w:ascii="Times New Roman" w:hAnsi="Times New Roman"/>
          <w:sz w:val="24"/>
          <w:szCs w:val="24"/>
        </w:rPr>
        <w:t>eral</w:t>
      </w:r>
      <w:r w:rsidR="00C347B9">
        <w:rPr>
          <w:rFonts w:ascii="Times New Roman" w:hAnsi="Times New Roman"/>
          <w:sz w:val="24"/>
          <w:szCs w:val="24"/>
        </w:rPr>
        <w:t xml:space="preserve"> R</w:t>
      </w:r>
      <w:r w:rsidR="005F576D">
        <w:rPr>
          <w:rFonts w:ascii="Times New Roman" w:hAnsi="Times New Roman"/>
          <w:sz w:val="24"/>
          <w:szCs w:val="24"/>
        </w:rPr>
        <w:t>ule of</w:t>
      </w:r>
      <w:r w:rsidR="00C347B9">
        <w:rPr>
          <w:rFonts w:ascii="Times New Roman" w:hAnsi="Times New Roman"/>
          <w:sz w:val="24"/>
          <w:szCs w:val="24"/>
        </w:rPr>
        <w:t xml:space="preserve"> Civ</w:t>
      </w:r>
      <w:r w:rsidR="005F576D">
        <w:rPr>
          <w:rFonts w:ascii="Times New Roman" w:hAnsi="Times New Roman"/>
          <w:sz w:val="24"/>
          <w:szCs w:val="24"/>
        </w:rPr>
        <w:t>il</w:t>
      </w:r>
      <w:r w:rsidR="00C347B9">
        <w:rPr>
          <w:rFonts w:ascii="Times New Roman" w:hAnsi="Times New Roman"/>
          <w:sz w:val="24"/>
          <w:szCs w:val="24"/>
        </w:rPr>
        <w:t xml:space="preserve"> P</w:t>
      </w:r>
      <w:r w:rsidR="005F576D">
        <w:rPr>
          <w:rFonts w:ascii="Times New Roman" w:hAnsi="Times New Roman"/>
          <w:sz w:val="24"/>
          <w:szCs w:val="24"/>
        </w:rPr>
        <w:t>rocedure</w:t>
      </w:r>
      <w:r w:rsidR="00C347B9">
        <w:rPr>
          <w:rFonts w:ascii="Times New Roman" w:hAnsi="Times New Roman"/>
          <w:sz w:val="24"/>
          <w:szCs w:val="24"/>
        </w:rPr>
        <w:t xml:space="preserve"> 12(c) </w:t>
      </w:r>
      <w:r w:rsidRPr="009460AE">
        <w:rPr>
          <w:rFonts w:ascii="Times New Roman" w:hAnsi="Times New Roman"/>
          <w:sz w:val="24"/>
          <w:szCs w:val="24"/>
        </w:rPr>
        <w:t>on the grounds tha</w:t>
      </w:r>
      <w:r w:rsidR="009C4A0E" w:rsidRPr="009460AE">
        <w:rPr>
          <w:rFonts w:ascii="Times New Roman" w:hAnsi="Times New Roman"/>
          <w:sz w:val="24"/>
          <w:szCs w:val="24"/>
        </w:rPr>
        <w:t>t</w:t>
      </w:r>
      <w:r w:rsidR="00F269E7">
        <w:rPr>
          <w:rFonts w:ascii="Times New Roman" w:hAnsi="Times New Roman"/>
          <w:sz w:val="24"/>
          <w:szCs w:val="24"/>
        </w:rPr>
        <w:t xml:space="preserve"> </w:t>
      </w:r>
      <w:r w:rsidR="009C4A0E" w:rsidRPr="009460AE">
        <w:rPr>
          <w:rFonts w:ascii="Times New Roman" w:hAnsi="Times New Roman"/>
          <w:sz w:val="24"/>
          <w:szCs w:val="24"/>
        </w:rPr>
        <w:t xml:space="preserve">(1) </w:t>
      </w:r>
      <w:r w:rsidR="00F269E7">
        <w:rPr>
          <w:rFonts w:ascii="Times New Roman" w:hAnsi="Times New Roman"/>
          <w:sz w:val="24"/>
          <w:szCs w:val="24"/>
        </w:rPr>
        <w:t xml:space="preserve">allowing Child to use </w:t>
      </w:r>
      <w:r w:rsidR="00F269E7" w:rsidRPr="009460AE">
        <w:rPr>
          <w:rFonts w:ascii="Times New Roman" w:hAnsi="Times New Roman"/>
          <w:sz w:val="24"/>
          <w:szCs w:val="24"/>
        </w:rPr>
        <w:t xml:space="preserve">a service </w:t>
      </w:r>
      <w:r w:rsidR="00D7462A">
        <w:rPr>
          <w:rFonts w:ascii="Times New Roman" w:hAnsi="Times New Roman"/>
          <w:sz w:val="24"/>
          <w:szCs w:val="24"/>
        </w:rPr>
        <w:t>animal</w:t>
      </w:r>
      <w:r w:rsidR="00D7462A" w:rsidRPr="009460AE">
        <w:rPr>
          <w:rFonts w:ascii="Times New Roman" w:hAnsi="Times New Roman"/>
          <w:sz w:val="24"/>
          <w:szCs w:val="24"/>
        </w:rPr>
        <w:t xml:space="preserve"> </w:t>
      </w:r>
      <w:r w:rsidR="00F269E7" w:rsidRPr="009460AE">
        <w:rPr>
          <w:rFonts w:ascii="Times New Roman" w:hAnsi="Times New Roman"/>
          <w:sz w:val="24"/>
          <w:szCs w:val="24"/>
        </w:rPr>
        <w:t>is n</w:t>
      </w:r>
      <w:r w:rsidR="00F269E7">
        <w:rPr>
          <w:rFonts w:ascii="Times New Roman" w:hAnsi="Times New Roman"/>
          <w:sz w:val="24"/>
          <w:szCs w:val="24"/>
        </w:rPr>
        <w:t>ot a</w:t>
      </w:r>
      <w:r w:rsidR="00F269E7" w:rsidRPr="009460AE">
        <w:rPr>
          <w:rFonts w:ascii="Times New Roman" w:hAnsi="Times New Roman"/>
          <w:sz w:val="24"/>
          <w:szCs w:val="24"/>
        </w:rPr>
        <w:t xml:space="preserve"> reasonable </w:t>
      </w:r>
      <w:r w:rsidR="00F269E7">
        <w:rPr>
          <w:rFonts w:ascii="Times New Roman" w:hAnsi="Times New Roman"/>
          <w:sz w:val="24"/>
          <w:szCs w:val="24"/>
        </w:rPr>
        <w:t>modification under Title II of the ADA;</w:t>
      </w:r>
      <w:r w:rsidR="00A31A29">
        <w:rPr>
          <w:rFonts w:ascii="Times New Roman" w:hAnsi="Times New Roman"/>
          <w:sz w:val="24"/>
          <w:szCs w:val="24"/>
        </w:rPr>
        <w:t xml:space="preserve"> (2) </w:t>
      </w:r>
      <w:r w:rsidR="009C4A0E" w:rsidRPr="009460AE">
        <w:rPr>
          <w:rFonts w:ascii="Times New Roman" w:hAnsi="Times New Roman"/>
          <w:sz w:val="24"/>
          <w:szCs w:val="24"/>
        </w:rPr>
        <w:t>Plaintiff</w:t>
      </w:r>
      <w:r w:rsidRPr="009460AE">
        <w:rPr>
          <w:rFonts w:ascii="Times New Roman" w:hAnsi="Times New Roman"/>
          <w:sz w:val="24"/>
          <w:szCs w:val="24"/>
        </w:rPr>
        <w:t>s</w:t>
      </w:r>
      <w:r w:rsidR="009C4A0E" w:rsidRPr="009460AE">
        <w:rPr>
          <w:rFonts w:ascii="Times New Roman" w:hAnsi="Times New Roman"/>
          <w:sz w:val="24"/>
          <w:szCs w:val="24"/>
        </w:rPr>
        <w:t>’</w:t>
      </w:r>
      <w:r w:rsidRPr="009460AE">
        <w:rPr>
          <w:rFonts w:ascii="Times New Roman" w:hAnsi="Times New Roman"/>
          <w:sz w:val="24"/>
          <w:szCs w:val="24"/>
        </w:rPr>
        <w:t xml:space="preserve"> ADA claims are foreclosed </w:t>
      </w:r>
      <w:r w:rsidR="009460AE">
        <w:rPr>
          <w:rFonts w:ascii="Times New Roman" w:hAnsi="Times New Roman"/>
          <w:sz w:val="24"/>
          <w:szCs w:val="24"/>
        </w:rPr>
        <w:t xml:space="preserve">because </w:t>
      </w:r>
      <w:r w:rsidRPr="009460AE">
        <w:rPr>
          <w:rFonts w:ascii="Times New Roman" w:hAnsi="Times New Roman"/>
          <w:sz w:val="24"/>
          <w:szCs w:val="24"/>
        </w:rPr>
        <w:t xml:space="preserve">Defendants </w:t>
      </w:r>
      <w:r w:rsidR="000253BF">
        <w:rPr>
          <w:rFonts w:ascii="Times New Roman" w:hAnsi="Times New Roman"/>
          <w:sz w:val="24"/>
          <w:szCs w:val="24"/>
        </w:rPr>
        <w:t xml:space="preserve">provided Child with a free appropriate public education (“FAPE”) under </w:t>
      </w:r>
      <w:r w:rsidRPr="009460AE">
        <w:rPr>
          <w:rFonts w:ascii="Times New Roman" w:hAnsi="Times New Roman"/>
          <w:sz w:val="24"/>
          <w:szCs w:val="24"/>
        </w:rPr>
        <w:t xml:space="preserve">the Individuals with Disabilities Education Act, 20 U.S.C. §§ 1401 </w:t>
      </w:r>
      <w:r w:rsidR="009C4A0E" w:rsidRPr="009460AE">
        <w:rPr>
          <w:rFonts w:ascii="Times New Roman" w:hAnsi="Times New Roman"/>
          <w:sz w:val="24"/>
          <w:szCs w:val="24"/>
        </w:rPr>
        <w:t xml:space="preserve">et seq. (“IDEA”); </w:t>
      </w:r>
      <w:r w:rsidR="00A31A29">
        <w:rPr>
          <w:rFonts w:ascii="Times New Roman" w:hAnsi="Times New Roman"/>
          <w:sz w:val="24"/>
          <w:szCs w:val="24"/>
        </w:rPr>
        <w:t xml:space="preserve">and </w:t>
      </w:r>
      <w:r w:rsidR="00694AEB">
        <w:rPr>
          <w:rFonts w:ascii="Times New Roman" w:hAnsi="Times New Roman"/>
          <w:sz w:val="24"/>
          <w:szCs w:val="24"/>
        </w:rPr>
        <w:t>(</w:t>
      </w:r>
      <w:r w:rsidR="00903F65">
        <w:rPr>
          <w:rFonts w:ascii="Times New Roman" w:hAnsi="Times New Roman"/>
          <w:sz w:val="24"/>
          <w:szCs w:val="24"/>
        </w:rPr>
        <w:t>3</w:t>
      </w:r>
      <w:r w:rsidR="00694AEB">
        <w:rPr>
          <w:rFonts w:ascii="Times New Roman" w:hAnsi="Times New Roman"/>
          <w:sz w:val="24"/>
          <w:szCs w:val="24"/>
        </w:rPr>
        <w:t>)</w:t>
      </w:r>
      <w:r w:rsidR="00736341">
        <w:rPr>
          <w:rFonts w:ascii="Times New Roman" w:hAnsi="Times New Roman"/>
          <w:sz w:val="24"/>
          <w:szCs w:val="24"/>
        </w:rPr>
        <w:t> </w:t>
      </w:r>
      <w:r w:rsidR="00F269E7" w:rsidRPr="009460AE">
        <w:rPr>
          <w:rFonts w:ascii="Times New Roman" w:hAnsi="Times New Roman"/>
          <w:sz w:val="24"/>
          <w:szCs w:val="24"/>
        </w:rPr>
        <w:t>Plaintiffs failed to exhaust their administrative remedies</w:t>
      </w:r>
      <w:r w:rsidR="002F027F">
        <w:rPr>
          <w:rFonts w:ascii="Times New Roman" w:hAnsi="Times New Roman"/>
          <w:sz w:val="24"/>
          <w:szCs w:val="24"/>
        </w:rPr>
        <w:t>.</w:t>
      </w:r>
      <w:r w:rsidR="00877137">
        <w:rPr>
          <w:rFonts w:ascii="Times New Roman" w:hAnsi="Times New Roman"/>
          <w:sz w:val="24"/>
          <w:szCs w:val="24"/>
        </w:rPr>
        <w:t xml:space="preserve">  </w:t>
      </w:r>
      <w:r w:rsidR="00C74976">
        <w:rPr>
          <w:rFonts w:ascii="Times New Roman" w:hAnsi="Times New Roman"/>
          <w:sz w:val="24"/>
          <w:szCs w:val="24"/>
        </w:rPr>
        <w:t xml:space="preserve">Plaintiffs respond </w:t>
      </w:r>
      <w:r w:rsidR="00A33CBB">
        <w:rPr>
          <w:rFonts w:ascii="Times New Roman" w:hAnsi="Times New Roman"/>
          <w:sz w:val="24"/>
          <w:szCs w:val="24"/>
        </w:rPr>
        <w:t xml:space="preserve">that:  </w:t>
      </w:r>
      <w:r w:rsidR="00736341">
        <w:rPr>
          <w:rFonts w:ascii="Times New Roman" w:hAnsi="Times New Roman"/>
          <w:sz w:val="24"/>
          <w:szCs w:val="24"/>
        </w:rPr>
        <w:t xml:space="preserve">(1) </w:t>
      </w:r>
      <w:r w:rsidR="00C74976">
        <w:rPr>
          <w:rFonts w:ascii="Times New Roman" w:hAnsi="Times New Roman"/>
          <w:sz w:val="24"/>
          <w:szCs w:val="24"/>
        </w:rPr>
        <w:t>the</w:t>
      </w:r>
      <w:r w:rsidR="00E0529D">
        <w:rPr>
          <w:rFonts w:ascii="Times New Roman" w:hAnsi="Times New Roman"/>
          <w:sz w:val="24"/>
          <w:szCs w:val="24"/>
        </w:rPr>
        <w:t>ir</w:t>
      </w:r>
      <w:r w:rsidR="00C74976">
        <w:rPr>
          <w:rFonts w:ascii="Times New Roman" w:hAnsi="Times New Roman"/>
          <w:sz w:val="24"/>
          <w:szCs w:val="24"/>
        </w:rPr>
        <w:t xml:space="preserve"> </w:t>
      </w:r>
      <w:r w:rsidR="00E0529D">
        <w:rPr>
          <w:rFonts w:ascii="Times New Roman" w:hAnsi="Times New Roman"/>
          <w:sz w:val="24"/>
          <w:szCs w:val="24"/>
        </w:rPr>
        <w:t>C</w:t>
      </w:r>
      <w:r w:rsidR="00C74976">
        <w:rPr>
          <w:rFonts w:ascii="Times New Roman" w:hAnsi="Times New Roman"/>
          <w:sz w:val="24"/>
          <w:szCs w:val="24"/>
        </w:rPr>
        <w:t>ompl</w:t>
      </w:r>
      <w:r w:rsidR="001A2F54">
        <w:rPr>
          <w:rFonts w:ascii="Times New Roman" w:hAnsi="Times New Roman"/>
          <w:sz w:val="24"/>
          <w:szCs w:val="24"/>
        </w:rPr>
        <w:t xml:space="preserve">aint alleges sufficient facts to state a claim of discrimination under Title II of the ADA seeking both damages and injunctive relief; 2) </w:t>
      </w:r>
      <w:r w:rsidR="00736341">
        <w:rPr>
          <w:rFonts w:ascii="Times New Roman" w:hAnsi="Times New Roman"/>
          <w:sz w:val="24"/>
          <w:szCs w:val="24"/>
        </w:rPr>
        <w:t xml:space="preserve">Plaintiffs’ ADA claim is not foreclosed by Defendants’ provision of </w:t>
      </w:r>
      <w:r w:rsidR="00627F2B">
        <w:rPr>
          <w:rFonts w:ascii="Times New Roman" w:hAnsi="Times New Roman"/>
          <w:sz w:val="24"/>
          <w:szCs w:val="24"/>
        </w:rPr>
        <w:t xml:space="preserve"> </w:t>
      </w:r>
      <w:r w:rsidR="00736341">
        <w:rPr>
          <w:rFonts w:ascii="Times New Roman" w:hAnsi="Times New Roman"/>
          <w:sz w:val="24"/>
          <w:szCs w:val="24"/>
        </w:rPr>
        <w:t xml:space="preserve">FAPE </w:t>
      </w:r>
      <w:r w:rsidR="00627F2B">
        <w:rPr>
          <w:rFonts w:ascii="Times New Roman" w:hAnsi="Times New Roman"/>
          <w:sz w:val="24"/>
          <w:szCs w:val="24"/>
        </w:rPr>
        <w:t xml:space="preserve">under the IDEA </w:t>
      </w:r>
      <w:r w:rsidR="00736341">
        <w:rPr>
          <w:rFonts w:ascii="Times New Roman" w:hAnsi="Times New Roman"/>
          <w:sz w:val="24"/>
          <w:szCs w:val="24"/>
        </w:rPr>
        <w:t xml:space="preserve">because the IDEA and ADA have separate legal standards; and (3) </w:t>
      </w:r>
      <w:r w:rsidR="001A2F54">
        <w:rPr>
          <w:rFonts w:ascii="Times New Roman" w:hAnsi="Times New Roman"/>
          <w:sz w:val="24"/>
          <w:szCs w:val="24"/>
        </w:rPr>
        <w:t>b</w:t>
      </w:r>
      <w:r w:rsidR="001E11E1">
        <w:rPr>
          <w:rFonts w:ascii="Times New Roman" w:hAnsi="Times New Roman"/>
          <w:sz w:val="24"/>
          <w:szCs w:val="24"/>
        </w:rPr>
        <w:t>eca</w:t>
      </w:r>
      <w:r w:rsidR="001A2F54">
        <w:rPr>
          <w:rFonts w:ascii="Times New Roman" w:hAnsi="Times New Roman"/>
          <w:sz w:val="24"/>
          <w:szCs w:val="24"/>
        </w:rPr>
        <w:t>u</w:t>
      </w:r>
      <w:r w:rsidR="001E11E1">
        <w:rPr>
          <w:rFonts w:ascii="Times New Roman" w:hAnsi="Times New Roman"/>
          <w:sz w:val="24"/>
          <w:szCs w:val="24"/>
        </w:rPr>
        <w:t>s</w:t>
      </w:r>
      <w:r w:rsidR="001A2F54">
        <w:rPr>
          <w:rFonts w:ascii="Times New Roman" w:hAnsi="Times New Roman"/>
          <w:sz w:val="24"/>
          <w:szCs w:val="24"/>
        </w:rPr>
        <w:t>e Plaintiffs exhausted IDEA’s administrative hearing procedures</w:t>
      </w:r>
      <w:r w:rsidR="00736341">
        <w:rPr>
          <w:rFonts w:ascii="Times New Roman" w:hAnsi="Times New Roman"/>
          <w:sz w:val="24"/>
          <w:szCs w:val="24"/>
        </w:rPr>
        <w:t>, as required by</w:t>
      </w:r>
      <w:r w:rsidR="001A2F54">
        <w:rPr>
          <w:rFonts w:ascii="Times New Roman" w:hAnsi="Times New Roman"/>
          <w:sz w:val="24"/>
          <w:szCs w:val="24"/>
        </w:rPr>
        <w:t xml:space="preserve"> </w:t>
      </w:r>
      <w:r w:rsidR="00736341">
        <w:rPr>
          <w:rFonts w:ascii="Times New Roman" w:hAnsi="Times New Roman"/>
          <w:sz w:val="24"/>
          <w:szCs w:val="24"/>
        </w:rPr>
        <w:t xml:space="preserve">20 U.S.C. </w:t>
      </w:r>
      <w:r w:rsidR="00736341" w:rsidRPr="009460AE">
        <w:rPr>
          <w:rFonts w:ascii="Times New Roman" w:hAnsi="Times New Roman"/>
          <w:sz w:val="24"/>
          <w:szCs w:val="24"/>
        </w:rPr>
        <w:t>§</w:t>
      </w:r>
      <w:r w:rsidR="00736341">
        <w:rPr>
          <w:rFonts w:ascii="Times New Roman" w:hAnsi="Times New Roman"/>
          <w:sz w:val="24"/>
          <w:szCs w:val="24"/>
        </w:rPr>
        <w:t xml:space="preserve"> 1415(l), </w:t>
      </w:r>
      <w:r w:rsidR="001A2F54">
        <w:rPr>
          <w:rFonts w:ascii="Times New Roman" w:hAnsi="Times New Roman"/>
          <w:sz w:val="24"/>
          <w:szCs w:val="24"/>
        </w:rPr>
        <w:t xml:space="preserve">they may pursue their ADA claims in this court. </w:t>
      </w:r>
    </w:p>
    <w:p w:rsidR="005247FB" w:rsidRDefault="00C56194" w:rsidP="00EE1B75">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As set forth below, the United States respectfully submits that </w:t>
      </w:r>
      <w:r w:rsidR="00A33CBB">
        <w:rPr>
          <w:rFonts w:ascii="Times New Roman" w:hAnsi="Times New Roman"/>
          <w:sz w:val="24"/>
          <w:szCs w:val="24"/>
        </w:rPr>
        <w:t xml:space="preserve">Plaintiffs’ Complaint </w:t>
      </w:r>
      <w:r>
        <w:rPr>
          <w:rFonts w:ascii="Times New Roman" w:hAnsi="Times New Roman"/>
          <w:sz w:val="24"/>
          <w:szCs w:val="24"/>
        </w:rPr>
        <w:t xml:space="preserve">is </w:t>
      </w:r>
      <w:r w:rsidR="00916110">
        <w:rPr>
          <w:rFonts w:ascii="Times New Roman" w:hAnsi="Times New Roman"/>
          <w:sz w:val="24"/>
          <w:szCs w:val="24"/>
        </w:rPr>
        <w:t>sufficient to survive Defendan</w:t>
      </w:r>
      <w:r w:rsidR="00A33CBB">
        <w:rPr>
          <w:rFonts w:ascii="Times New Roman" w:hAnsi="Times New Roman"/>
          <w:sz w:val="24"/>
          <w:szCs w:val="24"/>
        </w:rPr>
        <w:t>ts’ motion to dismiss.</w:t>
      </w:r>
      <w:r w:rsidR="00222632">
        <w:rPr>
          <w:rFonts w:ascii="Times New Roman" w:hAnsi="Times New Roman"/>
          <w:sz w:val="24"/>
          <w:szCs w:val="24"/>
        </w:rPr>
        <w:t xml:space="preserve">  </w:t>
      </w:r>
      <w:r>
        <w:rPr>
          <w:rFonts w:ascii="Times New Roman" w:hAnsi="Times New Roman"/>
          <w:sz w:val="24"/>
          <w:szCs w:val="24"/>
        </w:rPr>
        <w:t xml:space="preserve">At the very least, Plaintiffs’ </w:t>
      </w:r>
      <w:r w:rsidR="00572468">
        <w:rPr>
          <w:rFonts w:ascii="Times New Roman" w:hAnsi="Times New Roman"/>
          <w:sz w:val="24"/>
          <w:szCs w:val="24"/>
        </w:rPr>
        <w:t>C</w:t>
      </w:r>
      <w:r>
        <w:rPr>
          <w:rFonts w:ascii="Times New Roman" w:hAnsi="Times New Roman"/>
          <w:sz w:val="24"/>
          <w:szCs w:val="24"/>
        </w:rPr>
        <w:t xml:space="preserve">omplaint asserts sufficient facts to </w:t>
      </w:r>
      <w:r w:rsidR="007D4064">
        <w:rPr>
          <w:rFonts w:ascii="Times New Roman" w:hAnsi="Times New Roman"/>
          <w:sz w:val="24"/>
          <w:szCs w:val="24"/>
        </w:rPr>
        <w:t xml:space="preserve">state a Title II claim </w:t>
      </w:r>
      <w:r w:rsidR="005D2192">
        <w:rPr>
          <w:rFonts w:ascii="Times New Roman" w:hAnsi="Times New Roman"/>
          <w:sz w:val="24"/>
          <w:szCs w:val="24"/>
        </w:rPr>
        <w:t xml:space="preserve">that </w:t>
      </w:r>
      <w:r w:rsidR="007D4064">
        <w:rPr>
          <w:rFonts w:ascii="Times New Roman" w:hAnsi="Times New Roman"/>
          <w:sz w:val="24"/>
          <w:szCs w:val="24"/>
        </w:rPr>
        <w:t xml:space="preserve">Child requested a reasonable modification, i.e., to use </w:t>
      </w:r>
      <w:r w:rsidR="005D2192">
        <w:rPr>
          <w:rFonts w:ascii="Times New Roman" w:hAnsi="Times New Roman"/>
          <w:sz w:val="24"/>
          <w:szCs w:val="24"/>
        </w:rPr>
        <w:t xml:space="preserve">his </w:t>
      </w:r>
      <w:r w:rsidR="007D4064">
        <w:rPr>
          <w:rFonts w:ascii="Times New Roman" w:hAnsi="Times New Roman"/>
          <w:sz w:val="24"/>
          <w:szCs w:val="24"/>
        </w:rPr>
        <w:t>service animal at school, and that Defendants denied that request</w:t>
      </w:r>
      <w:r>
        <w:rPr>
          <w:rFonts w:ascii="Times New Roman" w:hAnsi="Times New Roman"/>
          <w:sz w:val="24"/>
          <w:szCs w:val="24"/>
        </w:rPr>
        <w:t xml:space="preserve">.  Further, although </w:t>
      </w:r>
      <w:r w:rsidR="0067692B">
        <w:rPr>
          <w:rFonts w:ascii="Times New Roman" w:hAnsi="Times New Roman"/>
          <w:sz w:val="24"/>
          <w:szCs w:val="24"/>
        </w:rPr>
        <w:t xml:space="preserve">the ADA and the IDEA provide complementary protections for many students with disabilities, those protections are not identical.  Thus, a school district may still violate the ADA even where it has satisfied the IDEA’s FAPE requirements.  Finally, </w:t>
      </w:r>
      <w:r w:rsidR="00A33CBB">
        <w:rPr>
          <w:rFonts w:ascii="Times New Roman" w:hAnsi="Times New Roman"/>
          <w:sz w:val="24"/>
          <w:szCs w:val="24"/>
        </w:rPr>
        <w:t xml:space="preserve">the Exhibits to </w:t>
      </w:r>
      <w:r w:rsidR="0067692B">
        <w:rPr>
          <w:rFonts w:ascii="Times New Roman" w:hAnsi="Times New Roman"/>
          <w:sz w:val="24"/>
          <w:szCs w:val="24"/>
        </w:rPr>
        <w:t xml:space="preserve">Defendants’ </w:t>
      </w:r>
      <w:r w:rsidR="00A33CBB">
        <w:rPr>
          <w:rFonts w:ascii="Times New Roman" w:hAnsi="Times New Roman"/>
          <w:sz w:val="24"/>
          <w:szCs w:val="24"/>
        </w:rPr>
        <w:t xml:space="preserve">Brief demonstrate that Plaintiffs exhausted their administrative remedies required by </w:t>
      </w:r>
      <w:r w:rsidR="00572468">
        <w:rPr>
          <w:rFonts w:ascii="Times New Roman" w:hAnsi="Times New Roman"/>
          <w:sz w:val="24"/>
          <w:szCs w:val="24"/>
        </w:rPr>
        <w:t>20</w:t>
      </w:r>
      <w:r w:rsidR="00A33CBB">
        <w:rPr>
          <w:rFonts w:ascii="Times New Roman" w:hAnsi="Times New Roman"/>
          <w:sz w:val="24"/>
          <w:szCs w:val="24"/>
        </w:rPr>
        <w:t xml:space="preserve"> U.S.C. </w:t>
      </w:r>
    </w:p>
    <w:p w:rsidR="0067692B" w:rsidRDefault="00A33CBB" w:rsidP="00B14664">
      <w:pPr>
        <w:spacing w:after="0" w:line="480" w:lineRule="auto"/>
        <w:rPr>
          <w:rFonts w:ascii="Times New Roman" w:hAnsi="Times New Roman"/>
          <w:sz w:val="24"/>
          <w:szCs w:val="24"/>
        </w:rPr>
      </w:pPr>
      <w:proofErr w:type="gramStart"/>
      <w:r>
        <w:rPr>
          <w:rFonts w:ascii="Times New Roman" w:hAnsi="Times New Roman"/>
          <w:sz w:val="24"/>
          <w:szCs w:val="24"/>
        </w:rPr>
        <w:t>§ 1415(</w:t>
      </w:r>
      <w:r w:rsidRPr="00C31E19">
        <w:rPr>
          <w:rFonts w:ascii="Times New Roman" w:hAnsi="Times New Roman"/>
          <w:i/>
          <w:sz w:val="24"/>
          <w:szCs w:val="24"/>
        </w:rPr>
        <w:t>l</w:t>
      </w:r>
      <w:r>
        <w:rPr>
          <w:rFonts w:ascii="Times New Roman" w:hAnsi="Times New Roman"/>
          <w:sz w:val="24"/>
          <w:szCs w:val="24"/>
        </w:rPr>
        <w:t>) because they raised their issues regarding Child’s use of his service animal at school during the administrative proceedings.</w:t>
      </w:r>
      <w:proofErr w:type="gramEnd"/>
    </w:p>
    <w:p w:rsidR="00916110" w:rsidRDefault="00BB447A" w:rsidP="00741E96">
      <w:pPr>
        <w:pStyle w:val="Heading1"/>
      </w:pPr>
      <w:r w:rsidRPr="004425BD">
        <w:t xml:space="preserve">THE BACKGROUND OF </w:t>
      </w:r>
      <w:r w:rsidR="00916110" w:rsidRPr="004425BD">
        <w:t>TITLE II</w:t>
      </w:r>
      <w:r w:rsidR="00916110">
        <w:t xml:space="preserve"> </w:t>
      </w:r>
    </w:p>
    <w:p w:rsidR="00BB447A" w:rsidRDefault="00916110" w:rsidP="00741E96">
      <w:pPr>
        <w:pStyle w:val="Heading1"/>
      </w:pPr>
      <w:r>
        <w:t>OF THE ADA</w:t>
      </w:r>
      <w:r w:rsidR="00BB447A">
        <w:t xml:space="preserve"> AND ITS SERVICE ANIMAL PROVISION</w:t>
      </w:r>
    </w:p>
    <w:p w:rsidR="00BB447A" w:rsidRPr="004425BD" w:rsidRDefault="00BB447A" w:rsidP="004425BD">
      <w:pPr>
        <w:spacing w:after="0" w:line="240" w:lineRule="auto"/>
        <w:jc w:val="center"/>
        <w:rPr>
          <w:rFonts w:ascii="Times New Roman" w:hAnsi="Times New Roman"/>
          <w:b/>
          <w:sz w:val="24"/>
          <w:szCs w:val="24"/>
          <w:u w:val="single"/>
        </w:rPr>
      </w:pPr>
    </w:p>
    <w:p w:rsidR="00BB447A" w:rsidRPr="00680F12" w:rsidRDefault="00BB447A" w:rsidP="00BB447A">
      <w:pPr>
        <w:pStyle w:val="BriefText"/>
      </w:pPr>
      <w:r w:rsidRPr="00680F12">
        <w:t xml:space="preserve">In 1990, Congress enacted the ADA </w:t>
      </w:r>
      <w:r>
        <w:t>as a broad remedy to widespread discrimination against individuals with disabilities</w:t>
      </w:r>
      <w:r w:rsidRPr="00680F12">
        <w:t xml:space="preserve">.  </w:t>
      </w:r>
      <w:r w:rsidRPr="004425BD">
        <w:rPr>
          <w:u w:val="single"/>
        </w:rPr>
        <w:t>See</w:t>
      </w:r>
      <w:r w:rsidRPr="00680F12">
        <w:t xml:space="preserve"> 42 U.S.C. § 12101(b)</w:t>
      </w:r>
      <w:r>
        <w:t xml:space="preserve">; </w:t>
      </w:r>
      <w:r w:rsidRPr="004425BD">
        <w:rPr>
          <w:u w:val="single"/>
        </w:rPr>
        <w:t>see</w:t>
      </w:r>
      <w:r>
        <w:t xml:space="preserve"> </w:t>
      </w:r>
      <w:r w:rsidRPr="004425BD">
        <w:rPr>
          <w:u w:val="single"/>
        </w:rPr>
        <w:t>also</w:t>
      </w:r>
      <w:r>
        <w:t xml:space="preserve"> </w:t>
      </w:r>
      <w:r w:rsidRPr="00680F12">
        <w:t xml:space="preserve">H.R. Rep. No. 101-485 (II), at 50 (1990), </w:t>
      </w:r>
      <w:r w:rsidRPr="00B14664">
        <w:t>reprinted in</w:t>
      </w:r>
      <w:r w:rsidRPr="00680F12">
        <w:t xml:space="preserve"> </w:t>
      </w:r>
      <w:r>
        <w:t>1990 U.S.C.C.A.N. 303, 332</w:t>
      </w:r>
      <w:r w:rsidRPr="00680F12">
        <w:t xml:space="preserve">.  The ADA has a “sweeping purpose,” and “forbids discrimination against disabled individuals in major areas of public life.”  </w:t>
      </w:r>
      <w:r w:rsidRPr="004425BD">
        <w:rPr>
          <w:u w:val="single"/>
        </w:rPr>
        <w:t>PGA Tour, Inc. v. Martin</w:t>
      </w:r>
      <w:r w:rsidRPr="00680F12">
        <w:t xml:space="preserve">, 532 U.S. 661, 675 (2001).  As a remedial statute, the ADA “should be construed broadly to effectuate its purposes.”  </w:t>
      </w:r>
      <w:r w:rsidRPr="004425BD">
        <w:rPr>
          <w:u w:val="single"/>
        </w:rPr>
        <w:t>Tcherepnin v. Knight</w:t>
      </w:r>
      <w:r w:rsidRPr="00680F12">
        <w:t xml:space="preserve">, 389 U.S. 332, 336 (1967); </w:t>
      </w:r>
      <w:r w:rsidRPr="004425BD">
        <w:rPr>
          <w:u w:val="single"/>
        </w:rPr>
        <w:t>see</w:t>
      </w:r>
      <w:r w:rsidRPr="004425BD">
        <w:t xml:space="preserve"> </w:t>
      </w:r>
      <w:r w:rsidRPr="004425BD">
        <w:rPr>
          <w:u w:val="single"/>
        </w:rPr>
        <w:t>also</w:t>
      </w:r>
      <w:r w:rsidRPr="004425BD">
        <w:t xml:space="preserve"> </w:t>
      </w:r>
      <w:r w:rsidRPr="004425BD">
        <w:rPr>
          <w:u w:val="single"/>
        </w:rPr>
        <w:t>Henrietta D. v. Bloomberg</w:t>
      </w:r>
      <w:r w:rsidRPr="00680F12">
        <w:t xml:space="preserve">, 331 F.3d 261, 279 (2d Cir. 2003).  Indeed, the ADA’s “comprehensive character” is one of its “most impressive strengths.”  </w:t>
      </w:r>
      <w:r w:rsidRPr="00B14664">
        <w:rPr>
          <w:u w:val="single"/>
        </w:rPr>
        <w:t>See</w:t>
      </w:r>
      <w:r w:rsidRPr="00B14664">
        <w:t xml:space="preserve"> </w:t>
      </w:r>
      <w:r w:rsidRPr="00B14664">
        <w:rPr>
          <w:u w:val="single"/>
        </w:rPr>
        <w:t>PGA Tour</w:t>
      </w:r>
      <w:r w:rsidRPr="00680F12">
        <w:t xml:space="preserve">, 532 U.S. at 675 (quoting the Hearings on S. 933 before the Senate Committee on Labor and Human Resources and the Subcommittee on the Handicapped, 101st Cong., 1st Sess., 197 (1989) (statement of the Attorney General)). </w:t>
      </w:r>
    </w:p>
    <w:p w:rsidR="00BB447A" w:rsidRDefault="00DE085E" w:rsidP="00C66567">
      <w:pPr>
        <w:pStyle w:val="BriefText"/>
      </w:pPr>
      <w:r>
        <w:t>Under Title II of the ADA, public entities, such as the School District, cannot exclude qualified individuals with disabilities from, or deny them the benefits of, the District’s services, programs, and activities, and cannot otherwise discriminate against them.  42 U.S.C. § 12132.  The Title II regulation found at 28 C.F.R. Part 35 implements the statute’s broad</w:t>
      </w:r>
      <w:r w:rsidR="00AA78EF">
        <w:t xml:space="preserve"> </w:t>
      </w:r>
      <w:r>
        <w:t xml:space="preserve">nondiscrimination mandate and </w:t>
      </w:r>
      <w:r w:rsidR="00FA1DC3">
        <w:t xml:space="preserve">requires public entities to make reasonable modifications to policies, practices, and procedures where necessary to avoid discrimination unless the entity can demonstrate that making such modifications would fundamentally alter the entity’s services, programs, or activities.  </w:t>
      </w:r>
      <w:r w:rsidR="00FA1DC3" w:rsidRPr="00F90490">
        <w:rPr>
          <w:u w:val="single"/>
        </w:rPr>
        <w:t>See</w:t>
      </w:r>
      <w:r w:rsidR="00FA1DC3">
        <w:rPr>
          <w:i/>
        </w:rPr>
        <w:t xml:space="preserve"> </w:t>
      </w:r>
      <w:r w:rsidR="00FA1DC3">
        <w:t>28 C.F.R. § 35.130(b)(7).  More</w:t>
      </w:r>
      <w:r w:rsidR="00742C31">
        <w:t xml:space="preserve"> specifically, regarding the requested modification in this case, </w:t>
      </w:r>
      <w:r w:rsidR="00FA1DC3">
        <w:t xml:space="preserve">the Title II regulation states </w:t>
      </w:r>
      <w:r>
        <w:t>that “[g]</w:t>
      </w:r>
      <w:r w:rsidRPr="00972C93">
        <w:t>enerally, a public entity shall modify its policies, practices, or procedures to permit the use of a service animal by an individual with a disability.”  28 C.F.R. § 35.136(a).</w:t>
      </w:r>
      <w:r>
        <w:t xml:space="preserve">  </w:t>
      </w:r>
      <w:r w:rsidR="00742C31">
        <w:t>P</w:t>
      </w:r>
      <w:r>
        <w:t>rovid</w:t>
      </w:r>
      <w:r w:rsidR="00742C31">
        <w:t>ing</w:t>
      </w:r>
      <w:r w:rsidR="00BB447A">
        <w:rPr>
          <w:szCs w:val="20"/>
        </w:rPr>
        <w:t xml:space="preserve"> a </w:t>
      </w:r>
      <w:r w:rsidR="003D0586">
        <w:rPr>
          <w:szCs w:val="20"/>
        </w:rPr>
        <w:t xml:space="preserve">specific </w:t>
      </w:r>
      <w:r w:rsidR="00BB447A">
        <w:rPr>
          <w:szCs w:val="20"/>
        </w:rPr>
        <w:t xml:space="preserve">application of a public entity’s reasonable modification obligation regarding the </w:t>
      </w:r>
      <w:r w:rsidR="00BB447A" w:rsidRPr="002C6913">
        <w:t>use of a service animal by an individual with a disability</w:t>
      </w:r>
      <w:r w:rsidR="00742C31">
        <w:t>, 28 C.F.R. § 35.136</w:t>
      </w:r>
      <w:r w:rsidR="00D16CBE">
        <w:t xml:space="preserve"> </w:t>
      </w:r>
      <w:r>
        <w:t>provides guidance</w:t>
      </w:r>
      <w:r w:rsidR="00BB447A">
        <w:t xml:space="preserve"> with respect to assorted issues that may arise in </w:t>
      </w:r>
      <w:r>
        <w:t>its</w:t>
      </w:r>
      <w:r w:rsidR="00BB447A">
        <w:t xml:space="preserve"> application</w:t>
      </w:r>
      <w:r w:rsidR="00742C31">
        <w:t xml:space="preserve"> and </w:t>
      </w:r>
      <w:r w:rsidR="00BB447A">
        <w:t>sets forth, among other things the requirement that individuals with disabilities be permitted to be accompanied by their service animals “in all areas of a public entity’s facilities where members of the public, participants in services, programs or activities, or invitees . . . are allowed to go” (§ 35.136(g))</w:t>
      </w:r>
      <w:r w:rsidR="00742C31">
        <w:t>.</w:t>
      </w:r>
      <w:r w:rsidR="00BB447A">
        <w:t xml:space="preserve"> </w:t>
      </w:r>
      <w:r w:rsidR="00742C31">
        <w:t xml:space="preserve"> </w:t>
      </w:r>
      <w:r w:rsidR="00BB447A">
        <w:t xml:space="preserve">The Department </w:t>
      </w:r>
      <w:r w:rsidR="00D16CBE">
        <w:t xml:space="preserve">of Justice </w:t>
      </w:r>
      <w:r w:rsidR="00BB447A">
        <w:t xml:space="preserve">has also issued technical assistance, pursuant to 42 U.S.C. § 12206, to help individuals with disabilities and covered entities understand their rights and responsibilities with respect to the ADA’s service animal requirements.  </w:t>
      </w:r>
      <w:r w:rsidR="00BB447A" w:rsidRPr="00C31E19">
        <w:rPr>
          <w:u w:val="single"/>
        </w:rPr>
        <w:t>See</w:t>
      </w:r>
      <w:r w:rsidR="00BB447A" w:rsidRPr="00C31E19">
        <w:t xml:space="preserve">, </w:t>
      </w:r>
      <w:r w:rsidR="00BB447A" w:rsidRPr="00C31E19">
        <w:rPr>
          <w:u w:val="single"/>
        </w:rPr>
        <w:t>e.g.</w:t>
      </w:r>
      <w:r w:rsidR="00BB447A">
        <w:t>,</w:t>
      </w:r>
      <w:r w:rsidR="00BB447A">
        <w:rPr>
          <w:i/>
        </w:rPr>
        <w:t xml:space="preserve"> </w:t>
      </w:r>
      <w:r w:rsidR="00BB447A">
        <w:t>“U.S. Dep</w:t>
      </w:r>
      <w:r w:rsidR="00742C31">
        <w:t>ar</w:t>
      </w:r>
      <w:r w:rsidR="00BB447A">
        <w:t>t</w:t>
      </w:r>
      <w:r w:rsidR="00742C31">
        <w:t>ment</w:t>
      </w:r>
      <w:r w:rsidR="00BB447A">
        <w:t xml:space="preserve"> of Justice: Frequently Asked Questions About Service Animals and the ADA,” July 2015, available at </w:t>
      </w:r>
      <w:r w:rsidR="00742C31">
        <w:t>h</w:t>
      </w:r>
      <w:r w:rsidR="00BB447A" w:rsidRPr="000E0338">
        <w:t>ttp://www.ada.gov/regs2010/service_animal_qa.html</w:t>
      </w:r>
      <w:r w:rsidR="00BB447A">
        <w:t>.</w:t>
      </w:r>
      <w:r w:rsidR="00AA78EF">
        <w:t xml:space="preserve">  </w:t>
      </w:r>
      <w:r w:rsidR="00C66567">
        <w:t xml:space="preserve">As explained therein, such reasonable modifications may include the school or similar entity providing some assistance to enable a particular student to use or handle his or her service animal in the school, or similar settings.  </w:t>
      </w:r>
      <w:r w:rsidR="00C66567" w:rsidRPr="00C66567">
        <w:rPr>
          <w:u w:val="single"/>
        </w:rPr>
        <w:t>See</w:t>
      </w:r>
      <w:r w:rsidR="00C66567">
        <w:t xml:space="preserve"> </w:t>
      </w:r>
      <w:r w:rsidR="00C66567" w:rsidRPr="00C66567">
        <w:rPr>
          <w:u w:val="single"/>
        </w:rPr>
        <w:t>id.</w:t>
      </w:r>
      <w:r w:rsidR="00AA78EF">
        <w:t> </w:t>
      </w:r>
      <w:r w:rsidR="00BB447A" w:rsidRPr="000E0338">
        <w:t xml:space="preserve"> </w:t>
      </w:r>
      <w:r w:rsidR="00BB447A">
        <w:t xml:space="preserve"> </w:t>
      </w:r>
    </w:p>
    <w:p w:rsidR="00BB447A" w:rsidRDefault="00BB447A" w:rsidP="00ED1456">
      <w:pPr>
        <w:pStyle w:val="BriefText"/>
      </w:pPr>
      <w:r>
        <w:t xml:space="preserve">The ADA’s legislative history confirms that Congress specifically intended for the array of modifications to include permitting individuals with disabilities to remain with their service animals, even </w:t>
      </w:r>
      <w:r w:rsidRPr="006D0A95">
        <w:t>in schools</w:t>
      </w:r>
      <w:r>
        <w:t xml:space="preserve">.  </w:t>
      </w:r>
      <w:r w:rsidRPr="00F269E7">
        <w:rPr>
          <w:u w:val="single"/>
        </w:rPr>
        <w:t>See</w:t>
      </w:r>
      <w:r>
        <w:rPr>
          <w:i/>
        </w:rPr>
        <w:t xml:space="preserve"> </w:t>
      </w:r>
      <w:r>
        <w:t>135 Cong. Rec. D956 (1989) (statement of Sen. Simon) (use of service animals is “protected by the [ADA], in public accommodations as well as public services (including schools)”).</w:t>
      </w:r>
      <w:r>
        <w:rPr>
          <w:rStyle w:val="FootnoteReference"/>
        </w:rPr>
        <w:footnoteReference w:id="2"/>
      </w:r>
      <w:r w:rsidR="004816BC">
        <w:t xml:space="preserve">  The ADA’s service animal </w:t>
      </w:r>
      <w:r>
        <w:t xml:space="preserve">provision gives full force to Congressional intent by providing “the broadest feasible access . . . to service animals,” permitting their exclusion only “in rare circumstances.”  28 C.F.R. pt. 36, app. C § 36.302 at 916 (July 1, 2014) (discussing Title III regulation’s service animal provision); </w:t>
      </w:r>
      <w:r w:rsidRPr="00F269E7">
        <w:rPr>
          <w:u w:val="single"/>
        </w:rPr>
        <w:t>see</w:t>
      </w:r>
      <w:r>
        <w:rPr>
          <w:i/>
        </w:rPr>
        <w:t xml:space="preserve"> </w:t>
      </w:r>
      <w:r w:rsidRPr="00F269E7">
        <w:rPr>
          <w:u w:val="single"/>
        </w:rPr>
        <w:t>id.</w:t>
      </w:r>
      <w:r>
        <w:t xml:space="preserve"> pt. 35, app. A § 35.136 at 607 (Title II regulation’s service animal provision was intended to retain scope of its Title III counterpart).  It also comports with Congress’s recognition that because “[a] person with a disability and his . . . [service] animal function as a unit,” involuntarily separating the two generally “[is] discriminatory under the [ADA].”  135 Cong. Rec. D956 (statement of Sen. Simon); </w:t>
      </w:r>
      <w:r w:rsidRPr="006134E9">
        <w:rPr>
          <w:u w:val="single"/>
        </w:rPr>
        <w:t>see</w:t>
      </w:r>
      <w:r>
        <w:rPr>
          <w:i/>
        </w:rPr>
        <w:t xml:space="preserve"> </w:t>
      </w:r>
      <w:r w:rsidRPr="006134E9">
        <w:rPr>
          <w:u w:val="single"/>
        </w:rPr>
        <w:t>Tamara v. El Camino Hosp.</w:t>
      </w:r>
      <w:r>
        <w:t>, 964 F. Supp. 2d 1077, 1087 (N.D. Cal. 2013) (separating an individual from his service animal can cause irreparable harm and deprive that individual of independence).</w:t>
      </w:r>
      <w:r w:rsidR="00ED1456">
        <w:t xml:space="preserve">  </w:t>
      </w:r>
    </w:p>
    <w:p w:rsidR="00F90490" w:rsidRDefault="00F90490" w:rsidP="00ED1456">
      <w:pPr>
        <w:pStyle w:val="BriefText"/>
      </w:pPr>
    </w:p>
    <w:p w:rsidR="00DD1F65" w:rsidRPr="009460AE" w:rsidRDefault="00D16CBE" w:rsidP="00741E96">
      <w:pPr>
        <w:pStyle w:val="Heading1"/>
      </w:pPr>
      <w:r>
        <w:t>DISCUSSION</w:t>
      </w:r>
    </w:p>
    <w:p w:rsidR="00146728" w:rsidRPr="00741E96" w:rsidRDefault="00146728" w:rsidP="00741E96">
      <w:pPr>
        <w:pStyle w:val="Heading2"/>
        <w:rPr>
          <w:u w:val="none"/>
        </w:rPr>
      </w:pPr>
      <w:r w:rsidRPr="00741E96">
        <w:rPr>
          <w:u w:val="none"/>
        </w:rPr>
        <w:t>POINT I</w:t>
      </w:r>
    </w:p>
    <w:p w:rsidR="00B14664" w:rsidRPr="00741E96" w:rsidRDefault="00B25B48" w:rsidP="00741E96">
      <w:pPr>
        <w:pStyle w:val="Heading2"/>
        <w:rPr>
          <w:u w:val="none"/>
        </w:rPr>
      </w:pPr>
      <w:r w:rsidRPr="00741E96">
        <w:rPr>
          <w:u w:val="none"/>
        </w:rPr>
        <w:t xml:space="preserve">PLAINTIFFS’ COMPLAINT ALLEGES </w:t>
      </w:r>
      <w:r w:rsidR="00ED1456" w:rsidRPr="00741E96">
        <w:rPr>
          <w:u w:val="none"/>
        </w:rPr>
        <w:t xml:space="preserve">SUFFICIENT FACTS </w:t>
      </w:r>
    </w:p>
    <w:p w:rsidR="00B14664" w:rsidRPr="00741E96" w:rsidRDefault="00ED1456" w:rsidP="00741E96">
      <w:pPr>
        <w:pStyle w:val="Heading2"/>
        <w:rPr>
          <w:u w:val="none"/>
        </w:rPr>
      </w:pPr>
      <w:r w:rsidRPr="00741E96">
        <w:rPr>
          <w:u w:val="none"/>
        </w:rPr>
        <w:t xml:space="preserve">TO ESTABLISH A TITLE II CLAIM AND SURVIVE DEFENDANTS’ </w:t>
      </w:r>
    </w:p>
    <w:p w:rsidR="00A55094" w:rsidRPr="00741E96" w:rsidRDefault="00ED1456" w:rsidP="00741E96">
      <w:pPr>
        <w:pStyle w:val="Heading2"/>
        <w:rPr>
          <w:u w:val="none"/>
        </w:rPr>
      </w:pPr>
      <w:r w:rsidRPr="00741E96">
        <w:rPr>
          <w:u w:val="none"/>
        </w:rPr>
        <w:t>MOTION TO DISMISS PURSUANT TO FEDERAL RULE 12(C)</w:t>
      </w:r>
    </w:p>
    <w:p w:rsidR="00A55094" w:rsidRDefault="00A55094" w:rsidP="004425BD">
      <w:pPr>
        <w:spacing w:after="0" w:line="240" w:lineRule="auto"/>
        <w:jc w:val="center"/>
      </w:pPr>
    </w:p>
    <w:p w:rsidR="00916110" w:rsidRPr="005E0C9F" w:rsidRDefault="006F22A4">
      <w:pPr>
        <w:spacing w:line="480" w:lineRule="auto"/>
        <w:ind w:firstLine="720"/>
        <w:jc w:val="both"/>
        <w:rPr>
          <w:rFonts w:ascii="Times New Roman" w:hAnsi="Times New Roman"/>
          <w:sz w:val="24"/>
          <w:szCs w:val="24"/>
        </w:rPr>
      </w:pPr>
      <w:r w:rsidRPr="004425BD">
        <w:rPr>
          <w:rFonts w:ascii="Times New Roman" w:hAnsi="Times New Roman"/>
          <w:color w:val="333333"/>
          <w:sz w:val="24"/>
          <w:szCs w:val="24"/>
        </w:rPr>
        <w:t>Judgment on the pleadings pursuant to Federal Rule of Civil Procedure 12(c) “is appropriate where material facts are undisputed and where a judgment on the merits is possible merely by considering the contents of the pleadings.”</w:t>
      </w:r>
      <w:r w:rsidR="00756EFE">
        <w:rPr>
          <w:rStyle w:val="FootnoteReference"/>
          <w:rFonts w:ascii="Times New Roman" w:hAnsi="Times New Roman"/>
          <w:color w:val="333333"/>
          <w:sz w:val="24"/>
          <w:szCs w:val="24"/>
        </w:rPr>
        <w:footnoteReference w:id="3"/>
      </w:r>
      <w:r w:rsidRPr="004425BD">
        <w:rPr>
          <w:rFonts w:ascii="Times New Roman" w:hAnsi="Times New Roman"/>
          <w:color w:val="333333"/>
          <w:sz w:val="24"/>
          <w:szCs w:val="24"/>
        </w:rPr>
        <w:t xml:space="preserve">  </w:t>
      </w:r>
      <w:r w:rsidRPr="004425BD">
        <w:rPr>
          <w:rFonts w:ascii="Times New Roman" w:hAnsi="Times New Roman"/>
          <w:iCs/>
          <w:sz w:val="24"/>
          <w:szCs w:val="24"/>
          <w:u w:val="single"/>
        </w:rPr>
        <w:t>Sellers v. M.C. Floor Crafters, Inc.</w:t>
      </w:r>
      <w:r w:rsidRPr="004425BD">
        <w:rPr>
          <w:rFonts w:ascii="Times New Roman" w:hAnsi="Times New Roman"/>
          <w:sz w:val="24"/>
          <w:szCs w:val="24"/>
        </w:rPr>
        <w:t>, 842 F.2d 639, 642 (2d. Cir. 1988) (citation and internal quotations omitted).</w:t>
      </w:r>
      <w:r w:rsidR="00756EFE">
        <w:rPr>
          <w:rFonts w:ascii="Times New Roman" w:hAnsi="Times New Roman"/>
          <w:sz w:val="24"/>
          <w:szCs w:val="24"/>
        </w:rPr>
        <w:t xml:space="preserve">  </w:t>
      </w:r>
      <w:r>
        <w:rPr>
          <w:sz w:val="23"/>
          <w:szCs w:val="23"/>
        </w:rPr>
        <w:t xml:space="preserve"> </w:t>
      </w:r>
      <w:r w:rsidR="00ED1456" w:rsidRPr="004425BD">
        <w:rPr>
          <w:rFonts w:ascii="Times New Roman" w:hAnsi="Times New Roman"/>
          <w:sz w:val="24"/>
          <w:szCs w:val="24"/>
        </w:rPr>
        <w:t>I</w:t>
      </w:r>
      <w:r w:rsidR="00916110" w:rsidRPr="004425BD">
        <w:rPr>
          <w:rFonts w:ascii="Times New Roman" w:hAnsi="Times New Roman"/>
          <w:sz w:val="24"/>
          <w:szCs w:val="24"/>
        </w:rPr>
        <w:t>n evaluating a motion to dismiss based on the pleadings</w:t>
      </w:r>
      <w:r w:rsidR="00ED1456" w:rsidRPr="004425BD">
        <w:rPr>
          <w:rFonts w:ascii="Times New Roman" w:hAnsi="Times New Roman"/>
          <w:sz w:val="24"/>
          <w:szCs w:val="24"/>
        </w:rPr>
        <w:t xml:space="preserve"> under Federal Rule of Civil Procedure 12(c), the court uses “the same </w:t>
      </w:r>
      <w:r w:rsidR="00ED1456" w:rsidRPr="004425BD">
        <w:rPr>
          <w:rFonts w:ascii="Times New Roman" w:hAnsi="Times New Roman"/>
          <w:bCs/>
          <w:sz w:val="24"/>
          <w:szCs w:val="24"/>
        </w:rPr>
        <w:t>standard</w:t>
      </w:r>
      <w:r w:rsidR="00ED1456" w:rsidRPr="004425BD">
        <w:rPr>
          <w:rFonts w:ascii="Times New Roman" w:hAnsi="Times New Roman"/>
          <w:sz w:val="24"/>
          <w:szCs w:val="24"/>
        </w:rPr>
        <w:t xml:space="preserve"> applicable to </w:t>
      </w:r>
      <w:r w:rsidR="00ED1456" w:rsidRPr="004425BD">
        <w:rPr>
          <w:rFonts w:ascii="Times New Roman" w:hAnsi="Times New Roman"/>
          <w:iCs/>
          <w:sz w:val="24"/>
          <w:szCs w:val="24"/>
        </w:rPr>
        <w:t>Rule 12(b</w:t>
      </w:r>
      <w:proofErr w:type="gramStart"/>
      <w:r w:rsidR="00ED1456" w:rsidRPr="004425BD">
        <w:rPr>
          <w:rFonts w:ascii="Times New Roman" w:hAnsi="Times New Roman"/>
          <w:iCs/>
          <w:sz w:val="24"/>
          <w:szCs w:val="24"/>
        </w:rPr>
        <w:t>)(</w:t>
      </w:r>
      <w:proofErr w:type="gramEnd"/>
      <w:r w:rsidR="00ED1456" w:rsidRPr="004425BD">
        <w:rPr>
          <w:rFonts w:ascii="Times New Roman" w:hAnsi="Times New Roman"/>
          <w:iCs/>
          <w:sz w:val="24"/>
          <w:szCs w:val="24"/>
        </w:rPr>
        <w:t>6)</w:t>
      </w:r>
      <w:r w:rsidR="00ED1456" w:rsidRPr="004425BD">
        <w:rPr>
          <w:rFonts w:ascii="Times New Roman" w:hAnsi="Times New Roman"/>
          <w:sz w:val="24"/>
          <w:szCs w:val="24"/>
        </w:rPr>
        <w:t xml:space="preserve"> motions to </w:t>
      </w:r>
      <w:r w:rsidR="00916110" w:rsidRPr="004425BD">
        <w:rPr>
          <w:rFonts w:ascii="Times New Roman" w:hAnsi="Times New Roman"/>
          <w:sz w:val="24"/>
          <w:szCs w:val="24"/>
        </w:rPr>
        <w:t>dismiss or failure to state a claim for which relief can be granted</w:t>
      </w:r>
      <w:r w:rsidR="00ED1456" w:rsidRPr="004425BD">
        <w:rPr>
          <w:rFonts w:ascii="Times New Roman" w:hAnsi="Times New Roman"/>
          <w:sz w:val="24"/>
          <w:szCs w:val="24"/>
        </w:rPr>
        <w:t>, accept[ing] all factual allegations in the [C]omplaint as true and draw</w:t>
      </w:r>
      <w:r w:rsidR="00ED1456" w:rsidRPr="00D16CBE">
        <w:rPr>
          <w:rFonts w:ascii="Times New Roman" w:hAnsi="Times New Roman"/>
          <w:sz w:val="24"/>
          <w:szCs w:val="24"/>
        </w:rPr>
        <w:t xml:space="preserve">[ing] all reasonable inferences in [the nonmoving </w:t>
      </w:r>
      <w:r w:rsidR="003D0586" w:rsidRPr="00D16CBE">
        <w:rPr>
          <w:rFonts w:ascii="Times New Roman" w:hAnsi="Times New Roman"/>
          <w:sz w:val="24"/>
          <w:szCs w:val="24"/>
        </w:rPr>
        <w:t>party</w:t>
      </w:r>
      <w:r w:rsidR="003D0586">
        <w:rPr>
          <w:rFonts w:ascii="Times New Roman" w:hAnsi="Times New Roman"/>
          <w:sz w:val="24"/>
          <w:szCs w:val="24"/>
        </w:rPr>
        <w:t>’</w:t>
      </w:r>
      <w:r w:rsidR="003D0586" w:rsidRPr="00D16CBE">
        <w:rPr>
          <w:rFonts w:ascii="Times New Roman" w:hAnsi="Times New Roman"/>
          <w:sz w:val="24"/>
          <w:szCs w:val="24"/>
        </w:rPr>
        <w:t>s</w:t>
      </w:r>
      <w:r w:rsidR="00ED1456" w:rsidRPr="00D16CBE">
        <w:rPr>
          <w:rFonts w:ascii="Times New Roman" w:hAnsi="Times New Roman"/>
          <w:sz w:val="24"/>
          <w:szCs w:val="24"/>
        </w:rPr>
        <w:t>] favor.</w:t>
      </w:r>
      <w:r w:rsidR="003D0586" w:rsidRPr="004425BD">
        <w:rPr>
          <w:rFonts w:ascii="Times New Roman" w:hAnsi="Times New Roman"/>
          <w:color w:val="333333"/>
          <w:sz w:val="24"/>
          <w:szCs w:val="24"/>
        </w:rPr>
        <w:t>”</w:t>
      </w:r>
      <w:r w:rsidR="00ED1456" w:rsidRPr="00D16CBE">
        <w:rPr>
          <w:rFonts w:ascii="Times New Roman" w:hAnsi="Times New Roman"/>
          <w:sz w:val="24"/>
          <w:szCs w:val="24"/>
        </w:rPr>
        <w:t xml:space="preserve"> </w:t>
      </w:r>
      <w:proofErr w:type="gramStart"/>
      <w:r w:rsidR="00ED1456" w:rsidRPr="00D16CBE">
        <w:rPr>
          <w:rFonts w:ascii="Times New Roman" w:hAnsi="Times New Roman"/>
          <w:sz w:val="24"/>
          <w:szCs w:val="24"/>
          <w:u w:val="single"/>
        </w:rPr>
        <w:t>Vega v. Hempstead Union Free Sch. Dist.</w:t>
      </w:r>
      <w:r w:rsidR="00ED1456" w:rsidRPr="00D16CBE">
        <w:rPr>
          <w:rFonts w:ascii="Times New Roman" w:hAnsi="Times New Roman"/>
          <w:sz w:val="24"/>
          <w:szCs w:val="24"/>
        </w:rPr>
        <w:t>, 801 F.3d 72, 7</w:t>
      </w:r>
      <w:r w:rsidR="004C39D0">
        <w:rPr>
          <w:rFonts w:ascii="Times New Roman" w:hAnsi="Times New Roman"/>
          <w:sz w:val="24"/>
          <w:szCs w:val="24"/>
        </w:rPr>
        <w:t>8</w:t>
      </w:r>
      <w:r w:rsidR="00ED1456" w:rsidRPr="00D16CBE">
        <w:rPr>
          <w:rFonts w:ascii="Times New Roman" w:hAnsi="Times New Roman"/>
          <w:sz w:val="24"/>
          <w:szCs w:val="24"/>
        </w:rPr>
        <w:t xml:space="preserve"> (2d Cir. 2015)</w:t>
      </w:r>
      <w:r w:rsidR="003D0586">
        <w:rPr>
          <w:rFonts w:ascii="Times New Roman" w:hAnsi="Times New Roman"/>
          <w:sz w:val="24"/>
          <w:szCs w:val="24"/>
        </w:rPr>
        <w:t xml:space="preserve"> (internal quotations omitted)</w:t>
      </w:r>
      <w:r w:rsidR="00ED1456" w:rsidRPr="00D16CBE">
        <w:rPr>
          <w:rFonts w:ascii="Times New Roman" w:hAnsi="Times New Roman"/>
          <w:sz w:val="24"/>
          <w:szCs w:val="24"/>
        </w:rPr>
        <w:t>.</w:t>
      </w:r>
      <w:proofErr w:type="gramEnd"/>
      <w:r w:rsidR="00ED1456" w:rsidRPr="00D16CBE">
        <w:rPr>
          <w:rFonts w:ascii="Times New Roman" w:hAnsi="Times New Roman"/>
          <w:sz w:val="24"/>
          <w:szCs w:val="24"/>
        </w:rPr>
        <w:t xml:space="preserve">  </w:t>
      </w:r>
      <w:r w:rsidR="00ED1456" w:rsidRPr="00D16CBE">
        <w:rPr>
          <w:rFonts w:ascii="Times New Roman" w:hAnsi="Times New Roman"/>
          <w:sz w:val="24"/>
          <w:szCs w:val="24"/>
          <w:u w:val="single"/>
        </w:rPr>
        <w:t>See</w:t>
      </w:r>
      <w:r w:rsidR="00ED1456" w:rsidRPr="00D16CBE">
        <w:rPr>
          <w:rFonts w:ascii="Times New Roman" w:hAnsi="Times New Roman"/>
          <w:sz w:val="24"/>
          <w:szCs w:val="24"/>
        </w:rPr>
        <w:t xml:space="preserve"> </w:t>
      </w:r>
      <w:r w:rsidR="00ED1456" w:rsidRPr="00D16CBE">
        <w:rPr>
          <w:rFonts w:ascii="Times New Roman" w:hAnsi="Times New Roman"/>
          <w:sz w:val="24"/>
          <w:szCs w:val="24"/>
          <w:u w:val="single"/>
        </w:rPr>
        <w:t>also</w:t>
      </w:r>
      <w:r w:rsidR="00ED1456" w:rsidRPr="00D16CBE">
        <w:rPr>
          <w:rFonts w:ascii="Times New Roman" w:hAnsi="Times New Roman"/>
          <w:sz w:val="24"/>
          <w:szCs w:val="24"/>
        </w:rPr>
        <w:t xml:space="preserve"> </w:t>
      </w:r>
      <w:r w:rsidR="00ED1456" w:rsidRPr="00D16CBE">
        <w:rPr>
          <w:rFonts w:ascii="Times New Roman" w:hAnsi="Times New Roman"/>
          <w:sz w:val="24"/>
          <w:szCs w:val="24"/>
          <w:u w:val="single"/>
        </w:rPr>
        <w:t>King v. American Airlines, Inc.</w:t>
      </w:r>
      <w:r w:rsidR="00ED1456" w:rsidRPr="00D16CBE">
        <w:rPr>
          <w:rFonts w:ascii="Times New Roman" w:hAnsi="Times New Roman"/>
          <w:sz w:val="24"/>
          <w:szCs w:val="24"/>
        </w:rPr>
        <w:t xml:space="preserve">, 284 F.3d 352, 356 (2d Cir. 2002); </w:t>
      </w:r>
      <w:r w:rsidR="00ED1456" w:rsidRPr="00D16CBE">
        <w:rPr>
          <w:rFonts w:ascii="Times New Roman" w:hAnsi="Times New Roman"/>
          <w:sz w:val="24"/>
          <w:szCs w:val="24"/>
          <w:u w:val="single"/>
        </w:rPr>
        <w:t>Irish Lesbian &amp; Gay Org. v. Giuliani</w:t>
      </w:r>
      <w:r w:rsidR="00ED1456" w:rsidRPr="00D16CBE">
        <w:rPr>
          <w:rFonts w:ascii="Times New Roman" w:hAnsi="Times New Roman"/>
          <w:sz w:val="24"/>
          <w:szCs w:val="24"/>
        </w:rPr>
        <w:t xml:space="preserve">, 143 F.3d 638, 644 (2d Cir. 1998) (“The test for evaluating a [Fed. R. Civ. P.] 12(c) motion is the same as that applicable to a motion to dismiss under Fed. R. Civ. P. 12(b)(6).”). </w:t>
      </w:r>
      <w:r w:rsidR="00ED1456" w:rsidRPr="005E0C9F">
        <w:rPr>
          <w:sz w:val="24"/>
          <w:szCs w:val="24"/>
        </w:rPr>
        <w:t xml:space="preserve"> </w:t>
      </w:r>
      <w:r w:rsidR="00916110" w:rsidRPr="005E0C9F">
        <w:rPr>
          <w:rFonts w:ascii="Times New Roman" w:hAnsi="Times New Roman"/>
          <w:sz w:val="24"/>
          <w:szCs w:val="24"/>
        </w:rPr>
        <w:t xml:space="preserve">To survive </w:t>
      </w:r>
      <w:r w:rsidR="00756EFE" w:rsidRPr="005E0C9F">
        <w:rPr>
          <w:rFonts w:ascii="Times New Roman" w:hAnsi="Times New Roman"/>
          <w:sz w:val="24"/>
          <w:szCs w:val="24"/>
        </w:rPr>
        <w:t xml:space="preserve">a </w:t>
      </w:r>
      <w:r w:rsidR="00916110" w:rsidRPr="005E0C9F">
        <w:rPr>
          <w:rFonts w:ascii="Times New Roman" w:hAnsi="Times New Roman"/>
          <w:sz w:val="24"/>
          <w:szCs w:val="24"/>
        </w:rPr>
        <w:t>Rule 12(b</w:t>
      </w:r>
      <w:proofErr w:type="gramStart"/>
      <w:r w:rsidR="00916110" w:rsidRPr="005E0C9F">
        <w:rPr>
          <w:rFonts w:ascii="Times New Roman" w:hAnsi="Times New Roman"/>
          <w:sz w:val="24"/>
          <w:szCs w:val="24"/>
        </w:rPr>
        <w:t>)(</w:t>
      </w:r>
      <w:proofErr w:type="gramEnd"/>
      <w:r w:rsidR="00916110" w:rsidRPr="005E0C9F">
        <w:rPr>
          <w:rFonts w:ascii="Times New Roman" w:hAnsi="Times New Roman"/>
          <w:sz w:val="24"/>
          <w:szCs w:val="24"/>
        </w:rPr>
        <w:t xml:space="preserve">6) motion to dismiss, “a complaint must contain sufficient factual matter, accepted as true, to ‘state a claim to relief that is plausible on its face.’”  </w:t>
      </w:r>
      <w:r w:rsidR="004C39D0" w:rsidRPr="0042676A">
        <w:rPr>
          <w:rFonts w:ascii="Times New Roman" w:hAnsi="Times New Roman"/>
          <w:sz w:val="24"/>
          <w:szCs w:val="24"/>
          <w:u w:val="single"/>
        </w:rPr>
        <w:t>Ashcroft v.</w:t>
      </w:r>
      <w:r w:rsidR="004C39D0" w:rsidRPr="0042676A">
        <w:rPr>
          <w:rFonts w:ascii="Times New Roman" w:hAnsi="Times New Roman"/>
          <w:sz w:val="24"/>
          <w:szCs w:val="24"/>
        </w:rPr>
        <w:t xml:space="preserve"> </w:t>
      </w:r>
      <w:r w:rsidR="00916110" w:rsidRPr="005E0C9F">
        <w:rPr>
          <w:rFonts w:ascii="Times New Roman" w:hAnsi="Times New Roman"/>
          <w:sz w:val="24"/>
          <w:szCs w:val="24"/>
          <w:u w:val="single"/>
        </w:rPr>
        <w:t>Iqbal</w:t>
      </w:r>
      <w:r w:rsidR="00916110" w:rsidRPr="005E0C9F">
        <w:rPr>
          <w:rFonts w:ascii="Times New Roman" w:hAnsi="Times New Roman"/>
          <w:sz w:val="24"/>
          <w:szCs w:val="24"/>
        </w:rPr>
        <w:t xml:space="preserve">, 129 S. Ct. </w:t>
      </w:r>
      <w:r w:rsidR="004C39D0">
        <w:rPr>
          <w:rFonts w:ascii="Times New Roman" w:hAnsi="Times New Roman"/>
          <w:sz w:val="24"/>
          <w:szCs w:val="24"/>
        </w:rPr>
        <w:t>1937,</w:t>
      </w:r>
      <w:r w:rsidR="00916110" w:rsidRPr="005E0C9F">
        <w:rPr>
          <w:rFonts w:ascii="Times New Roman" w:hAnsi="Times New Roman"/>
          <w:sz w:val="24"/>
          <w:szCs w:val="24"/>
        </w:rPr>
        <w:t xml:space="preserve"> 1949 </w:t>
      </w:r>
      <w:r w:rsidR="004C39D0">
        <w:rPr>
          <w:rFonts w:ascii="Times New Roman" w:hAnsi="Times New Roman"/>
          <w:sz w:val="24"/>
          <w:szCs w:val="24"/>
        </w:rPr>
        <w:t xml:space="preserve">(2009) </w:t>
      </w:r>
      <w:r w:rsidR="00916110" w:rsidRPr="005E0C9F">
        <w:rPr>
          <w:rFonts w:ascii="Times New Roman" w:hAnsi="Times New Roman"/>
          <w:sz w:val="24"/>
          <w:szCs w:val="24"/>
        </w:rPr>
        <w:t>(</w:t>
      </w:r>
      <w:r w:rsidR="00916110" w:rsidRPr="0042676A">
        <w:rPr>
          <w:rFonts w:ascii="Times New Roman" w:hAnsi="Times New Roman"/>
          <w:sz w:val="24"/>
          <w:szCs w:val="24"/>
        </w:rPr>
        <w:t>quoting</w:t>
      </w:r>
      <w:r w:rsidR="00916110" w:rsidRPr="005E0C9F">
        <w:rPr>
          <w:rFonts w:ascii="Times New Roman" w:hAnsi="Times New Roman"/>
          <w:sz w:val="24"/>
          <w:szCs w:val="24"/>
        </w:rPr>
        <w:t xml:space="preserve"> </w:t>
      </w:r>
      <w:r w:rsidR="004C39D0" w:rsidRPr="00557849">
        <w:rPr>
          <w:rFonts w:ascii="Times New Roman" w:hAnsi="Times New Roman"/>
          <w:u w:val="single"/>
        </w:rPr>
        <w:t xml:space="preserve">Bell Atlantic Corp. v. </w:t>
      </w:r>
      <w:proofErr w:type="spellStart"/>
      <w:r w:rsidR="004C39D0" w:rsidRPr="00557849">
        <w:rPr>
          <w:rFonts w:ascii="Times New Roman" w:hAnsi="Times New Roman"/>
          <w:u w:val="single"/>
        </w:rPr>
        <w:t>Twombly</w:t>
      </w:r>
      <w:proofErr w:type="spellEnd"/>
      <w:r w:rsidR="004C39D0">
        <w:rPr>
          <w:rFonts w:ascii="Times New Roman" w:hAnsi="Times New Roman"/>
        </w:rPr>
        <w:t>, 550 U.S. 544, 570</w:t>
      </w:r>
      <w:r w:rsidR="004C39D0" w:rsidRPr="00557849">
        <w:rPr>
          <w:rFonts w:ascii="Times New Roman" w:hAnsi="Times New Roman"/>
        </w:rPr>
        <w:t xml:space="preserve"> (2007)</w:t>
      </w:r>
      <w:r w:rsidR="00916110" w:rsidRPr="005E0C9F">
        <w:rPr>
          <w:rFonts w:ascii="Times New Roman" w:hAnsi="Times New Roman"/>
          <w:sz w:val="24"/>
          <w:szCs w:val="24"/>
        </w:rPr>
        <w:t xml:space="preserve">).  This “plausibility standard is not akin to a probability requirement, but it asks for more than a sheer possibility that a defendant has acted unlawfully.”  </w:t>
      </w:r>
      <w:r w:rsidR="00916110" w:rsidRPr="005E0C9F">
        <w:rPr>
          <w:rFonts w:ascii="Times New Roman" w:hAnsi="Times New Roman"/>
          <w:sz w:val="24"/>
          <w:szCs w:val="24"/>
          <w:u w:val="single"/>
        </w:rPr>
        <w:t>Id.</w:t>
      </w:r>
      <w:r w:rsidR="00916110" w:rsidRPr="005E0C9F">
        <w:rPr>
          <w:rFonts w:ascii="Times New Roman" w:hAnsi="Times New Roman"/>
          <w:sz w:val="24"/>
          <w:szCs w:val="24"/>
        </w:rPr>
        <w:t xml:space="preserve"> (citation omitted).</w:t>
      </w:r>
      <w:r w:rsidR="00756EFE" w:rsidRPr="005E0C9F">
        <w:rPr>
          <w:rFonts w:ascii="Times New Roman" w:hAnsi="Times New Roman"/>
          <w:sz w:val="24"/>
          <w:szCs w:val="24"/>
        </w:rPr>
        <w:t xml:space="preserve"> </w:t>
      </w:r>
    </w:p>
    <w:p w:rsidR="00ED1456" w:rsidRPr="005E0C9F" w:rsidRDefault="00D16CBE" w:rsidP="005E0C9F">
      <w:pPr>
        <w:pStyle w:val="BriefText"/>
        <w:numPr>
          <w:ilvl w:val="0"/>
          <w:numId w:val="22"/>
        </w:numPr>
        <w:rPr>
          <w:u w:val="single"/>
        </w:rPr>
      </w:pPr>
      <w:r w:rsidRPr="005E0C9F">
        <w:rPr>
          <w:u w:val="single"/>
        </w:rPr>
        <w:t xml:space="preserve"> The Complaint Sets Forth the Necessary Elements of A Claim Under </w:t>
      </w:r>
      <w:r w:rsidR="00CA1FDB" w:rsidRPr="00D16CBE">
        <w:rPr>
          <w:u w:val="single"/>
        </w:rPr>
        <w:t xml:space="preserve">Title II </w:t>
      </w:r>
    </w:p>
    <w:p w:rsidR="00FA470F" w:rsidRPr="004425BD" w:rsidRDefault="00B35DDB" w:rsidP="004425BD">
      <w:pPr>
        <w:autoSpaceDE w:val="0"/>
        <w:autoSpaceDN w:val="0"/>
        <w:adjustRightInd w:val="0"/>
        <w:spacing w:after="0" w:line="480" w:lineRule="auto"/>
      </w:pPr>
      <w:r>
        <w:tab/>
      </w:r>
      <w:r w:rsidR="00FA470F" w:rsidRPr="004425BD">
        <w:rPr>
          <w:rFonts w:ascii="Times New Roman" w:hAnsi="Times New Roman"/>
          <w:sz w:val="24"/>
          <w:szCs w:val="24"/>
        </w:rPr>
        <w:t xml:space="preserve">To establish a claim under Title II, a plaintiff must demonstrate that (1) he or she is a qualified individual with a disability; (2) he or she was either excluded from participation in or denied the benefits of some public entity’s services, programs, or activities or was otherwise discriminated against; and (3) such exclusion, denial of benefits, or discrimination was by reason of the plaintiff’s disability.  </w:t>
      </w:r>
      <w:r w:rsidR="00FA470F" w:rsidRPr="004425BD">
        <w:rPr>
          <w:rFonts w:ascii="Times New Roman" w:hAnsi="Times New Roman"/>
          <w:sz w:val="24"/>
          <w:szCs w:val="24"/>
          <w:u w:val="single"/>
        </w:rPr>
        <w:t>See</w:t>
      </w:r>
      <w:r w:rsidR="00FA470F" w:rsidRPr="004425BD">
        <w:rPr>
          <w:rFonts w:ascii="Times New Roman" w:hAnsi="Times New Roman"/>
          <w:sz w:val="24"/>
          <w:szCs w:val="24"/>
        </w:rPr>
        <w:t xml:space="preserve"> </w:t>
      </w:r>
      <w:r w:rsidR="00FA470F" w:rsidRPr="004425BD">
        <w:rPr>
          <w:rFonts w:ascii="Times New Roman" w:hAnsi="Times New Roman"/>
          <w:bCs/>
          <w:color w:val="333333"/>
          <w:sz w:val="24"/>
          <w:szCs w:val="24"/>
          <w:u w:val="single"/>
        </w:rPr>
        <w:t>Henrietta D. v. Bloomberg</w:t>
      </w:r>
      <w:r w:rsidR="00FA470F" w:rsidRPr="004425BD">
        <w:rPr>
          <w:rFonts w:ascii="Times New Roman" w:hAnsi="Times New Roman"/>
          <w:bCs/>
          <w:color w:val="333333"/>
          <w:sz w:val="24"/>
          <w:szCs w:val="24"/>
        </w:rPr>
        <w:t>, 331 F.3d 261</w:t>
      </w:r>
      <w:r w:rsidR="00FA470F" w:rsidRPr="004425BD">
        <w:rPr>
          <w:rFonts w:ascii="Times New Roman" w:hAnsi="Times New Roman"/>
          <w:sz w:val="24"/>
          <w:szCs w:val="24"/>
        </w:rPr>
        <w:t>, 272 (2d Cir. 2003).</w:t>
      </w:r>
      <w:r w:rsidR="00FA41A4" w:rsidRPr="004425BD">
        <w:rPr>
          <w:rFonts w:ascii="Times New Roman" w:hAnsi="Times New Roman"/>
          <w:sz w:val="24"/>
          <w:szCs w:val="24"/>
        </w:rPr>
        <w:t xml:space="preserve">  </w:t>
      </w:r>
    </w:p>
    <w:p w:rsidR="00EE53F3" w:rsidRDefault="004779CC" w:rsidP="00771FF8">
      <w:pPr>
        <w:pStyle w:val="BriefText"/>
      </w:pPr>
      <w:r>
        <w:t>As</w:t>
      </w:r>
      <w:r w:rsidR="00AE02F8">
        <w:t>suming the facts alleged in the Complaint to be true, Plaintiffs have met the plausibility requirement necessary to survive a motion to dismiss.  Plaintiffs have alleged</w:t>
      </w:r>
      <w:r w:rsidR="00A44ABB">
        <w:t xml:space="preserve"> </w:t>
      </w:r>
      <w:r w:rsidR="00AE02F8">
        <w:t xml:space="preserve">that Child is a qualified individual with a disability.  </w:t>
      </w:r>
      <w:r w:rsidR="00AE02F8">
        <w:rPr>
          <w:u w:val="single"/>
        </w:rPr>
        <w:t>S</w:t>
      </w:r>
      <w:r w:rsidR="00AE02F8" w:rsidRPr="004425BD">
        <w:rPr>
          <w:u w:val="single"/>
        </w:rPr>
        <w:t>ee</w:t>
      </w:r>
      <w:r w:rsidR="00AE02F8">
        <w:t xml:space="preserve"> Complaint at ¶¶ 13,17</w:t>
      </w:r>
      <w:r w:rsidR="00A44ABB">
        <w:t>, 75</w:t>
      </w:r>
      <w:r w:rsidR="00AE02F8">
        <w:t xml:space="preserve"> (alleging that Child is a 12</w:t>
      </w:r>
      <w:r w:rsidR="00A44ABB">
        <w:t xml:space="preserve"> year old student with multiple disabilities which impair</w:t>
      </w:r>
      <w:r w:rsidR="00AE02F8">
        <w:t xml:space="preserve"> his major life functions of learning and communicating).  In addition, </w:t>
      </w:r>
      <w:r w:rsidR="00A44ABB">
        <w:t>Plaintiffs have alleged</w:t>
      </w:r>
      <w:r w:rsidR="00AE02F8">
        <w:t xml:space="preserve"> that Defendants Board of Education and School District are public entities for the purposes of Title II.  </w:t>
      </w:r>
      <w:r w:rsidR="00AE02F8" w:rsidRPr="004425BD">
        <w:rPr>
          <w:u w:val="single"/>
        </w:rPr>
        <w:t>See</w:t>
      </w:r>
      <w:r w:rsidR="00AE02F8">
        <w:t xml:space="preserve"> Complaint at ¶¶ 18, 19, 22, 29, 30</w:t>
      </w:r>
      <w:r w:rsidR="00A44ABB">
        <w:t>, 76)</w:t>
      </w:r>
      <w:r w:rsidR="00AE02F8">
        <w:t>.</w:t>
      </w:r>
      <w:r w:rsidR="000530E0">
        <w:t xml:space="preserve">  Further</w:t>
      </w:r>
      <w:r w:rsidR="00C250A6">
        <w:t>,</w:t>
      </w:r>
      <w:r w:rsidR="000530E0">
        <w:t xml:space="preserve"> Plaintiffs have alleged that Child’s doctor prescribed a service </w:t>
      </w:r>
      <w:r w:rsidR="00572468">
        <w:t>animal</w:t>
      </w:r>
      <w:r w:rsidR="00411A8C">
        <w:rPr>
          <w:rStyle w:val="FootnoteReference"/>
        </w:rPr>
        <w:footnoteReference w:id="4"/>
      </w:r>
      <w:r w:rsidR="000530E0">
        <w:t xml:space="preserve"> to assist Child with, among other things, certain disability-related behavioral issues that impact Child’s ability to participate in and receive benefits from school and school</w:t>
      </w:r>
      <w:r w:rsidR="007133FA">
        <w:t>-</w:t>
      </w:r>
      <w:r w:rsidR="000530E0">
        <w:t xml:space="preserve">related activities.  </w:t>
      </w:r>
      <w:r w:rsidR="00AE02F8">
        <w:t xml:space="preserve"> </w:t>
      </w:r>
      <w:r w:rsidR="000530E0" w:rsidRPr="000F7AF9">
        <w:rPr>
          <w:u w:val="single"/>
        </w:rPr>
        <w:t>See</w:t>
      </w:r>
      <w:r w:rsidR="000530E0">
        <w:t xml:space="preserve"> </w:t>
      </w:r>
      <w:r w:rsidR="00C250A6" w:rsidRPr="004425BD">
        <w:rPr>
          <w:u w:val="single"/>
        </w:rPr>
        <w:t>e.g.</w:t>
      </w:r>
      <w:r w:rsidR="00C250A6">
        <w:t xml:space="preserve">, </w:t>
      </w:r>
      <w:r w:rsidR="000530E0">
        <w:t xml:space="preserve">Complaint at ¶¶ </w:t>
      </w:r>
      <w:r w:rsidR="00C250A6">
        <w:t>31, 38-48, 52-53.</w:t>
      </w:r>
      <w:r w:rsidR="00AE02F8">
        <w:t xml:space="preserve"> </w:t>
      </w:r>
      <w:r w:rsidR="00C250A6">
        <w:t xml:space="preserve">  Finally, Plaintiffs have alleged that Defendants’ </w:t>
      </w:r>
      <w:r w:rsidR="00411A8C">
        <w:t xml:space="preserve">continued </w:t>
      </w:r>
      <w:r w:rsidR="00C250A6">
        <w:t xml:space="preserve">refusal to </w:t>
      </w:r>
      <w:r w:rsidR="004816BC">
        <w:t xml:space="preserve">modify its policies and practices to </w:t>
      </w:r>
      <w:r w:rsidR="00C250A6">
        <w:t xml:space="preserve">permit Child’s service </w:t>
      </w:r>
      <w:r w:rsidR="00572468">
        <w:t xml:space="preserve">animal </w:t>
      </w:r>
      <w:r w:rsidR="00C250A6">
        <w:t>to accompany him at school and school</w:t>
      </w:r>
      <w:r w:rsidR="007133FA">
        <w:t>-</w:t>
      </w:r>
      <w:r w:rsidR="00C250A6">
        <w:t xml:space="preserve">related functions </w:t>
      </w:r>
      <w:r w:rsidR="00411A8C">
        <w:t>discriminates against</w:t>
      </w:r>
      <w:r w:rsidR="00C250A6">
        <w:t xml:space="preserve"> Child </w:t>
      </w:r>
      <w:r w:rsidR="00411A8C">
        <w:t xml:space="preserve">and denies Child the benefits and services provided by Defendants </w:t>
      </w:r>
      <w:r w:rsidR="00BE4C08">
        <w:t>on the basis of</w:t>
      </w:r>
      <w:r w:rsidR="00411A8C">
        <w:t xml:space="preserve"> disability</w:t>
      </w:r>
      <w:r w:rsidR="00C250A6">
        <w:t xml:space="preserve">.  </w:t>
      </w:r>
      <w:r w:rsidR="00C250A6" w:rsidRPr="000F7AF9">
        <w:rPr>
          <w:u w:val="single"/>
        </w:rPr>
        <w:t>See</w:t>
      </w:r>
      <w:r w:rsidR="00C250A6">
        <w:t xml:space="preserve"> </w:t>
      </w:r>
      <w:r w:rsidR="00C250A6" w:rsidRPr="000F7AF9">
        <w:rPr>
          <w:u w:val="single"/>
        </w:rPr>
        <w:t>e.g.</w:t>
      </w:r>
      <w:r w:rsidR="00C250A6">
        <w:t xml:space="preserve">, Complaint at ¶¶ </w:t>
      </w:r>
      <w:r w:rsidR="00411A8C">
        <w:t xml:space="preserve">59-61 (alleging that Defendants could not manage Child’s behavior at school and refused to permit his service animal on the premises to assist Child); </w:t>
      </w:r>
      <w:r w:rsidR="00C250A6">
        <w:t>83</w:t>
      </w:r>
      <w:r w:rsidR="00411A8C">
        <w:t>.</w:t>
      </w:r>
      <w:r w:rsidR="00BE4C08">
        <w:t xml:space="preserve"> </w:t>
      </w:r>
      <w:r>
        <w:t xml:space="preserve"> </w:t>
      </w:r>
      <w:r w:rsidR="00EE53F3">
        <w:t xml:space="preserve">With these allegations, Plaintiffs have sufficiently </w:t>
      </w:r>
      <w:r w:rsidR="00E0529D">
        <w:t xml:space="preserve">pled </w:t>
      </w:r>
      <w:r w:rsidR="00EE53F3">
        <w:t xml:space="preserve">that Defendants violated Title II by </w:t>
      </w:r>
      <w:r w:rsidR="004816BC">
        <w:t>denying Child</w:t>
      </w:r>
      <w:r w:rsidR="00A01D39">
        <w:t xml:space="preserve"> the use of his service animal at school</w:t>
      </w:r>
      <w:r w:rsidR="004816BC">
        <w:t xml:space="preserve"> and school-related functions</w:t>
      </w:r>
      <w:r w:rsidR="00EE53F3">
        <w:t>.</w:t>
      </w:r>
    </w:p>
    <w:p w:rsidR="00CA1FDB" w:rsidRDefault="00CA1FDB" w:rsidP="004425BD">
      <w:pPr>
        <w:pStyle w:val="BriefText"/>
        <w:spacing w:line="240" w:lineRule="auto"/>
        <w:ind w:left="1440" w:hanging="720"/>
      </w:pPr>
      <w:r>
        <w:t>B.</w:t>
      </w:r>
      <w:r>
        <w:tab/>
        <w:t>Defendants</w:t>
      </w:r>
      <w:r w:rsidR="006E4801">
        <w:t>’</w:t>
      </w:r>
      <w:r>
        <w:t xml:space="preserve"> Offer of </w:t>
      </w:r>
      <w:r w:rsidR="004425BD">
        <w:t xml:space="preserve">a 1:1 Aide in Lieu of a Service Animal </w:t>
      </w:r>
    </w:p>
    <w:p w:rsidR="00CA1FDB" w:rsidRDefault="00CA1FDB" w:rsidP="004425BD">
      <w:pPr>
        <w:pStyle w:val="BriefText"/>
        <w:spacing w:line="240" w:lineRule="auto"/>
        <w:ind w:left="1440" w:firstLine="0"/>
        <w:rPr>
          <w:u w:val="single"/>
        </w:rPr>
      </w:pPr>
      <w:r w:rsidRPr="004425BD">
        <w:rPr>
          <w:u w:val="single"/>
        </w:rPr>
        <w:t>Does Not Undercut the Sufficiency of Plaintiffs’ Title II Claim</w:t>
      </w:r>
    </w:p>
    <w:p w:rsidR="00CA1FDB" w:rsidRPr="004425BD" w:rsidRDefault="00CA1FDB" w:rsidP="004425BD">
      <w:pPr>
        <w:pStyle w:val="BriefText"/>
        <w:spacing w:line="240" w:lineRule="auto"/>
        <w:ind w:left="1440" w:firstLine="0"/>
        <w:rPr>
          <w:u w:val="single"/>
        </w:rPr>
      </w:pPr>
    </w:p>
    <w:p w:rsidR="00917E5F" w:rsidRDefault="00EA2A8B" w:rsidP="00C66567">
      <w:pPr>
        <w:pStyle w:val="BriefText"/>
      </w:pPr>
      <w:r w:rsidRPr="009460AE">
        <w:t xml:space="preserve">Defendants argue that </w:t>
      </w:r>
      <w:r w:rsidR="00CA1FDB">
        <w:t xml:space="preserve">Plaintiffs’ Title II claim must fail </w:t>
      </w:r>
      <w:r w:rsidR="004816BC">
        <w:t>as a matter of law</w:t>
      </w:r>
      <w:r w:rsidR="00CA1FDB">
        <w:t xml:space="preserve"> because</w:t>
      </w:r>
      <w:r w:rsidR="004425BD">
        <w:t xml:space="preserve"> </w:t>
      </w:r>
      <w:r w:rsidR="004425BD" w:rsidRPr="009460AE">
        <w:t xml:space="preserve">Child </w:t>
      </w:r>
      <w:r w:rsidR="004425BD">
        <w:t xml:space="preserve">already </w:t>
      </w:r>
      <w:r w:rsidR="004425BD" w:rsidRPr="009460AE">
        <w:t xml:space="preserve">has a 1:1 aide </w:t>
      </w:r>
      <w:r w:rsidR="001B04CF">
        <w:t>who, Defendant</w:t>
      </w:r>
      <w:r w:rsidR="005E0C9F">
        <w:t>s</w:t>
      </w:r>
      <w:r w:rsidR="001B04CF">
        <w:t xml:space="preserve"> claim, </w:t>
      </w:r>
      <w:r w:rsidR="004425BD">
        <w:t xml:space="preserve">gives him all the support he needs at school </w:t>
      </w:r>
      <w:r w:rsidR="004425BD" w:rsidRPr="009460AE">
        <w:t xml:space="preserve">and because </w:t>
      </w:r>
      <w:r w:rsidR="004425BD">
        <w:t>Child needs assistance in handling the</w:t>
      </w:r>
      <w:r w:rsidR="004425BD" w:rsidRPr="009460AE">
        <w:t xml:space="preserve"> service </w:t>
      </w:r>
      <w:r w:rsidR="004425BD">
        <w:t>animal.</w:t>
      </w:r>
      <w:r w:rsidR="004425BD" w:rsidRPr="009460AE">
        <w:t xml:space="preserve"> </w:t>
      </w:r>
      <w:r w:rsidR="004425BD">
        <w:t xml:space="preserve">  </w:t>
      </w:r>
      <w:r w:rsidRPr="00B57A26">
        <w:rPr>
          <w:u w:val="single"/>
        </w:rPr>
        <w:t>See</w:t>
      </w:r>
      <w:r>
        <w:t xml:space="preserve"> </w:t>
      </w:r>
      <w:r w:rsidRPr="001F4F43">
        <w:t>Memorandum in Support of Defendants’ Motion to Dismiss (“Defendants’ Brief”)</w:t>
      </w:r>
      <w:r>
        <w:t xml:space="preserve"> at pp. 18-21.</w:t>
      </w:r>
      <w:r>
        <w:rPr>
          <w:rStyle w:val="FootnoteReference"/>
        </w:rPr>
        <w:footnoteReference w:id="5"/>
      </w:r>
      <w:r w:rsidRPr="009460AE">
        <w:t xml:space="preserve">  </w:t>
      </w:r>
      <w:r w:rsidR="002910ED">
        <w:t>These arguments misconstrue both the law and the facts alleged in Plaintiffs’ Complaint.</w:t>
      </w:r>
    </w:p>
    <w:p w:rsidR="00EA2A8B" w:rsidRPr="009460AE" w:rsidRDefault="00917E5F" w:rsidP="00771FF8">
      <w:pPr>
        <w:pStyle w:val="BriefText"/>
      </w:pPr>
      <w:r>
        <w:t xml:space="preserve">Defendants’ provision of a 1:1 aide </w:t>
      </w:r>
      <w:r w:rsidR="00CA1FDB">
        <w:t>d</w:t>
      </w:r>
      <w:r>
        <w:t>oes not</w:t>
      </w:r>
      <w:r w:rsidR="0031330B">
        <w:t xml:space="preserve"> </w:t>
      </w:r>
      <w:r>
        <w:t xml:space="preserve">obviate </w:t>
      </w:r>
      <w:r w:rsidR="0011428C">
        <w:t xml:space="preserve">the </w:t>
      </w:r>
      <w:r>
        <w:t xml:space="preserve">Child’s </w:t>
      </w:r>
      <w:r w:rsidR="0011428C">
        <w:t xml:space="preserve">service animal-related </w:t>
      </w:r>
      <w:r>
        <w:t>right</w:t>
      </w:r>
      <w:r w:rsidR="0011428C">
        <w:t>s</w:t>
      </w:r>
      <w:r>
        <w:t xml:space="preserve"> under the ADA</w:t>
      </w:r>
      <w:r w:rsidR="0031330B">
        <w:t xml:space="preserve">.  A </w:t>
      </w:r>
      <w:r w:rsidR="0011428C">
        <w:t>school district</w:t>
      </w:r>
      <w:r w:rsidR="0031330B">
        <w:t xml:space="preserve"> is not entitled under the framework of the ADA</w:t>
      </w:r>
      <w:r w:rsidR="0011428C">
        <w:t xml:space="preserve"> to substitute its judgment for that of </w:t>
      </w:r>
      <w:r w:rsidR="00ED5701">
        <w:t xml:space="preserve">a student or parent with respect to the decision to use a service animal.  </w:t>
      </w:r>
      <w:r w:rsidR="00EA2A8B" w:rsidRPr="0038283A">
        <w:rPr>
          <w:u w:val="single"/>
        </w:rPr>
        <w:t>See</w:t>
      </w:r>
      <w:r w:rsidR="00EA2A8B">
        <w:t xml:space="preserve"> </w:t>
      </w:r>
      <w:r w:rsidR="002B1D11" w:rsidRPr="002B1D11">
        <w:rPr>
          <w:u w:val="single"/>
        </w:rPr>
        <w:t>Alboniga</w:t>
      </w:r>
      <w:r w:rsidR="002B1D11" w:rsidRPr="00666A6D">
        <w:rPr>
          <w:u w:val="single"/>
        </w:rPr>
        <w:t xml:space="preserve"> v. School Bd.</w:t>
      </w:r>
      <w:r w:rsidR="002B1D11" w:rsidRPr="0093504E">
        <w:t xml:space="preserve">, 87 F. Supp. 3d 1319, 1341 (S.D. Fla. 2015) </w:t>
      </w:r>
      <w:r w:rsidR="00EA2A8B">
        <w:t xml:space="preserve"> (finding </w:t>
      </w:r>
      <w:r w:rsidR="00663561">
        <w:t xml:space="preserve">that </w:t>
      </w:r>
      <w:r w:rsidR="00EA2A8B">
        <w:t xml:space="preserve">school district violated Title II by refusing to assist student with his service </w:t>
      </w:r>
      <w:r w:rsidR="00D7462A">
        <w:t xml:space="preserve">animal </w:t>
      </w:r>
      <w:r w:rsidR="00EA2A8B">
        <w:t>because it</w:t>
      </w:r>
      <w:r w:rsidR="00B26BFD">
        <w:t xml:space="preserve"> preferred to substitute a different modification </w:t>
      </w:r>
      <w:r w:rsidR="00EA2A8B">
        <w:t xml:space="preserve">and noting that refusing a student’s request for a reasonable modification “in favor of one the School Board prefers is akin to allowing a public entity to dictate the type of services a disabled person needs in contravention of that person’s own decisions regarding his own life and care. . . . like refusing a blind person access for her service animal because, in the public entity’s view, a cane works fine.  That result </w:t>
      </w:r>
      <w:r w:rsidR="00EA2A8B" w:rsidRPr="0038283A">
        <w:rPr>
          <w:u w:val="single"/>
        </w:rPr>
        <w:t>would</w:t>
      </w:r>
      <w:r w:rsidR="00EA2A8B">
        <w:t xml:space="preserve"> be absurd.”) (emphasis in original).</w:t>
      </w:r>
      <w:r w:rsidR="00EA2A8B" w:rsidRPr="00E6201A">
        <w:t xml:space="preserve"> </w:t>
      </w:r>
      <w:r w:rsidR="00EA2A8B">
        <w:t xml:space="preserve"> </w:t>
      </w:r>
      <w:r w:rsidR="003A74DE">
        <w:t xml:space="preserve">Indeed, </w:t>
      </w:r>
      <w:r w:rsidR="00EA2A8B">
        <w:t xml:space="preserve">Congress designed the ADA to respect the choices of individuals with disabilities and ensure their ability to live independently.  </w:t>
      </w:r>
      <w:r w:rsidR="00EA2A8B" w:rsidRPr="0089626C">
        <w:rPr>
          <w:u w:val="single"/>
        </w:rPr>
        <w:t>See</w:t>
      </w:r>
      <w:r w:rsidR="00EA2A8B" w:rsidRPr="0089626C">
        <w:t xml:space="preserve"> </w:t>
      </w:r>
      <w:r w:rsidR="00EA2A8B" w:rsidRPr="0089626C">
        <w:rPr>
          <w:u w:val="single"/>
        </w:rPr>
        <w:t>Hearing Before the S. Comm. on Labor &amp; Human Resources</w:t>
      </w:r>
      <w:r w:rsidR="00EA2A8B">
        <w:t xml:space="preserve">, 101st Cong. 188 (1989) (statement of Sen. Harkin) (“[P]eople with disabilities are entitled to lead independent and productive lives, to make choices for themselves, and be integrated and mainstreamed into society.”); </w:t>
      </w:r>
      <w:r w:rsidR="00EA2A8B" w:rsidRPr="0089626C">
        <w:rPr>
          <w:u w:val="single"/>
        </w:rPr>
        <w:t>see</w:t>
      </w:r>
      <w:r w:rsidR="00EA2A8B">
        <w:rPr>
          <w:i/>
        </w:rPr>
        <w:t xml:space="preserve"> </w:t>
      </w:r>
      <w:r w:rsidR="00EA2A8B" w:rsidRPr="0089626C">
        <w:rPr>
          <w:u w:val="single"/>
        </w:rPr>
        <w:t>also</w:t>
      </w:r>
      <w:r w:rsidR="00EA2A8B">
        <w:rPr>
          <w:i/>
        </w:rPr>
        <w:t xml:space="preserve"> </w:t>
      </w:r>
      <w:r w:rsidR="00EA2A8B" w:rsidRPr="0089626C">
        <w:rPr>
          <w:u w:val="single"/>
        </w:rPr>
        <w:t>Tennessee v. Lane</w:t>
      </w:r>
      <w:r w:rsidR="00EA2A8B" w:rsidRPr="004B519B">
        <w:t>, 541 U.S. 509, 538 (2004) (Ginsburg, J., concurring) (ADA is Congress’s “barrier-lowering, dignity-respecting national solution”</w:t>
      </w:r>
      <w:r w:rsidR="00D65F2E">
        <w:t xml:space="preserve">).  </w:t>
      </w:r>
      <w:r w:rsidR="00EA2A8B">
        <w:t xml:space="preserve">   </w:t>
      </w:r>
    </w:p>
    <w:p w:rsidR="0093504E" w:rsidRDefault="00D65F2E" w:rsidP="00F269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left="0"/>
        <w:rPr>
          <w:rFonts w:ascii="Times New Roman" w:hAnsi="Times New Roman"/>
          <w:sz w:val="24"/>
          <w:szCs w:val="24"/>
        </w:rPr>
      </w:pPr>
      <w:r>
        <w:rPr>
          <w:rFonts w:ascii="Times New Roman" w:hAnsi="Times New Roman"/>
          <w:sz w:val="24"/>
          <w:szCs w:val="24"/>
        </w:rPr>
        <w:tab/>
      </w:r>
      <w:r w:rsidR="0093504E">
        <w:rPr>
          <w:rFonts w:ascii="Times New Roman" w:hAnsi="Times New Roman"/>
          <w:sz w:val="24"/>
          <w:szCs w:val="24"/>
        </w:rPr>
        <w:t>D</w:t>
      </w:r>
      <w:r w:rsidR="0093504E" w:rsidRPr="009460AE">
        <w:rPr>
          <w:rFonts w:ascii="Times New Roman" w:hAnsi="Times New Roman"/>
          <w:sz w:val="24"/>
          <w:szCs w:val="24"/>
        </w:rPr>
        <w:t>efendant</w:t>
      </w:r>
      <w:r w:rsidR="004C13CC">
        <w:rPr>
          <w:rFonts w:ascii="Times New Roman" w:hAnsi="Times New Roman"/>
          <w:sz w:val="24"/>
          <w:szCs w:val="24"/>
        </w:rPr>
        <w:t>s</w:t>
      </w:r>
      <w:r w:rsidR="00B67560">
        <w:rPr>
          <w:rFonts w:ascii="Times New Roman" w:hAnsi="Times New Roman"/>
          <w:sz w:val="24"/>
          <w:szCs w:val="24"/>
        </w:rPr>
        <w:t xml:space="preserve"> re</w:t>
      </w:r>
      <w:r w:rsidR="00B005DD">
        <w:rPr>
          <w:rFonts w:ascii="Times New Roman" w:hAnsi="Times New Roman"/>
          <w:sz w:val="24"/>
          <w:szCs w:val="24"/>
        </w:rPr>
        <w:t>ly up</w:t>
      </w:r>
      <w:r w:rsidR="00B67560">
        <w:rPr>
          <w:rFonts w:ascii="Times New Roman" w:hAnsi="Times New Roman"/>
          <w:sz w:val="24"/>
          <w:szCs w:val="24"/>
        </w:rPr>
        <w:t xml:space="preserve">on </w:t>
      </w:r>
      <w:r w:rsidR="0093504E" w:rsidRPr="009460AE">
        <w:rPr>
          <w:rFonts w:ascii="Times New Roman" w:hAnsi="Times New Roman"/>
          <w:sz w:val="24"/>
          <w:szCs w:val="24"/>
        </w:rPr>
        <w:t xml:space="preserve">28 C.F.R. § 35.136(c) </w:t>
      </w:r>
      <w:r w:rsidR="00B67560">
        <w:rPr>
          <w:rFonts w:ascii="Times New Roman" w:hAnsi="Times New Roman"/>
          <w:sz w:val="24"/>
          <w:szCs w:val="24"/>
        </w:rPr>
        <w:t xml:space="preserve">to </w:t>
      </w:r>
      <w:r>
        <w:rPr>
          <w:rFonts w:ascii="Times New Roman" w:hAnsi="Times New Roman"/>
          <w:sz w:val="24"/>
          <w:szCs w:val="24"/>
        </w:rPr>
        <w:t xml:space="preserve">argue that the </w:t>
      </w:r>
      <w:r w:rsidR="0093504E">
        <w:rPr>
          <w:rFonts w:ascii="Times New Roman" w:hAnsi="Times New Roman"/>
          <w:sz w:val="24"/>
          <w:szCs w:val="24"/>
        </w:rPr>
        <w:t xml:space="preserve">School District </w:t>
      </w:r>
      <w:r>
        <w:rPr>
          <w:rFonts w:ascii="Times New Roman" w:hAnsi="Times New Roman"/>
          <w:sz w:val="24"/>
          <w:szCs w:val="24"/>
        </w:rPr>
        <w:t xml:space="preserve">can exclude Child’s service </w:t>
      </w:r>
      <w:r w:rsidR="00D7462A">
        <w:rPr>
          <w:rFonts w:ascii="Times New Roman" w:hAnsi="Times New Roman"/>
          <w:sz w:val="24"/>
          <w:szCs w:val="24"/>
        </w:rPr>
        <w:t xml:space="preserve">animal </w:t>
      </w:r>
      <w:r>
        <w:rPr>
          <w:rFonts w:ascii="Times New Roman" w:hAnsi="Times New Roman"/>
          <w:sz w:val="24"/>
          <w:szCs w:val="24"/>
        </w:rPr>
        <w:t>because the District</w:t>
      </w:r>
      <w:r w:rsidRPr="009460AE">
        <w:rPr>
          <w:rFonts w:ascii="Times New Roman" w:hAnsi="Times New Roman"/>
          <w:sz w:val="24"/>
          <w:szCs w:val="24"/>
        </w:rPr>
        <w:t xml:space="preserve"> can give </w:t>
      </w:r>
      <w:r>
        <w:rPr>
          <w:rFonts w:ascii="Times New Roman" w:hAnsi="Times New Roman"/>
          <w:sz w:val="24"/>
          <w:szCs w:val="24"/>
        </w:rPr>
        <w:t>Child</w:t>
      </w:r>
      <w:r w:rsidRPr="009460AE">
        <w:rPr>
          <w:rFonts w:ascii="Times New Roman" w:hAnsi="Times New Roman"/>
          <w:sz w:val="24"/>
          <w:szCs w:val="24"/>
        </w:rPr>
        <w:t xml:space="preserve"> an opportunity to participate in </w:t>
      </w:r>
      <w:r>
        <w:rPr>
          <w:rFonts w:ascii="Times New Roman" w:hAnsi="Times New Roman"/>
          <w:sz w:val="24"/>
          <w:szCs w:val="24"/>
        </w:rPr>
        <w:t>school and school-related functions</w:t>
      </w:r>
      <w:r w:rsidRPr="009460AE">
        <w:rPr>
          <w:rFonts w:ascii="Times New Roman" w:hAnsi="Times New Roman"/>
          <w:sz w:val="24"/>
          <w:szCs w:val="24"/>
        </w:rPr>
        <w:t xml:space="preserve"> without </w:t>
      </w:r>
      <w:r>
        <w:rPr>
          <w:rFonts w:ascii="Times New Roman" w:hAnsi="Times New Roman"/>
          <w:sz w:val="24"/>
          <w:szCs w:val="24"/>
        </w:rPr>
        <w:t>his</w:t>
      </w:r>
      <w:r w:rsidRPr="009460AE">
        <w:rPr>
          <w:rFonts w:ascii="Times New Roman" w:hAnsi="Times New Roman"/>
          <w:sz w:val="24"/>
          <w:szCs w:val="24"/>
        </w:rPr>
        <w:t xml:space="preserve"> service animal</w:t>
      </w:r>
      <w:r w:rsidR="00B005DD">
        <w:rPr>
          <w:rFonts w:ascii="Times New Roman" w:hAnsi="Times New Roman"/>
          <w:sz w:val="24"/>
          <w:szCs w:val="24"/>
        </w:rPr>
        <w:t>.</w:t>
      </w:r>
      <w:r w:rsidRPr="009460AE">
        <w:rPr>
          <w:rFonts w:ascii="Times New Roman" w:hAnsi="Times New Roman"/>
          <w:sz w:val="24"/>
          <w:szCs w:val="24"/>
        </w:rPr>
        <w:t xml:space="preserve">  </w:t>
      </w:r>
      <w:r w:rsidRPr="009460AE">
        <w:rPr>
          <w:rFonts w:ascii="Times New Roman" w:hAnsi="Times New Roman"/>
          <w:sz w:val="24"/>
          <w:szCs w:val="24"/>
          <w:u w:val="single"/>
        </w:rPr>
        <w:t>See</w:t>
      </w:r>
      <w:r w:rsidRPr="009460AE">
        <w:rPr>
          <w:rFonts w:ascii="Times New Roman" w:hAnsi="Times New Roman"/>
          <w:sz w:val="24"/>
          <w:szCs w:val="24"/>
        </w:rPr>
        <w:t xml:space="preserve"> </w:t>
      </w:r>
      <w:r>
        <w:rPr>
          <w:rFonts w:ascii="Times New Roman" w:hAnsi="Times New Roman"/>
          <w:sz w:val="24"/>
          <w:szCs w:val="24"/>
        </w:rPr>
        <w:t>Defendants’ Brief at p. 21.</w:t>
      </w:r>
      <w:r w:rsidR="0093504E">
        <w:rPr>
          <w:rFonts w:ascii="Times New Roman" w:hAnsi="Times New Roman"/>
          <w:sz w:val="24"/>
          <w:szCs w:val="24"/>
        </w:rPr>
        <w:t xml:space="preserve">  </w:t>
      </w:r>
      <w:r w:rsidR="00B67560">
        <w:rPr>
          <w:rFonts w:ascii="Times New Roman" w:hAnsi="Times New Roman"/>
          <w:sz w:val="24"/>
          <w:szCs w:val="24"/>
        </w:rPr>
        <w:t xml:space="preserve">That </w:t>
      </w:r>
      <w:r w:rsidR="0031330B">
        <w:rPr>
          <w:rFonts w:ascii="Times New Roman" w:hAnsi="Times New Roman"/>
          <w:sz w:val="24"/>
          <w:szCs w:val="24"/>
        </w:rPr>
        <w:t>p</w:t>
      </w:r>
      <w:r w:rsidR="00B67560">
        <w:rPr>
          <w:rFonts w:ascii="Times New Roman" w:hAnsi="Times New Roman"/>
          <w:sz w:val="24"/>
          <w:szCs w:val="24"/>
        </w:rPr>
        <w:t>rovision</w:t>
      </w:r>
      <w:r w:rsidR="00B26BFD">
        <w:rPr>
          <w:rFonts w:ascii="Times New Roman" w:hAnsi="Times New Roman"/>
          <w:sz w:val="24"/>
          <w:szCs w:val="24"/>
        </w:rPr>
        <w:t>, however,</w:t>
      </w:r>
      <w:r w:rsidR="00B67560">
        <w:rPr>
          <w:rFonts w:ascii="Times New Roman" w:hAnsi="Times New Roman"/>
          <w:sz w:val="24"/>
          <w:szCs w:val="24"/>
        </w:rPr>
        <w:t xml:space="preserve"> </w:t>
      </w:r>
      <w:r w:rsidR="00572468">
        <w:rPr>
          <w:rFonts w:ascii="Times New Roman" w:hAnsi="Times New Roman"/>
          <w:sz w:val="24"/>
          <w:szCs w:val="24"/>
        </w:rPr>
        <w:t xml:space="preserve">authorizes a </w:t>
      </w:r>
      <w:r w:rsidR="00B005DD">
        <w:rPr>
          <w:rFonts w:ascii="Times New Roman" w:hAnsi="Times New Roman"/>
          <w:sz w:val="24"/>
          <w:szCs w:val="24"/>
        </w:rPr>
        <w:t>school</w:t>
      </w:r>
      <w:r w:rsidR="007133FA">
        <w:rPr>
          <w:rFonts w:ascii="Times New Roman" w:hAnsi="Times New Roman"/>
          <w:sz w:val="24"/>
          <w:szCs w:val="24"/>
        </w:rPr>
        <w:t xml:space="preserve"> </w:t>
      </w:r>
      <w:r w:rsidR="00572468">
        <w:rPr>
          <w:rFonts w:ascii="Times New Roman" w:hAnsi="Times New Roman"/>
          <w:sz w:val="24"/>
          <w:szCs w:val="24"/>
        </w:rPr>
        <w:t>to</w:t>
      </w:r>
      <w:r w:rsidR="00B005DD">
        <w:rPr>
          <w:rFonts w:ascii="Times New Roman" w:hAnsi="Times New Roman"/>
          <w:sz w:val="24"/>
          <w:szCs w:val="24"/>
        </w:rPr>
        <w:t xml:space="preserve"> provide </w:t>
      </w:r>
      <w:r w:rsidR="00C31E19">
        <w:rPr>
          <w:rFonts w:ascii="Times New Roman" w:hAnsi="Times New Roman"/>
          <w:sz w:val="24"/>
          <w:szCs w:val="24"/>
        </w:rPr>
        <w:t xml:space="preserve">such </w:t>
      </w:r>
      <w:r w:rsidR="00B005DD">
        <w:rPr>
          <w:rFonts w:ascii="Times New Roman" w:hAnsi="Times New Roman"/>
          <w:sz w:val="24"/>
          <w:szCs w:val="24"/>
        </w:rPr>
        <w:t xml:space="preserve">alternative modifications </w:t>
      </w:r>
      <w:r w:rsidR="00B67560">
        <w:rPr>
          <w:rFonts w:ascii="Times New Roman" w:hAnsi="Times New Roman"/>
          <w:sz w:val="24"/>
          <w:szCs w:val="24"/>
        </w:rPr>
        <w:t xml:space="preserve">only </w:t>
      </w:r>
      <w:r w:rsidR="00B67560" w:rsidRPr="00A612BF">
        <w:rPr>
          <w:rFonts w:ascii="Times New Roman" w:hAnsi="Times New Roman"/>
          <w:sz w:val="24"/>
          <w:szCs w:val="24"/>
          <w:u w:val="single"/>
        </w:rPr>
        <w:t>after</w:t>
      </w:r>
      <w:r w:rsidR="00B67560">
        <w:rPr>
          <w:rFonts w:ascii="Times New Roman" w:hAnsi="Times New Roman"/>
          <w:i/>
          <w:sz w:val="24"/>
          <w:szCs w:val="24"/>
        </w:rPr>
        <w:t xml:space="preserve"> </w:t>
      </w:r>
      <w:r w:rsidR="00B67560">
        <w:rPr>
          <w:rFonts w:ascii="Times New Roman" w:hAnsi="Times New Roman"/>
          <w:sz w:val="24"/>
          <w:szCs w:val="24"/>
        </w:rPr>
        <w:t>a service animal has been excluded for a permissible reason under the rule</w:t>
      </w:r>
      <w:r w:rsidR="00B26BFD">
        <w:rPr>
          <w:rFonts w:ascii="Times New Roman" w:hAnsi="Times New Roman"/>
          <w:sz w:val="24"/>
          <w:szCs w:val="24"/>
        </w:rPr>
        <w:t xml:space="preserve">; either where </w:t>
      </w:r>
      <w:r w:rsidR="0093504E" w:rsidRPr="003B114E">
        <w:rPr>
          <w:rFonts w:ascii="Times New Roman" w:hAnsi="Times New Roman"/>
          <w:sz w:val="24"/>
          <w:szCs w:val="24"/>
        </w:rPr>
        <w:t xml:space="preserve">(1) the </w:t>
      </w:r>
      <w:r w:rsidR="00D7462A">
        <w:rPr>
          <w:rFonts w:ascii="Times New Roman" w:hAnsi="Times New Roman"/>
          <w:sz w:val="24"/>
          <w:szCs w:val="24"/>
        </w:rPr>
        <w:t>animal</w:t>
      </w:r>
      <w:r w:rsidR="00D7462A" w:rsidRPr="003B114E" w:rsidDel="00D7462A">
        <w:rPr>
          <w:rFonts w:ascii="Times New Roman" w:hAnsi="Times New Roman"/>
          <w:sz w:val="24"/>
          <w:szCs w:val="24"/>
        </w:rPr>
        <w:t xml:space="preserve"> </w:t>
      </w:r>
      <w:r w:rsidR="0093504E" w:rsidRPr="003B114E">
        <w:rPr>
          <w:rFonts w:ascii="Times New Roman" w:hAnsi="Times New Roman"/>
          <w:sz w:val="24"/>
          <w:szCs w:val="24"/>
        </w:rPr>
        <w:t>is out of control and the animal’s handler does not take effective action to control it; or (2</w:t>
      </w:r>
      <w:r w:rsidR="00B26BFD">
        <w:rPr>
          <w:rFonts w:ascii="Times New Roman" w:hAnsi="Times New Roman"/>
          <w:sz w:val="24"/>
          <w:szCs w:val="24"/>
        </w:rPr>
        <w:t xml:space="preserve">) </w:t>
      </w:r>
      <w:r w:rsidR="0093504E" w:rsidRPr="003B114E">
        <w:rPr>
          <w:rFonts w:ascii="Times New Roman" w:hAnsi="Times New Roman"/>
          <w:sz w:val="24"/>
          <w:szCs w:val="24"/>
        </w:rPr>
        <w:t xml:space="preserve">the </w:t>
      </w:r>
      <w:r w:rsidR="00D7462A">
        <w:rPr>
          <w:rFonts w:ascii="Times New Roman" w:hAnsi="Times New Roman"/>
          <w:sz w:val="24"/>
          <w:szCs w:val="24"/>
        </w:rPr>
        <w:t>animal</w:t>
      </w:r>
      <w:r w:rsidR="00D7462A" w:rsidRPr="003B114E" w:rsidDel="00D7462A">
        <w:rPr>
          <w:rFonts w:ascii="Times New Roman" w:hAnsi="Times New Roman"/>
          <w:sz w:val="24"/>
          <w:szCs w:val="24"/>
        </w:rPr>
        <w:t xml:space="preserve"> </w:t>
      </w:r>
      <w:r w:rsidR="0093504E" w:rsidRPr="003B114E">
        <w:rPr>
          <w:rFonts w:ascii="Times New Roman" w:hAnsi="Times New Roman"/>
          <w:sz w:val="24"/>
          <w:szCs w:val="24"/>
        </w:rPr>
        <w:t xml:space="preserve">is not housebroken.  </w:t>
      </w:r>
      <w:r w:rsidR="0093504E" w:rsidRPr="0089626C">
        <w:rPr>
          <w:rFonts w:ascii="Times New Roman" w:hAnsi="Times New Roman"/>
          <w:sz w:val="24"/>
          <w:szCs w:val="24"/>
          <w:u w:val="single"/>
        </w:rPr>
        <w:t>See</w:t>
      </w:r>
      <w:r w:rsidR="0093504E">
        <w:rPr>
          <w:rFonts w:ascii="Times New Roman" w:hAnsi="Times New Roman"/>
          <w:sz w:val="24"/>
          <w:szCs w:val="24"/>
        </w:rPr>
        <w:t xml:space="preserve"> </w:t>
      </w:r>
      <w:r w:rsidR="0093504E" w:rsidRPr="003B114E">
        <w:rPr>
          <w:rFonts w:ascii="Times New Roman" w:hAnsi="Times New Roman"/>
          <w:sz w:val="24"/>
          <w:szCs w:val="24"/>
        </w:rPr>
        <w:t>28 C.F.R. §</w:t>
      </w:r>
      <w:r w:rsidRPr="003B114E">
        <w:rPr>
          <w:rFonts w:ascii="Times New Roman" w:hAnsi="Times New Roman"/>
          <w:sz w:val="24"/>
          <w:szCs w:val="24"/>
        </w:rPr>
        <w:t>§</w:t>
      </w:r>
      <w:r w:rsidR="0093504E" w:rsidRPr="003B114E">
        <w:rPr>
          <w:rFonts w:ascii="Times New Roman" w:hAnsi="Times New Roman"/>
          <w:sz w:val="24"/>
          <w:szCs w:val="24"/>
        </w:rPr>
        <w:t xml:space="preserve"> 35.136(b</w:t>
      </w:r>
      <w:r w:rsidR="00473106">
        <w:rPr>
          <w:rFonts w:ascii="Times New Roman" w:hAnsi="Times New Roman"/>
          <w:sz w:val="24"/>
          <w:szCs w:val="24"/>
        </w:rPr>
        <w:t>)</w:t>
      </w:r>
      <w:r>
        <w:rPr>
          <w:rFonts w:ascii="Times New Roman" w:hAnsi="Times New Roman"/>
          <w:sz w:val="24"/>
          <w:szCs w:val="24"/>
        </w:rPr>
        <w:t>, (c)</w:t>
      </w:r>
      <w:r w:rsidR="00473106">
        <w:rPr>
          <w:rFonts w:ascii="Times New Roman" w:hAnsi="Times New Roman"/>
          <w:sz w:val="24"/>
          <w:szCs w:val="24"/>
        </w:rPr>
        <w:t>.</w:t>
      </w:r>
      <w:r w:rsidR="008017CF">
        <w:rPr>
          <w:rFonts w:ascii="Times New Roman" w:hAnsi="Times New Roman"/>
          <w:sz w:val="24"/>
          <w:szCs w:val="24"/>
        </w:rPr>
        <w:t xml:space="preserve"> </w:t>
      </w:r>
      <w:r w:rsidR="0093504E" w:rsidRPr="003B114E">
        <w:rPr>
          <w:rFonts w:ascii="Times New Roman" w:hAnsi="Times New Roman"/>
          <w:sz w:val="24"/>
          <w:szCs w:val="24"/>
        </w:rPr>
        <w:t xml:space="preserve"> </w:t>
      </w:r>
      <w:r w:rsidR="0093504E" w:rsidRPr="009460AE">
        <w:rPr>
          <w:rFonts w:ascii="Times New Roman" w:hAnsi="Times New Roman"/>
          <w:sz w:val="24"/>
          <w:szCs w:val="24"/>
        </w:rPr>
        <w:t xml:space="preserve">Notably, </w:t>
      </w:r>
      <w:r w:rsidR="00F520AA">
        <w:rPr>
          <w:rFonts w:ascii="Times New Roman" w:hAnsi="Times New Roman"/>
          <w:sz w:val="24"/>
          <w:szCs w:val="24"/>
        </w:rPr>
        <w:t>D</w:t>
      </w:r>
      <w:r w:rsidR="00F520AA" w:rsidRPr="009460AE">
        <w:rPr>
          <w:rFonts w:ascii="Times New Roman" w:hAnsi="Times New Roman"/>
          <w:sz w:val="24"/>
          <w:szCs w:val="24"/>
        </w:rPr>
        <w:t xml:space="preserve">efendants </w:t>
      </w:r>
      <w:r w:rsidR="0093504E" w:rsidRPr="009460AE">
        <w:rPr>
          <w:rFonts w:ascii="Times New Roman" w:hAnsi="Times New Roman"/>
          <w:sz w:val="24"/>
          <w:szCs w:val="24"/>
        </w:rPr>
        <w:t>do</w:t>
      </w:r>
      <w:r w:rsidR="004C13CC">
        <w:rPr>
          <w:rFonts w:ascii="Times New Roman" w:hAnsi="Times New Roman"/>
          <w:sz w:val="24"/>
          <w:szCs w:val="24"/>
        </w:rPr>
        <w:t xml:space="preserve"> n</w:t>
      </w:r>
      <w:r w:rsidR="0093504E" w:rsidRPr="009460AE">
        <w:rPr>
          <w:rFonts w:ascii="Times New Roman" w:hAnsi="Times New Roman"/>
          <w:sz w:val="24"/>
          <w:szCs w:val="24"/>
        </w:rPr>
        <w:t xml:space="preserve">ot allege that </w:t>
      </w:r>
      <w:r w:rsidR="0093504E">
        <w:rPr>
          <w:rFonts w:ascii="Times New Roman" w:hAnsi="Times New Roman"/>
          <w:sz w:val="24"/>
          <w:szCs w:val="24"/>
        </w:rPr>
        <w:t xml:space="preserve">Child’s service </w:t>
      </w:r>
      <w:r w:rsidR="00D7462A">
        <w:rPr>
          <w:rFonts w:ascii="Times New Roman" w:hAnsi="Times New Roman"/>
          <w:sz w:val="24"/>
          <w:szCs w:val="24"/>
        </w:rPr>
        <w:t>animal</w:t>
      </w:r>
      <w:r w:rsidR="00D7462A" w:rsidDel="00D7462A">
        <w:rPr>
          <w:rFonts w:ascii="Times New Roman" w:hAnsi="Times New Roman"/>
          <w:sz w:val="24"/>
          <w:szCs w:val="24"/>
        </w:rPr>
        <w:t xml:space="preserve"> </w:t>
      </w:r>
      <w:r w:rsidR="0093504E">
        <w:rPr>
          <w:rFonts w:ascii="Times New Roman" w:hAnsi="Times New Roman"/>
          <w:sz w:val="24"/>
          <w:szCs w:val="24"/>
        </w:rPr>
        <w:t xml:space="preserve">met </w:t>
      </w:r>
      <w:r w:rsidR="0093504E" w:rsidRPr="009460AE">
        <w:rPr>
          <w:rFonts w:ascii="Times New Roman" w:hAnsi="Times New Roman"/>
          <w:sz w:val="24"/>
          <w:szCs w:val="24"/>
        </w:rPr>
        <w:t xml:space="preserve">either of those </w:t>
      </w:r>
      <w:r w:rsidR="0093504E">
        <w:rPr>
          <w:rFonts w:ascii="Times New Roman" w:hAnsi="Times New Roman"/>
          <w:sz w:val="24"/>
          <w:szCs w:val="24"/>
        </w:rPr>
        <w:t>criteria.</w:t>
      </w:r>
      <w:r w:rsidR="00CF5272">
        <w:rPr>
          <w:rFonts w:ascii="Times New Roman" w:hAnsi="Times New Roman"/>
          <w:sz w:val="24"/>
          <w:szCs w:val="24"/>
        </w:rPr>
        <w:t xml:space="preserve"> </w:t>
      </w:r>
      <w:r w:rsidR="0093504E" w:rsidRPr="009460AE">
        <w:rPr>
          <w:rFonts w:ascii="Times New Roman" w:hAnsi="Times New Roman"/>
          <w:sz w:val="24"/>
          <w:szCs w:val="24"/>
        </w:rPr>
        <w:t xml:space="preserve"> </w:t>
      </w:r>
      <w:r w:rsidR="0093504E" w:rsidRPr="009460AE">
        <w:rPr>
          <w:rFonts w:ascii="Times New Roman" w:hAnsi="Times New Roman"/>
          <w:sz w:val="24"/>
          <w:szCs w:val="24"/>
          <w:u w:val="single"/>
        </w:rPr>
        <w:t>See</w:t>
      </w:r>
      <w:r w:rsidR="0093504E" w:rsidRPr="009460AE">
        <w:rPr>
          <w:rFonts w:ascii="Times New Roman" w:hAnsi="Times New Roman"/>
          <w:sz w:val="24"/>
          <w:szCs w:val="24"/>
        </w:rPr>
        <w:t xml:space="preserve"> Defendants’ Brief at p. 21.</w:t>
      </w:r>
    </w:p>
    <w:p w:rsidR="00D65F2E" w:rsidRDefault="00D65F2E" w:rsidP="004C13CC">
      <w:pPr>
        <w:pStyle w:val="FootnoteText"/>
        <w:spacing w:line="480" w:lineRule="auto"/>
        <w:rPr>
          <w:rFonts w:ascii="Times New Roman" w:hAnsi="Times New Roman"/>
          <w:sz w:val="24"/>
          <w:szCs w:val="24"/>
        </w:rPr>
      </w:pPr>
      <w:r>
        <w:rPr>
          <w:rFonts w:ascii="Times New Roman" w:hAnsi="Times New Roman"/>
          <w:sz w:val="24"/>
          <w:szCs w:val="24"/>
        </w:rPr>
        <w:tab/>
      </w:r>
      <w:r w:rsidR="00D72B3A">
        <w:rPr>
          <w:rFonts w:ascii="Times New Roman" w:hAnsi="Times New Roman"/>
          <w:sz w:val="24"/>
          <w:szCs w:val="24"/>
        </w:rPr>
        <w:t xml:space="preserve">Defendants additionally assert that </w:t>
      </w:r>
      <w:r w:rsidR="002910ED">
        <w:rPr>
          <w:rFonts w:ascii="Times New Roman" w:hAnsi="Times New Roman"/>
          <w:sz w:val="24"/>
          <w:szCs w:val="24"/>
        </w:rPr>
        <w:t xml:space="preserve">Child cannot handle the </w:t>
      </w:r>
      <w:r w:rsidR="00D72B3A">
        <w:rPr>
          <w:rFonts w:ascii="Times New Roman" w:hAnsi="Times New Roman"/>
          <w:sz w:val="24"/>
          <w:szCs w:val="24"/>
        </w:rPr>
        <w:t xml:space="preserve">service animal </w:t>
      </w:r>
      <w:r w:rsidR="002910ED">
        <w:rPr>
          <w:rFonts w:ascii="Times New Roman" w:hAnsi="Times New Roman"/>
          <w:sz w:val="24"/>
          <w:szCs w:val="24"/>
        </w:rPr>
        <w:t xml:space="preserve">on his own and that requiring school staff </w:t>
      </w:r>
      <w:r w:rsidR="008017CF">
        <w:rPr>
          <w:rFonts w:ascii="Times New Roman" w:hAnsi="Times New Roman"/>
          <w:sz w:val="24"/>
          <w:szCs w:val="24"/>
        </w:rPr>
        <w:t xml:space="preserve">to provide </w:t>
      </w:r>
      <w:r w:rsidR="002910ED">
        <w:rPr>
          <w:rFonts w:ascii="Times New Roman" w:hAnsi="Times New Roman"/>
          <w:sz w:val="24"/>
          <w:szCs w:val="24"/>
        </w:rPr>
        <w:t xml:space="preserve">assistance in handling the dog </w:t>
      </w:r>
      <w:r w:rsidR="00D72B3A">
        <w:rPr>
          <w:rFonts w:ascii="Times New Roman" w:hAnsi="Times New Roman"/>
          <w:sz w:val="24"/>
          <w:szCs w:val="24"/>
        </w:rPr>
        <w:t>constitutes an unreasonable modification</w:t>
      </w:r>
      <w:r w:rsidR="002910ED">
        <w:rPr>
          <w:rFonts w:ascii="Times New Roman" w:hAnsi="Times New Roman"/>
          <w:sz w:val="24"/>
          <w:szCs w:val="24"/>
        </w:rPr>
        <w:t xml:space="preserve"> as a matter of law</w:t>
      </w:r>
      <w:r w:rsidR="00D72B3A">
        <w:rPr>
          <w:rFonts w:ascii="Times New Roman" w:hAnsi="Times New Roman"/>
          <w:sz w:val="24"/>
          <w:szCs w:val="24"/>
        </w:rPr>
        <w:t xml:space="preserve">.   </w:t>
      </w:r>
      <w:r w:rsidR="00C66567">
        <w:rPr>
          <w:rFonts w:ascii="Times New Roman" w:hAnsi="Times New Roman"/>
          <w:sz w:val="24"/>
          <w:szCs w:val="24"/>
        </w:rPr>
        <w:t xml:space="preserve">This assertion is incorrect.  While the Title II regulation contemplates that </w:t>
      </w:r>
      <w:r w:rsidR="00305AA1">
        <w:rPr>
          <w:rFonts w:ascii="Times New Roman" w:hAnsi="Times New Roman"/>
          <w:sz w:val="24"/>
          <w:szCs w:val="24"/>
        </w:rPr>
        <w:t xml:space="preserve">a </w:t>
      </w:r>
      <w:r w:rsidR="00C66567">
        <w:rPr>
          <w:rFonts w:ascii="Times New Roman" w:hAnsi="Times New Roman"/>
          <w:sz w:val="24"/>
          <w:szCs w:val="24"/>
        </w:rPr>
        <w:t xml:space="preserve">service animal will be under the control of a handler, </w:t>
      </w:r>
      <w:r w:rsidR="00C66567" w:rsidRPr="00A966A5">
        <w:rPr>
          <w:rFonts w:ascii="Times New Roman" w:hAnsi="Times New Roman"/>
          <w:sz w:val="24"/>
          <w:szCs w:val="24"/>
          <w:u w:val="single"/>
        </w:rPr>
        <w:t>see</w:t>
      </w:r>
      <w:r w:rsidR="00C66567">
        <w:rPr>
          <w:rFonts w:ascii="Times New Roman" w:hAnsi="Times New Roman"/>
          <w:i/>
          <w:sz w:val="24"/>
          <w:szCs w:val="24"/>
        </w:rPr>
        <w:t xml:space="preserve"> </w:t>
      </w:r>
      <w:r w:rsidR="00C66567">
        <w:rPr>
          <w:rFonts w:ascii="Times New Roman" w:hAnsi="Times New Roman"/>
          <w:sz w:val="24"/>
          <w:szCs w:val="24"/>
        </w:rPr>
        <w:t xml:space="preserve">28 C.F.R. § 35.136(d), it is not, </w:t>
      </w:r>
      <w:r w:rsidR="00C66567" w:rsidRPr="006E0D5A">
        <w:rPr>
          <w:rFonts w:ascii="Times New Roman" w:hAnsi="Times New Roman"/>
          <w:sz w:val="24"/>
          <w:szCs w:val="24"/>
          <w:u w:val="single"/>
        </w:rPr>
        <w:t>per</w:t>
      </w:r>
      <w:r w:rsidR="00C66567">
        <w:rPr>
          <w:rFonts w:ascii="Times New Roman" w:hAnsi="Times New Roman"/>
          <w:sz w:val="24"/>
          <w:szCs w:val="24"/>
        </w:rPr>
        <w:t xml:space="preserve"> </w:t>
      </w:r>
      <w:r w:rsidR="00C66567" w:rsidRPr="006E0D5A">
        <w:rPr>
          <w:rFonts w:ascii="Times New Roman" w:hAnsi="Times New Roman"/>
          <w:sz w:val="24"/>
          <w:szCs w:val="24"/>
          <w:u w:val="single"/>
        </w:rPr>
        <w:t>se</w:t>
      </w:r>
      <w:r w:rsidR="00C66567">
        <w:rPr>
          <w:rFonts w:ascii="Times New Roman" w:hAnsi="Times New Roman"/>
          <w:sz w:val="24"/>
          <w:szCs w:val="24"/>
        </w:rPr>
        <w:t xml:space="preserve">, unreasonable to require school </w:t>
      </w:r>
      <w:r w:rsidR="00C66567" w:rsidRPr="009460AE">
        <w:rPr>
          <w:rFonts w:ascii="Times New Roman" w:hAnsi="Times New Roman"/>
          <w:sz w:val="24"/>
          <w:szCs w:val="24"/>
        </w:rPr>
        <w:t xml:space="preserve">staff to </w:t>
      </w:r>
      <w:r w:rsidR="00C66567">
        <w:rPr>
          <w:rFonts w:ascii="Times New Roman" w:hAnsi="Times New Roman"/>
          <w:sz w:val="24"/>
          <w:szCs w:val="24"/>
        </w:rPr>
        <w:t xml:space="preserve">provide some </w:t>
      </w:r>
      <w:r w:rsidR="00C66567" w:rsidRPr="009460AE">
        <w:rPr>
          <w:rFonts w:ascii="Times New Roman" w:hAnsi="Times New Roman"/>
          <w:sz w:val="24"/>
          <w:szCs w:val="24"/>
        </w:rPr>
        <w:t>assist</w:t>
      </w:r>
      <w:r w:rsidR="00C66567">
        <w:rPr>
          <w:rFonts w:ascii="Times New Roman" w:hAnsi="Times New Roman"/>
          <w:sz w:val="24"/>
          <w:szCs w:val="24"/>
        </w:rPr>
        <w:t>ance</w:t>
      </w:r>
      <w:r w:rsidR="00C66567" w:rsidRPr="009460AE">
        <w:rPr>
          <w:rFonts w:ascii="Times New Roman" w:hAnsi="Times New Roman"/>
          <w:sz w:val="24"/>
          <w:szCs w:val="24"/>
        </w:rPr>
        <w:t xml:space="preserve"> </w:t>
      </w:r>
      <w:r w:rsidR="00C66567">
        <w:rPr>
          <w:rFonts w:ascii="Times New Roman" w:hAnsi="Times New Roman"/>
          <w:sz w:val="24"/>
          <w:szCs w:val="24"/>
        </w:rPr>
        <w:t xml:space="preserve">to </w:t>
      </w:r>
      <w:r w:rsidR="00C66567" w:rsidRPr="009460AE">
        <w:rPr>
          <w:rFonts w:ascii="Times New Roman" w:hAnsi="Times New Roman"/>
          <w:sz w:val="24"/>
          <w:szCs w:val="24"/>
        </w:rPr>
        <w:t xml:space="preserve">a student in </w:t>
      </w:r>
      <w:r w:rsidR="00C66567">
        <w:rPr>
          <w:rFonts w:ascii="Times New Roman" w:hAnsi="Times New Roman"/>
          <w:sz w:val="24"/>
          <w:szCs w:val="24"/>
        </w:rPr>
        <w:t>performing that role, i.e</w:t>
      </w:r>
      <w:r w:rsidR="007133FA">
        <w:rPr>
          <w:rFonts w:ascii="Times New Roman" w:hAnsi="Times New Roman"/>
          <w:sz w:val="24"/>
          <w:szCs w:val="24"/>
        </w:rPr>
        <w:t>.</w:t>
      </w:r>
      <w:r w:rsidR="00C66567">
        <w:rPr>
          <w:rFonts w:ascii="Times New Roman" w:hAnsi="Times New Roman"/>
          <w:sz w:val="24"/>
          <w:szCs w:val="24"/>
        </w:rPr>
        <w:t xml:space="preserve">, in </w:t>
      </w:r>
      <w:r w:rsidR="00C66567" w:rsidRPr="009460AE">
        <w:rPr>
          <w:rFonts w:ascii="Times New Roman" w:hAnsi="Times New Roman"/>
          <w:sz w:val="24"/>
          <w:szCs w:val="24"/>
        </w:rPr>
        <w:t>handling his service animal</w:t>
      </w:r>
      <w:r w:rsidR="00C66567">
        <w:rPr>
          <w:rFonts w:ascii="Times New Roman" w:hAnsi="Times New Roman"/>
          <w:sz w:val="24"/>
          <w:szCs w:val="24"/>
        </w:rPr>
        <w:t xml:space="preserve">. </w:t>
      </w:r>
      <w:r w:rsidR="00CF5272">
        <w:rPr>
          <w:rFonts w:ascii="Times New Roman" w:hAnsi="Times New Roman"/>
          <w:sz w:val="24"/>
          <w:szCs w:val="24"/>
        </w:rPr>
        <w:t xml:space="preserve"> </w:t>
      </w:r>
      <w:r w:rsidR="006B7E41" w:rsidRPr="00EC3FCE">
        <w:rPr>
          <w:rFonts w:ascii="Times New Roman" w:hAnsi="Times New Roman"/>
          <w:sz w:val="24"/>
          <w:szCs w:val="24"/>
          <w:u w:val="single"/>
        </w:rPr>
        <w:t>See</w:t>
      </w:r>
      <w:r w:rsidR="006B7E41">
        <w:rPr>
          <w:rFonts w:ascii="Times New Roman" w:hAnsi="Times New Roman"/>
          <w:sz w:val="24"/>
          <w:szCs w:val="24"/>
        </w:rPr>
        <w:t xml:space="preserve"> </w:t>
      </w:r>
      <w:r w:rsidR="0052341C">
        <w:rPr>
          <w:rFonts w:ascii="Times New Roman" w:hAnsi="Times New Roman"/>
          <w:sz w:val="24"/>
          <w:szCs w:val="24"/>
        </w:rPr>
        <w:t xml:space="preserve">U.S. Dep’t of Justice Frequently Asked Questions at p. 6, Question 27 (2015) </w:t>
      </w:r>
      <w:r w:rsidR="0052341C" w:rsidRPr="0052341C">
        <w:rPr>
          <w:rFonts w:ascii="Times New Roman" w:hAnsi="Times New Roman"/>
          <w:sz w:val="24"/>
          <w:szCs w:val="24"/>
        </w:rPr>
        <w:t>(“[i]</w:t>
      </w:r>
      <w:r w:rsidR="006B7E41" w:rsidRPr="0052341C">
        <w:rPr>
          <w:rFonts w:ascii="Times New Roman" w:hAnsi="Times New Roman"/>
          <w:sz w:val="24"/>
          <w:szCs w:val="24"/>
        </w:rPr>
        <w:t>n the school (K-12) context and in similar settings, the school or similar entity may need to provide some assistance to enable a particular student to h</w:t>
      </w:r>
      <w:r w:rsidR="0052341C" w:rsidRPr="0052341C">
        <w:rPr>
          <w:rFonts w:ascii="Times New Roman" w:hAnsi="Times New Roman"/>
          <w:sz w:val="24"/>
          <w:szCs w:val="24"/>
        </w:rPr>
        <w:t xml:space="preserve">andle his or her service animal”); </w:t>
      </w:r>
      <w:r w:rsidR="0052341C" w:rsidRPr="0052341C">
        <w:rPr>
          <w:rFonts w:ascii="Times New Roman" w:hAnsi="Times New Roman"/>
          <w:sz w:val="24"/>
          <w:szCs w:val="24"/>
          <w:u w:val="single"/>
        </w:rPr>
        <w:t>see</w:t>
      </w:r>
      <w:r w:rsidR="0052341C" w:rsidRPr="0052341C">
        <w:rPr>
          <w:rFonts w:ascii="Times New Roman" w:hAnsi="Times New Roman"/>
          <w:sz w:val="24"/>
          <w:szCs w:val="24"/>
        </w:rPr>
        <w:t xml:space="preserve"> </w:t>
      </w:r>
      <w:r w:rsidR="0052341C" w:rsidRPr="0052341C">
        <w:rPr>
          <w:rFonts w:ascii="Times New Roman" w:hAnsi="Times New Roman"/>
          <w:sz w:val="24"/>
          <w:szCs w:val="24"/>
          <w:u w:val="single"/>
        </w:rPr>
        <w:t>also</w:t>
      </w:r>
      <w:r w:rsidR="006B7E41" w:rsidRPr="0052341C">
        <w:rPr>
          <w:rFonts w:ascii="Times New Roman" w:hAnsi="Times New Roman"/>
          <w:sz w:val="24"/>
          <w:szCs w:val="24"/>
        </w:rPr>
        <w:t xml:space="preserve"> </w:t>
      </w:r>
      <w:r w:rsidR="002B1D11" w:rsidRPr="0052341C">
        <w:rPr>
          <w:rFonts w:ascii="Times New Roman" w:hAnsi="Times New Roman"/>
          <w:sz w:val="24"/>
          <w:szCs w:val="24"/>
        </w:rPr>
        <w:t xml:space="preserve"> </w:t>
      </w:r>
      <w:r w:rsidR="002B1D11" w:rsidRPr="0052341C">
        <w:rPr>
          <w:rFonts w:ascii="Times New Roman" w:hAnsi="Times New Roman"/>
          <w:sz w:val="24"/>
          <w:szCs w:val="24"/>
          <w:u w:val="single"/>
        </w:rPr>
        <w:t>Alboniga v. School Bd.</w:t>
      </w:r>
      <w:r w:rsidR="002B1D11" w:rsidRPr="0052341C">
        <w:rPr>
          <w:rFonts w:ascii="Times New Roman" w:hAnsi="Times New Roman"/>
          <w:sz w:val="24"/>
          <w:szCs w:val="24"/>
        </w:rPr>
        <w:t>, 87 F. Supp. 3d 1319, 1341 (S.D.</w:t>
      </w:r>
      <w:r w:rsidR="002B1D11" w:rsidRPr="0093504E">
        <w:rPr>
          <w:rFonts w:ascii="Times New Roman" w:hAnsi="Times New Roman"/>
          <w:sz w:val="24"/>
          <w:szCs w:val="24"/>
        </w:rPr>
        <w:t xml:space="preserve"> Fla. 2015) (permanently enjoining school district to provide student with reasonable modifications to assist him with his service animal</w:t>
      </w:r>
      <w:r w:rsidR="002B1D11">
        <w:rPr>
          <w:rFonts w:ascii="Times New Roman" w:hAnsi="Times New Roman"/>
          <w:sz w:val="24"/>
          <w:szCs w:val="24"/>
        </w:rPr>
        <w:t xml:space="preserve">).  </w:t>
      </w:r>
      <w:r w:rsidR="00CF5272">
        <w:rPr>
          <w:rFonts w:ascii="Times New Roman" w:hAnsi="Times New Roman"/>
          <w:sz w:val="24"/>
          <w:szCs w:val="24"/>
        </w:rPr>
        <w:t>Defendants</w:t>
      </w:r>
      <w:r w:rsidRPr="009460AE">
        <w:rPr>
          <w:rFonts w:ascii="Times New Roman" w:hAnsi="Times New Roman"/>
          <w:sz w:val="24"/>
          <w:szCs w:val="24"/>
        </w:rPr>
        <w:t xml:space="preserve"> already provide </w:t>
      </w:r>
      <w:r w:rsidR="00B1571E">
        <w:rPr>
          <w:rFonts w:ascii="Times New Roman" w:hAnsi="Times New Roman"/>
          <w:sz w:val="24"/>
          <w:szCs w:val="24"/>
        </w:rPr>
        <w:t xml:space="preserve">Child </w:t>
      </w:r>
      <w:r w:rsidRPr="009460AE">
        <w:rPr>
          <w:rFonts w:ascii="Times New Roman" w:hAnsi="Times New Roman"/>
          <w:sz w:val="24"/>
          <w:szCs w:val="24"/>
        </w:rPr>
        <w:t>with a 1:1 aide</w:t>
      </w:r>
      <w:r>
        <w:rPr>
          <w:rFonts w:ascii="Times New Roman" w:hAnsi="Times New Roman"/>
          <w:sz w:val="24"/>
          <w:szCs w:val="24"/>
        </w:rPr>
        <w:t xml:space="preserve"> </w:t>
      </w:r>
      <w:r w:rsidR="00F57320">
        <w:rPr>
          <w:rFonts w:ascii="Times New Roman" w:hAnsi="Times New Roman"/>
          <w:sz w:val="24"/>
          <w:szCs w:val="24"/>
        </w:rPr>
        <w:t xml:space="preserve">to assist and escort him </w:t>
      </w:r>
      <w:r>
        <w:rPr>
          <w:rFonts w:ascii="Times New Roman" w:hAnsi="Times New Roman"/>
          <w:sz w:val="24"/>
          <w:szCs w:val="24"/>
        </w:rPr>
        <w:t>throughout the day</w:t>
      </w:r>
      <w:r w:rsidR="00CF5272">
        <w:rPr>
          <w:rFonts w:ascii="Times New Roman" w:hAnsi="Times New Roman"/>
          <w:sz w:val="24"/>
          <w:szCs w:val="24"/>
        </w:rPr>
        <w:t xml:space="preserve">.  Depending upon the </w:t>
      </w:r>
      <w:r w:rsidR="0073093D">
        <w:rPr>
          <w:rFonts w:ascii="Times New Roman" w:hAnsi="Times New Roman"/>
          <w:sz w:val="24"/>
          <w:szCs w:val="24"/>
        </w:rPr>
        <w:t>development of the facts in this case</w:t>
      </w:r>
      <w:r w:rsidRPr="009460AE">
        <w:rPr>
          <w:rFonts w:ascii="Times New Roman" w:hAnsi="Times New Roman"/>
          <w:sz w:val="24"/>
          <w:szCs w:val="24"/>
        </w:rPr>
        <w:t xml:space="preserve">, it may be </w:t>
      </w:r>
      <w:r w:rsidR="0073093D">
        <w:rPr>
          <w:rFonts w:ascii="Times New Roman" w:hAnsi="Times New Roman"/>
          <w:sz w:val="24"/>
          <w:szCs w:val="24"/>
        </w:rPr>
        <w:t xml:space="preserve">a </w:t>
      </w:r>
      <w:r w:rsidRPr="009460AE">
        <w:rPr>
          <w:rFonts w:ascii="Times New Roman" w:hAnsi="Times New Roman"/>
          <w:sz w:val="24"/>
          <w:szCs w:val="24"/>
        </w:rPr>
        <w:t xml:space="preserve">reasonable </w:t>
      </w:r>
      <w:r w:rsidR="0073093D">
        <w:rPr>
          <w:rFonts w:ascii="Times New Roman" w:hAnsi="Times New Roman"/>
          <w:sz w:val="24"/>
          <w:szCs w:val="24"/>
        </w:rPr>
        <w:t xml:space="preserve">modification </w:t>
      </w:r>
      <w:r w:rsidRPr="009460AE">
        <w:rPr>
          <w:rFonts w:ascii="Times New Roman" w:hAnsi="Times New Roman"/>
          <w:sz w:val="24"/>
          <w:szCs w:val="24"/>
        </w:rPr>
        <w:t xml:space="preserve">for </w:t>
      </w:r>
      <w:r w:rsidR="00CF5272">
        <w:rPr>
          <w:rFonts w:ascii="Times New Roman" w:hAnsi="Times New Roman"/>
          <w:sz w:val="24"/>
          <w:szCs w:val="24"/>
        </w:rPr>
        <w:t>th</w:t>
      </w:r>
      <w:r w:rsidR="00A01D39">
        <w:rPr>
          <w:rFonts w:ascii="Times New Roman" w:hAnsi="Times New Roman"/>
          <w:sz w:val="24"/>
          <w:szCs w:val="24"/>
        </w:rPr>
        <w:t xml:space="preserve">at </w:t>
      </w:r>
      <w:r w:rsidR="00CF5272">
        <w:rPr>
          <w:rFonts w:ascii="Times New Roman" w:hAnsi="Times New Roman"/>
          <w:sz w:val="24"/>
          <w:szCs w:val="24"/>
        </w:rPr>
        <w:t xml:space="preserve">aide </w:t>
      </w:r>
      <w:r w:rsidR="00623FF3">
        <w:rPr>
          <w:rFonts w:ascii="Times New Roman" w:hAnsi="Times New Roman"/>
          <w:sz w:val="24"/>
          <w:szCs w:val="24"/>
        </w:rPr>
        <w:t xml:space="preserve">(or other school staff) </w:t>
      </w:r>
      <w:r w:rsidR="00CF5272">
        <w:rPr>
          <w:rFonts w:ascii="Times New Roman" w:hAnsi="Times New Roman"/>
          <w:sz w:val="24"/>
          <w:szCs w:val="24"/>
        </w:rPr>
        <w:t xml:space="preserve">to assist </w:t>
      </w:r>
      <w:r w:rsidR="00B1571E">
        <w:rPr>
          <w:rFonts w:ascii="Times New Roman" w:hAnsi="Times New Roman"/>
          <w:sz w:val="24"/>
          <w:szCs w:val="24"/>
        </w:rPr>
        <w:t xml:space="preserve">Child </w:t>
      </w:r>
      <w:r w:rsidR="00CF5272">
        <w:rPr>
          <w:rFonts w:ascii="Times New Roman" w:hAnsi="Times New Roman"/>
          <w:sz w:val="24"/>
          <w:szCs w:val="24"/>
        </w:rPr>
        <w:t>in handling the dog</w:t>
      </w:r>
      <w:r w:rsidR="00F57320">
        <w:rPr>
          <w:rFonts w:ascii="Times New Roman" w:hAnsi="Times New Roman"/>
          <w:sz w:val="24"/>
          <w:szCs w:val="24"/>
        </w:rPr>
        <w:t>.</w:t>
      </w:r>
      <w:r w:rsidR="008D21F2">
        <w:rPr>
          <w:rStyle w:val="FootnoteReference"/>
          <w:rFonts w:ascii="Times New Roman" w:hAnsi="Times New Roman"/>
          <w:sz w:val="24"/>
          <w:szCs w:val="24"/>
        </w:rPr>
        <w:footnoteReference w:id="6"/>
      </w:r>
      <w:r w:rsidR="00C66567">
        <w:rPr>
          <w:rFonts w:ascii="Times New Roman" w:hAnsi="Times New Roman"/>
          <w:sz w:val="24"/>
          <w:szCs w:val="24"/>
        </w:rPr>
        <w:t xml:space="preserve">  </w:t>
      </w:r>
    </w:p>
    <w:p w:rsidR="00FA62A9" w:rsidRDefault="00D72B3A" w:rsidP="00FA62A9">
      <w:pPr>
        <w:spacing w:after="0" w:line="480" w:lineRule="auto"/>
        <w:ind w:firstLine="720"/>
        <w:rPr>
          <w:rFonts w:ascii="Times New Roman" w:hAnsi="Times New Roman"/>
          <w:sz w:val="24"/>
          <w:szCs w:val="24"/>
        </w:rPr>
      </w:pPr>
      <w:r>
        <w:rPr>
          <w:rFonts w:ascii="Times New Roman" w:hAnsi="Times New Roman"/>
          <w:sz w:val="24"/>
          <w:szCs w:val="24"/>
        </w:rPr>
        <w:t>Regardless of the merits of any of D</w:t>
      </w:r>
      <w:r w:rsidR="00A62895">
        <w:rPr>
          <w:rFonts w:ascii="Times New Roman" w:hAnsi="Times New Roman"/>
          <w:sz w:val="24"/>
          <w:szCs w:val="24"/>
        </w:rPr>
        <w:t xml:space="preserve">efendants’ </w:t>
      </w:r>
      <w:r>
        <w:rPr>
          <w:rFonts w:ascii="Times New Roman" w:hAnsi="Times New Roman"/>
          <w:sz w:val="24"/>
          <w:szCs w:val="24"/>
        </w:rPr>
        <w:t xml:space="preserve">factual </w:t>
      </w:r>
      <w:r w:rsidR="00A62895">
        <w:rPr>
          <w:rFonts w:ascii="Times New Roman" w:hAnsi="Times New Roman"/>
          <w:sz w:val="24"/>
          <w:szCs w:val="24"/>
        </w:rPr>
        <w:t xml:space="preserve">arguments regarding </w:t>
      </w:r>
      <w:r w:rsidR="00FA62A9">
        <w:rPr>
          <w:rFonts w:ascii="Times New Roman" w:hAnsi="Times New Roman"/>
          <w:sz w:val="24"/>
          <w:szCs w:val="24"/>
        </w:rPr>
        <w:t xml:space="preserve">the reasonableness of </w:t>
      </w:r>
      <w:r w:rsidR="00A62895">
        <w:rPr>
          <w:rFonts w:ascii="Times New Roman" w:hAnsi="Times New Roman"/>
          <w:sz w:val="24"/>
          <w:szCs w:val="24"/>
        </w:rPr>
        <w:t>the requested modification</w:t>
      </w:r>
      <w:r>
        <w:rPr>
          <w:rFonts w:ascii="Times New Roman" w:hAnsi="Times New Roman"/>
          <w:sz w:val="24"/>
          <w:szCs w:val="24"/>
        </w:rPr>
        <w:t xml:space="preserve">, for the reasons set forth above, </w:t>
      </w:r>
      <w:r w:rsidR="009C51E5">
        <w:rPr>
          <w:rFonts w:ascii="Times New Roman" w:hAnsi="Times New Roman"/>
          <w:sz w:val="24"/>
          <w:szCs w:val="24"/>
        </w:rPr>
        <w:t xml:space="preserve">Plaintiffs have alleged sufficient factual information in their Complaint which, if true, would establish the </w:t>
      </w:r>
      <w:r w:rsidR="009C51E5" w:rsidRPr="004425BD">
        <w:rPr>
          <w:rFonts w:ascii="Times New Roman" w:hAnsi="Times New Roman"/>
          <w:sz w:val="24"/>
          <w:szCs w:val="24"/>
          <w:u w:val="single"/>
        </w:rPr>
        <w:t>prima</w:t>
      </w:r>
      <w:r w:rsidR="009C51E5">
        <w:rPr>
          <w:rFonts w:ascii="Times New Roman" w:hAnsi="Times New Roman"/>
          <w:sz w:val="24"/>
          <w:szCs w:val="24"/>
        </w:rPr>
        <w:t xml:space="preserve"> </w:t>
      </w:r>
      <w:r w:rsidR="009C51E5" w:rsidRPr="004425BD">
        <w:rPr>
          <w:rFonts w:ascii="Times New Roman" w:hAnsi="Times New Roman"/>
          <w:sz w:val="24"/>
          <w:szCs w:val="24"/>
          <w:u w:val="single"/>
        </w:rPr>
        <w:t>facie</w:t>
      </w:r>
      <w:r w:rsidR="009C51E5">
        <w:rPr>
          <w:rFonts w:ascii="Times New Roman" w:hAnsi="Times New Roman"/>
          <w:sz w:val="24"/>
          <w:szCs w:val="24"/>
        </w:rPr>
        <w:t xml:space="preserve"> elements of their Title II claim. </w:t>
      </w:r>
      <w:r w:rsidR="00A62895">
        <w:rPr>
          <w:rFonts w:ascii="Times New Roman" w:hAnsi="Times New Roman"/>
          <w:sz w:val="24"/>
          <w:szCs w:val="24"/>
        </w:rPr>
        <w:t xml:space="preserve"> </w:t>
      </w:r>
      <w:r w:rsidR="009C51E5">
        <w:rPr>
          <w:rFonts w:ascii="Times New Roman" w:hAnsi="Times New Roman"/>
          <w:sz w:val="24"/>
          <w:szCs w:val="24"/>
        </w:rPr>
        <w:t xml:space="preserve">At best, Defendants’ arguments are purported defenses to Plaintiffs’ </w:t>
      </w:r>
      <w:r w:rsidR="009C51E5" w:rsidRPr="004425BD">
        <w:rPr>
          <w:rFonts w:ascii="Times New Roman" w:hAnsi="Times New Roman"/>
          <w:sz w:val="24"/>
          <w:szCs w:val="24"/>
          <w:u w:val="single"/>
        </w:rPr>
        <w:t>prima</w:t>
      </w:r>
      <w:r w:rsidR="009C51E5">
        <w:rPr>
          <w:rFonts w:ascii="Times New Roman" w:hAnsi="Times New Roman"/>
          <w:sz w:val="24"/>
          <w:szCs w:val="24"/>
        </w:rPr>
        <w:t xml:space="preserve"> </w:t>
      </w:r>
      <w:r w:rsidR="009C51E5" w:rsidRPr="004425BD">
        <w:rPr>
          <w:rFonts w:ascii="Times New Roman" w:hAnsi="Times New Roman"/>
          <w:sz w:val="24"/>
          <w:szCs w:val="24"/>
          <w:u w:val="single"/>
        </w:rPr>
        <w:t>facie</w:t>
      </w:r>
      <w:r w:rsidR="009C51E5">
        <w:rPr>
          <w:rFonts w:ascii="Times New Roman" w:hAnsi="Times New Roman"/>
          <w:sz w:val="24"/>
          <w:szCs w:val="24"/>
        </w:rPr>
        <w:t xml:space="preserve"> case, which are</w:t>
      </w:r>
      <w:r w:rsidR="00A62895">
        <w:rPr>
          <w:rFonts w:ascii="Times New Roman" w:hAnsi="Times New Roman"/>
          <w:sz w:val="24"/>
          <w:szCs w:val="24"/>
        </w:rPr>
        <w:t xml:space="preserve"> premature at this point and can only be evaluated after the parties develop the facts in discovery.</w:t>
      </w:r>
      <w:r w:rsidR="009C51E5">
        <w:rPr>
          <w:rFonts w:ascii="Times New Roman" w:hAnsi="Times New Roman"/>
          <w:sz w:val="24"/>
          <w:szCs w:val="24"/>
        </w:rPr>
        <w:t xml:space="preserve">  </w:t>
      </w:r>
    </w:p>
    <w:p w:rsidR="00146728" w:rsidRPr="00741E96" w:rsidRDefault="0026280F" w:rsidP="00741E96">
      <w:pPr>
        <w:pStyle w:val="Heading2"/>
        <w:rPr>
          <w:u w:val="none"/>
        </w:rPr>
      </w:pPr>
      <w:r w:rsidRPr="00741E96">
        <w:rPr>
          <w:u w:val="none"/>
        </w:rPr>
        <w:t>POINT II</w:t>
      </w:r>
    </w:p>
    <w:p w:rsidR="009869EF" w:rsidRPr="00741E96" w:rsidRDefault="009869EF" w:rsidP="00741E96">
      <w:pPr>
        <w:pStyle w:val="Heading2"/>
        <w:rPr>
          <w:u w:val="none"/>
        </w:rPr>
      </w:pPr>
      <w:r w:rsidRPr="00741E96">
        <w:rPr>
          <w:u w:val="none"/>
        </w:rPr>
        <w:t xml:space="preserve">A SCHOOL DISTRICT CAN VIOLATE THE ADA </w:t>
      </w:r>
    </w:p>
    <w:p w:rsidR="009869EF" w:rsidRPr="00B14664" w:rsidRDefault="009869EF" w:rsidP="00741E96">
      <w:pPr>
        <w:pStyle w:val="Heading2"/>
      </w:pPr>
      <w:r w:rsidRPr="00741E96">
        <w:rPr>
          <w:u w:val="none"/>
        </w:rPr>
        <w:t xml:space="preserve">EVEN WHERE IT HAS </w:t>
      </w:r>
      <w:r w:rsidR="00036003" w:rsidRPr="00741E96">
        <w:rPr>
          <w:u w:val="none"/>
        </w:rPr>
        <w:t xml:space="preserve">MET ITS OBLIGATIONS </w:t>
      </w:r>
      <w:r w:rsidRPr="00741E96">
        <w:rPr>
          <w:u w:val="none"/>
        </w:rPr>
        <w:t>UNDER THE IDEA</w:t>
      </w:r>
    </w:p>
    <w:p w:rsidR="009869EF" w:rsidRDefault="009869EF" w:rsidP="009869EF">
      <w:pPr>
        <w:spacing w:after="0" w:line="240" w:lineRule="auto"/>
        <w:rPr>
          <w:rFonts w:ascii="Times New Roman" w:hAnsi="Times New Roman"/>
          <w:b/>
          <w:sz w:val="24"/>
          <w:szCs w:val="24"/>
          <w:u w:val="single"/>
        </w:rPr>
      </w:pPr>
    </w:p>
    <w:p w:rsidR="00765D6B" w:rsidRDefault="009869EF" w:rsidP="00A16F41">
      <w:pPr>
        <w:spacing w:after="0" w:line="480" w:lineRule="auto"/>
        <w:ind w:firstLine="720"/>
        <w:rPr>
          <w:rFonts w:ascii="Times New Roman" w:hAnsi="Times New Roman"/>
          <w:sz w:val="24"/>
          <w:szCs w:val="24"/>
          <w:lang w:val="en-CA"/>
        </w:rPr>
      </w:pPr>
      <w:r w:rsidRPr="009460AE">
        <w:rPr>
          <w:rFonts w:ascii="Times New Roman" w:hAnsi="Times New Roman"/>
          <w:sz w:val="24"/>
          <w:szCs w:val="24"/>
          <w:lang w:val="en-CA"/>
        </w:rPr>
        <w:t>Defendants</w:t>
      </w:r>
      <w:r w:rsidR="00036003">
        <w:rPr>
          <w:rFonts w:ascii="Times New Roman" w:hAnsi="Times New Roman"/>
          <w:sz w:val="24"/>
          <w:szCs w:val="24"/>
          <w:lang w:val="en-CA"/>
        </w:rPr>
        <w:t xml:space="preserve"> contend that </w:t>
      </w:r>
      <w:r w:rsidR="0092462A">
        <w:rPr>
          <w:rFonts w:ascii="Times New Roman" w:hAnsi="Times New Roman"/>
          <w:sz w:val="24"/>
          <w:szCs w:val="24"/>
          <w:lang w:val="en-CA"/>
        </w:rPr>
        <w:t xml:space="preserve">dismissal is appropriate because </w:t>
      </w:r>
      <w:r w:rsidRPr="009460AE">
        <w:rPr>
          <w:rFonts w:ascii="Times New Roman" w:hAnsi="Times New Roman"/>
          <w:sz w:val="24"/>
          <w:szCs w:val="24"/>
          <w:lang w:val="en-CA"/>
        </w:rPr>
        <w:t xml:space="preserve">Plaintiffs cannot </w:t>
      </w:r>
      <w:r w:rsidR="0092462A">
        <w:rPr>
          <w:rFonts w:ascii="Times New Roman" w:hAnsi="Times New Roman"/>
          <w:sz w:val="24"/>
          <w:szCs w:val="24"/>
          <w:lang w:val="en-CA"/>
        </w:rPr>
        <w:t xml:space="preserve">assert a </w:t>
      </w:r>
      <w:r w:rsidR="00F90490">
        <w:rPr>
          <w:rFonts w:ascii="Times New Roman" w:hAnsi="Times New Roman"/>
          <w:sz w:val="24"/>
          <w:szCs w:val="24"/>
          <w:lang w:val="en-CA"/>
        </w:rPr>
        <w:t xml:space="preserve">Title II </w:t>
      </w:r>
      <w:r w:rsidR="0092462A">
        <w:rPr>
          <w:rFonts w:ascii="Times New Roman" w:hAnsi="Times New Roman"/>
          <w:sz w:val="24"/>
          <w:szCs w:val="24"/>
          <w:lang w:val="en-CA"/>
        </w:rPr>
        <w:t xml:space="preserve">claim </w:t>
      </w:r>
      <w:r w:rsidR="00F90490">
        <w:rPr>
          <w:rFonts w:ascii="Times New Roman" w:hAnsi="Times New Roman"/>
          <w:sz w:val="24"/>
          <w:szCs w:val="24"/>
          <w:lang w:val="en-CA"/>
        </w:rPr>
        <w:t xml:space="preserve">in this action </w:t>
      </w:r>
      <w:r w:rsidRPr="009460AE">
        <w:rPr>
          <w:rFonts w:ascii="Times New Roman" w:hAnsi="Times New Roman"/>
          <w:sz w:val="24"/>
          <w:szCs w:val="24"/>
          <w:lang w:val="en-CA"/>
        </w:rPr>
        <w:t xml:space="preserve">without </w:t>
      </w:r>
      <w:r>
        <w:rPr>
          <w:rFonts w:ascii="Times New Roman" w:hAnsi="Times New Roman"/>
          <w:sz w:val="24"/>
          <w:szCs w:val="24"/>
          <w:lang w:val="en-CA"/>
        </w:rPr>
        <w:t>also</w:t>
      </w:r>
      <w:r w:rsidRPr="009460AE">
        <w:rPr>
          <w:rFonts w:ascii="Times New Roman" w:hAnsi="Times New Roman"/>
          <w:sz w:val="24"/>
          <w:szCs w:val="24"/>
          <w:lang w:val="en-CA"/>
        </w:rPr>
        <w:t xml:space="preserve"> raising an IDEA</w:t>
      </w:r>
      <w:r w:rsidR="00F90490">
        <w:rPr>
          <w:rFonts w:ascii="Times New Roman" w:hAnsi="Times New Roman"/>
          <w:sz w:val="24"/>
          <w:szCs w:val="24"/>
          <w:lang w:val="en-CA"/>
        </w:rPr>
        <w:t xml:space="preserve"> claim.</w:t>
      </w:r>
      <w:r w:rsidR="0092462A">
        <w:rPr>
          <w:rFonts w:ascii="Times New Roman" w:hAnsi="Times New Roman"/>
          <w:sz w:val="24"/>
          <w:szCs w:val="24"/>
          <w:lang w:val="en-CA"/>
        </w:rPr>
        <w:t xml:space="preserve"> </w:t>
      </w:r>
      <w:r w:rsidR="00B14664">
        <w:rPr>
          <w:rFonts w:ascii="Times New Roman" w:hAnsi="Times New Roman"/>
          <w:sz w:val="24"/>
          <w:szCs w:val="24"/>
          <w:lang w:val="en-CA"/>
        </w:rPr>
        <w:t>Defendants</w:t>
      </w:r>
      <w:r w:rsidR="0092462A">
        <w:rPr>
          <w:rFonts w:ascii="Times New Roman" w:hAnsi="Times New Roman"/>
          <w:sz w:val="24"/>
          <w:szCs w:val="24"/>
          <w:lang w:val="en-CA"/>
        </w:rPr>
        <w:t xml:space="preserve"> also assert </w:t>
      </w:r>
      <w:r>
        <w:rPr>
          <w:rFonts w:ascii="Times New Roman" w:hAnsi="Times New Roman"/>
          <w:sz w:val="24"/>
          <w:szCs w:val="24"/>
          <w:lang w:val="en-CA"/>
        </w:rPr>
        <w:t>that a school district cannot violate Title II where it has provided FAPE to a student under the IDEA</w:t>
      </w:r>
      <w:r w:rsidRPr="009460AE">
        <w:rPr>
          <w:rFonts w:ascii="Times New Roman" w:hAnsi="Times New Roman"/>
          <w:sz w:val="24"/>
          <w:szCs w:val="24"/>
          <w:lang w:val="en-CA"/>
        </w:rPr>
        <w:t xml:space="preserve">.  </w:t>
      </w:r>
      <w:r w:rsidR="00A16F41">
        <w:rPr>
          <w:rFonts w:ascii="Times New Roman" w:hAnsi="Times New Roman"/>
          <w:sz w:val="24"/>
          <w:szCs w:val="24"/>
          <w:lang w:val="en-CA"/>
        </w:rPr>
        <w:t xml:space="preserve">Defendants are wrong.  </w:t>
      </w:r>
      <w:r w:rsidR="007133FA">
        <w:rPr>
          <w:rFonts w:ascii="Times New Roman" w:hAnsi="Times New Roman"/>
          <w:sz w:val="24"/>
          <w:szCs w:val="24"/>
          <w:lang w:val="en-CA"/>
        </w:rPr>
        <w:t>W</w:t>
      </w:r>
      <w:r w:rsidR="00765D6B">
        <w:rPr>
          <w:rFonts w:ascii="Times New Roman" w:hAnsi="Times New Roman"/>
          <w:sz w:val="24"/>
          <w:szCs w:val="24"/>
          <w:lang w:val="en-CA"/>
        </w:rPr>
        <w:t>hile t</w:t>
      </w:r>
      <w:r w:rsidR="00FF1A65">
        <w:rPr>
          <w:rFonts w:ascii="Times New Roman" w:hAnsi="Times New Roman"/>
          <w:sz w:val="24"/>
          <w:szCs w:val="24"/>
        </w:rPr>
        <w:t xml:space="preserve">he ADA and the IDEA both protect the rights of students with disabilities, </w:t>
      </w:r>
      <w:r w:rsidR="00765D6B">
        <w:rPr>
          <w:rFonts w:ascii="Times New Roman" w:hAnsi="Times New Roman"/>
          <w:sz w:val="24"/>
          <w:szCs w:val="24"/>
        </w:rPr>
        <w:t>they</w:t>
      </w:r>
      <w:r w:rsidR="00FF1A65">
        <w:rPr>
          <w:rFonts w:ascii="Times New Roman" w:hAnsi="Times New Roman"/>
          <w:sz w:val="24"/>
          <w:szCs w:val="24"/>
        </w:rPr>
        <w:t xml:space="preserve"> differ in scope, purpose, and rights afforded.  Because the ADA and </w:t>
      </w:r>
      <w:r w:rsidR="00C66567">
        <w:rPr>
          <w:rFonts w:ascii="Times New Roman" w:hAnsi="Times New Roman"/>
          <w:sz w:val="24"/>
          <w:szCs w:val="24"/>
        </w:rPr>
        <w:t xml:space="preserve">the </w:t>
      </w:r>
      <w:r w:rsidR="00FF1A65">
        <w:rPr>
          <w:rFonts w:ascii="Times New Roman" w:hAnsi="Times New Roman"/>
          <w:sz w:val="24"/>
          <w:szCs w:val="24"/>
        </w:rPr>
        <w:t>IDEA are complementary, but not identical, a school district can still violate Title II of the ADA even where it provides a student with FAPE under the IDEA.</w:t>
      </w:r>
      <w:r>
        <w:rPr>
          <w:rFonts w:ascii="Times New Roman" w:hAnsi="Times New Roman"/>
          <w:sz w:val="24"/>
          <w:szCs w:val="24"/>
          <w:lang w:val="en-CA"/>
        </w:rPr>
        <w:t xml:space="preserve">  </w:t>
      </w:r>
      <w:r w:rsidR="00FA62A9" w:rsidRPr="009460AE">
        <w:rPr>
          <w:rFonts w:ascii="Times New Roman" w:hAnsi="Times New Roman"/>
          <w:sz w:val="24"/>
          <w:szCs w:val="24"/>
          <w:u w:val="single"/>
        </w:rPr>
        <w:t>See</w:t>
      </w:r>
      <w:r w:rsidR="00FA62A9" w:rsidRPr="009460AE">
        <w:rPr>
          <w:rFonts w:ascii="Times New Roman" w:hAnsi="Times New Roman"/>
          <w:sz w:val="24"/>
          <w:szCs w:val="24"/>
        </w:rPr>
        <w:t xml:space="preserve"> </w:t>
      </w:r>
      <w:r w:rsidR="00FA62A9" w:rsidRPr="009460AE">
        <w:rPr>
          <w:rFonts w:ascii="Times New Roman" w:hAnsi="Times New Roman"/>
          <w:sz w:val="24"/>
          <w:szCs w:val="24"/>
          <w:u w:val="single"/>
        </w:rPr>
        <w:t>K.M. v. Tustin Unified Sch. Dist.</w:t>
      </w:r>
      <w:r w:rsidR="00FA62A9" w:rsidRPr="009460AE">
        <w:rPr>
          <w:rFonts w:ascii="Times New Roman" w:hAnsi="Times New Roman"/>
          <w:sz w:val="24"/>
          <w:szCs w:val="24"/>
        </w:rPr>
        <w:t>, 725 F.3d 1088 (9th Cir. 2013)</w:t>
      </w:r>
      <w:r w:rsidR="00FA62A9">
        <w:rPr>
          <w:rFonts w:ascii="Times New Roman" w:hAnsi="Times New Roman"/>
          <w:sz w:val="24"/>
          <w:szCs w:val="24"/>
        </w:rPr>
        <w:t>.</w:t>
      </w:r>
      <w:r w:rsidR="00083898">
        <w:rPr>
          <w:rFonts w:ascii="Times New Roman" w:hAnsi="Times New Roman"/>
          <w:sz w:val="24"/>
          <w:szCs w:val="24"/>
          <w:lang w:val="en-CA"/>
        </w:rPr>
        <w:t xml:space="preserve"> </w:t>
      </w:r>
      <w:r w:rsidR="00765D6B">
        <w:rPr>
          <w:rFonts w:ascii="Times New Roman" w:hAnsi="Times New Roman"/>
          <w:sz w:val="24"/>
          <w:szCs w:val="24"/>
          <w:lang w:val="en-CA"/>
        </w:rPr>
        <w:t>T</w:t>
      </w:r>
      <w:r w:rsidR="00F35883" w:rsidRPr="00C23351">
        <w:rPr>
          <w:rFonts w:ascii="Times New Roman" w:hAnsi="Times New Roman"/>
          <w:sz w:val="24"/>
          <w:szCs w:val="24"/>
        </w:rPr>
        <w:t xml:space="preserve">he IDEA </w:t>
      </w:r>
      <w:r w:rsidR="00B04767">
        <w:rPr>
          <w:rFonts w:ascii="Times New Roman" w:hAnsi="Times New Roman"/>
          <w:sz w:val="24"/>
          <w:szCs w:val="24"/>
        </w:rPr>
        <w:t xml:space="preserve">explicitly recognizes that “[n]othing in [the IDEA] shall be construed to </w:t>
      </w:r>
      <w:r w:rsidR="00F35883" w:rsidRPr="00C23351">
        <w:rPr>
          <w:rFonts w:ascii="Times New Roman" w:hAnsi="Times New Roman"/>
          <w:sz w:val="24"/>
          <w:szCs w:val="24"/>
        </w:rPr>
        <w:t xml:space="preserve">restrict or limit the rights, procedures, and remedies available under the </w:t>
      </w:r>
      <w:r w:rsidR="007133FA">
        <w:rPr>
          <w:rFonts w:ascii="Times New Roman" w:hAnsi="Times New Roman"/>
          <w:sz w:val="24"/>
          <w:szCs w:val="24"/>
        </w:rPr>
        <w:t>… Americans with Disabilities Act…</w:t>
      </w:r>
      <w:r w:rsidR="003D0586">
        <w:rPr>
          <w:rFonts w:ascii="Times New Roman" w:hAnsi="Times New Roman"/>
          <w:sz w:val="24"/>
          <w:szCs w:val="24"/>
        </w:rPr>
        <w:t>,</w:t>
      </w:r>
      <w:r w:rsidR="007133FA">
        <w:rPr>
          <w:rFonts w:ascii="Times New Roman" w:hAnsi="Times New Roman"/>
          <w:sz w:val="24"/>
          <w:szCs w:val="24"/>
        </w:rPr>
        <w:t>”</w:t>
      </w:r>
      <w:r w:rsidR="00A16F41">
        <w:rPr>
          <w:rFonts w:ascii="Times New Roman" w:hAnsi="Times New Roman"/>
          <w:sz w:val="24"/>
          <w:szCs w:val="24"/>
        </w:rPr>
        <w:t xml:space="preserve"> except </w:t>
      </w:r>
      <w:r w:rsidR="007133FA">
        <w:rPr>
          <w:rFonts w:ascii="Times New Roman" w:hAnsi="Times New Roman"/>
          <w:sz w:val="24"/>
          <w:szCs w:val="24"/>
        </w:rPr>
        <w:t>for the administrative exhaustion requirement discussed below</w:t>
      </w:r>
      <w:r w:rsidR="00765D6B">
        <w:rPr>
          <w:rFonts w:ascii="Times New Roman" w:hAnsi="Times New Roman"/>
          <w:sz w:val="24"/>
          <w:szCs w:val="24"/>
        </w:rPr>
        <w:t xml:space="preserve">.  </w:t>
      </w:r>
      <w:r w:rsidR="00A16F41" w:rsidRPr="00C23351">
        <w:rPr>
          <w:rFonts w:ascii="Times New Roman" w:hAnsi="Times New Roman"/>
          <w:sz w:val="24"/>
          <w:szCs w:val="24"/>
        </w:rPr>
        <w:t>20 U.S.C. 1415(</w:t>
      </w:r>
      <w:r w:rsidR="00A16F41" w:rsidRPr="00C23351">
        <w:rPr>
          <w:rFonts w:ascii="Times New Roman" w:hAnsi="Times New Roman"/>
          <w:i/>
          <w:iCs/>
          <w:sz w:val="24"/>
          <w:szCs w:val="24"/>
        </w:rPr>
        <w:t>l</w:t>
      </w:r>
      <w:r w:rsidR="00A16F41" w:rsidRPr="00C23351">
        <w:rPr>
          <w:rFonts w:ascii="Times New Roman" w:hAnsi="Times New Roman"/>
          <w:sz w:val="24"/>
          <w:szCs w:val="24"/>
        </w:rPr>
        <w:t>).</w:t>
      </w:r>
      <w:r w:rsidR="00A16F41">
        <w:rPr>
          <w:rStyle w:val="FootnoteReference"/>
          <w:rFonts w:ascii="Times New Roman" w:hAnsi="Times New Roman"/>
          <w:sz w:val="24"/>
          <w:szCs w:val="24"/>
        </w:rPr>
        <w:footnoteReference w:id="7"/>
      </w:r>
      <w:r w:rsidR="00A16F41">
        <w:rPr>
          <w:rFonts w:ascii="Times New Roman" w:hAnsi="Times New Roman"/>
          <w:sz w:val="24"/>
          <w:szCs w:val="24"/>
        </w:rPr>
        <w:t xml:space="preserve">  </w:t>
      </w:r>
      <w:r w:rsidR="00A16F41">
        <w:rPr>
          <w:rFonts w:ascii="Times New Roman" w:hAnsi="Times New Roman"/>
          <w:sz w:val="24"/>
          <w:szCs w:val="24"/>
          <w:lang w:val="en-CA"/>
        </w:rPr>
        <w:t>T</w:t>
      </w:r>
      <w:r w:rsidR="0045308B">
        <w:rPr>
          <w:rFonts w:ascii="Times New Roman" w:hAnsi="Times New Roman"/>
          <w:sz w:val="24"/>
          <w:szCs w:val="24"/>
          <w:lang w:val="en-CA"/>
        </w:rPr>
        <w:t>h</w:t>
      </w:r>
      <w:r>
        <w:rPr>
          <w:rFonts w:ascii="Times New Roman" w:hAnsi="Times New Roman"/>
          <w:sz w:val="24"/>
          <w:szCs w:val="24"/>
          <w:lang w:val="en-CA"/>
        </w:rPr>
        <w:t xml:space="preserve">e IDEA </w:t>
      </w:r>
      <w:r w:rsidR="00A16F41">
        <w:rPr>
          <w:rFonts w:ascii="Times New Roman" w:hAnsi="Times New Roman"/>
          <w:sz w:val="24"/>
          <w:szCs w:val="24"/>
          <w:lang w:val="en-CA"/>
        </w:rPr>
        <w:t xml:space="preserve">thus </w:t>
      </w:r>
      <w:r>
        <w:rPr>
          <w:rFonts w:ascii="Times New Roman" w:hAnsi="Times New Roman"/>
          <w:sz w:val="24"/>
          <w:szCs w:val="24"/>
          <w:lang w:val="en-CA"/>
        </w:rPr>
        <w:t xml:space="preserve">does not require, or even suggest, that </w:t>
      </w:r>
      <w:r w:rsidR="007709BA">
        <w:rPr>
          <w:rFonts w:ascii="Times New Roman" w:hAnsi="Times New Roman"/>
          <w:sz w:val="24"/>
          <w:szCs w:val="24"/>
          <w:lang w:val="en-CA"/>
        </w:rPr>
        <w:t>P</w:t>
      </w:r>
      <w:r>
        <w:rPr>
          <w:rFonts w:ascii="Times New Roman" w:hAnsi="Times New Roman"/>
          <w:sz w:val="24"/>
          <w:szCs w:val="24"/>
          <w:lang w:val="en-CA"/>
        </w:rPr>
        <w:t xml:space="preserve">laintiffs must bring IDEA claims in the same federal action as </w:t>
      </w:r>
      <w:r w:rsidR="007709BA">
        <w:rPr>
          <w:rFonts w:ascii="Times New Roman" w:hAnsi="Times New Roman"/>
          <w:sz w:val="24"/>
          <w:szCs w:val="24"/>
          <w:lang w:val="en-CA"/>
        </w:rPr>
        <w:t xml:space="preserve">their </w:t>
      </w:r>
      <w:r>
        <w:rPr>
          <w:rFonts w:ascii="Times New Roman" w:hAnsi="Times New Roman"/>
          <w:sz w:val="24"/>
          <w:szCs w:val="24"/>
          <w:lang w:val="en-CA"/>
        </w:rPr>
        <w:t xml:space="preserve">Title II claim.  </w:t>
      </w:r>
    </w:p>
    <w:p w:rsidR="009869EF" w:rsidRPr="009460AE" w:rsidRDefault="007133FA" w:rsidP="00A16F41">
      <w:pPr>
        <w:spacing w:after="0" w:line="480" w:lineRule="auto"/>
        <w:ind w:firstLine="720"/>
        <w:rPr>
          <w:rFonts w:ascii="Times New Roman" w:hAnsi="Times New Roman"/>
          <w:sz w:val="24"/>
          <w:szCs w:val="24"/>
        </w:rPr>
      </w:pPr>
      <w:r>
        <w:rPr>
          <w:rFonts w:ascii="Times New Roman" w:hAnsi="Times New Roman"/>
          <w:sz w:val="24"/>
          <w:szCs w:val="24"/>
          <w:lang w:val="en-CA"/>
        </w:rPr>
        <w:t>A</w:t>
      </w:r>
      <w:r w:rsidR="009869EF">
        <w:rPr>
          <w:rFonts w:ascii="Times New Roman" w:hAnsi="Times New Roman"/>
          <w:sz w:val="24"/>
          <w:szCs w:val="24"/>
          <w:lang w:val="en-CA"/>
        </w:rPr>
        <w:t xml:space="preserve">s long as </w:t>
      </w:r>
      <w:r w:rsidR="00407C3A">
        <w:rPr>
          <w:rFonts w:ascii="Times New Roman" w:hAnsi="Times New Roman"/>
          <w:sz w:val="24"/>
          <w:szCs w:val="24"/>
          <w:lang w:val="en-CA"/>
        </w:rPr>
        <w:t xml:space="preserve">IDEA exhaustion has occurred, </w:t>
      </w:r>
      <w:r w:rsidR="009869EF">
        <w:rPr>
          <w:rFonts w:ascii="Times New Roman" w:hAnsi="Times New Roman"/>
          <w:sz w:val="24"/>
          <w:szCs w:val="24"/>
          <w:lang w:val="en-CA"/>
        </w:rPr>
        <w:t xml:space="preserve">a plaintiff </w:t>
      </w:r>
      <w:r w:rsidR="009869EF">
        <w:rPr>
          <w:rFonts w:ascii="Times New Roman" w:hAnsi="Times New Roman"/>
          <w:sz w:val="24"/>
          <w:szCs w:val="24"/>
        </w:rPr>
        <w:t xml:space="preserve">can assert </w:t>
      </w:r>
      <w:r w:rsidR="00F520AA">
        <w:rPr>
          <w:rFonts w:ascii="Times New Roman" w:hAnsi="Times New Roman"/>
          <w:sz w:val="24"/>
          <w:szCs w:val="24"/>
        </w:rPr>
        <w:t xml:space="preserve">Title II </w:t>
      </w:r>
      <w:r w:rsidR="00CF5272">
        <w:rPr>
          <w:rFonts w:ascii="Times New Roman" w:hAnsi="Times New Roman"/>
          <w:sz w:val="24"/>
          <w:szCs w:val="24"/>
        </w:rPr>
        <w:t>claims</w:t>
      </w:r>
      <w:r w:rsidR="009869EF" w:rsidRPr="009460AE">
        <w:rPr>
          <w:rFonts w:ascii="Times New Roman" w:hAnsi="Times New Roman"/>
          <w:sz w:val="24"/>
          <w:szCs w:val="24"/>
        </w:rPr>
        <w:t xml:space="preserve"> </w:t>
      </w:r>
      <w:r w:rsidR="00CF5272">
        <w:rPr>
          <w:rFonts w:ascii="Times New Roman" w:hAnsi="Times New Roman"/>
          <w:sz w:val="24"/>
          <w:szCs w:val="24"/>
        </w:rPr>
        <w:t xml:space="preserve">in district court </w:t>
      </w:r>
      <w:r w:rsidR="009869EF">
        <w:rPr>
          <w:rFonts w:ascii="Times New Roman" w:hAnsi="Times New Roman"/>
          <w:sz w:val="24"/>
          <w:szCs w:val="24"/>
        </w:rPr>
        <w:t>even if he does not assert</w:t>
      </w:r>
      <w:r w:rsidR="00CF5272">
        <w:rPr>
          <w:rFonts w:ascii="Times New Roman" w:hAnsi="Times New Roman"/>
          <w:sz w:val="24"/>
          <w:szCs w:val="24"/>
        </w:rPr>
        <w:t xml:space="preserve"> claims</w:t>
      </w:r>
      <w:r w:rsidR="009869EF">
        <w:rPr>
          <w:rFonts w:ascii="Times New Roman" w:hAnsi="Times New Roman"/>
          <w:sz w:val="24"/>
          <w:szCs w:val="24"/>
        </w:rPr>
        <w:t xml:space="preserve"> </w:t>
      </w:r>
      <w:r w:rsidR="00CF5272">
        <w:rPr>
          <w:rFonts w:ascii="Times New Roman" w:hAnsi="Times New Roman"/>
          <w:sz w:val="24"/>
          <w:szCs w:val="24"/>
        </w:rPr>
        <w:t>under the IDEA for failure to provide FAPE.</w:t>
      </w:r>
      <w:r w:rsidR="009869EF">
        <w:rPr>
          <w:rFonts w:ascii="Times New Roman" w:hAnsi="Times New Roman"/>
          <w:sz w:val="24"/>
          <w:szCs w:val="24"/>
        </w:rPr>
        <w:t xml:space="preserve">  </w:t>
      </w:r>
      <w:r w:rsidR="009869EF" w:rsidRPr="004E255B">
        <w:rPr>
          <w:rFonts w:ascii="Times New Roman" w:hAnsi="Times New Roman"/>
          <w:sz w:val="24"/>
          <w:szCs w:val="24"/>
          <w:u w:val="single"/>
          <w:lang w:val="en-CA"/>
        </w:rPr>
        <w:t>See</w:t>
      </w:r>
      <w:r w:rsidR="009869EF" w:rsidRPr="009460AE">
        <w:rPr>
          <w:rFonts w:ascii="Times New Roman" w:hAnsi="Times New Roman"/>
          <w:sz w:val="24"/>
          <w:szCs w:val="24"/>
          <w:lang w:val="en-CA"/>
        </w:rPr>
        <w:t xml:space="preserve"> </w:t>
      </w:r>
      <w:r w:rsidR="009869EF" w:rsidRPr="004E255B">
        <w:rPr>
          <w:rFonts w:ascii="Times New Roman" w:hAnsi="Times New Roman"/>
          <w:sz w:val="24"/>
          <w:szCs w:val="24"/>
          <w:u w:val="single"/>
          <w:lang w:val="en-CA"/>
        </w:rPr>
        <w:t>Ellenberg v. New</w:t>
      </w:r>
      <w:r w:rsidR="009869EF" w:rsidRPr="00F269E7">
        <w:rPr>
          <w:rFonts w:ascii="Times New Roman" w:hAnsi="Times New Roman"/>
          <w:sz w:val="24"/>
          <w:szCs w:val="24"/>
          <w:u w:val="single"/>
          <w:lang w:val="en-CA"/>
        </w:rPr>
        <w:t xml:space="preserve"> </w:t>
      </w:r>
      <w:r w:rsidR="009869EF" w:rsidRPr="004E255B">
        <w:rPr>
          <w:rFonts w:ascii="Times New Roman" w:hAnsi="Times New Roman"/>
          <w:sz w:val="24"/>
          <w:szCs w:val="24"/>
          <w:u w:val="single"/>
          <w:lang w:val="en-CA"/>
        </w:rPr>
        <w:t>Mexico Military Institute</w:t>
      </w:r>
      <w:r w:rsidR="009869EF" w:rsidRPr="009460AE">
        <w:rPr>
          <w:rFonts w:ascii="Times New Roman" w:hAnsi="Times New Roman"/>
          <w:sz w:val="24"/>
          <w:szCs w:val="24"/>
          <w:lang w:val="en-CA"/>
        </w:rPr>
        <w:t>, 478 F.3d 1262, 1281-1282 (10</w:t>
      </w:r>
      <w:r w:rsidR="009869EF" w:rsidRPr="009460AE">
        <w:rPr>
          <w:rFonts w:ascii="Times New Roman" w:hAnsi="Times New Roman"/>
          <w:sz w:val="24"/>
          <w:szCs w:val="24"/>
          <w:vertAlign w:val="superscript"/>
          <w:lang w:val="en-CA"/>
        </w:rPr>
        <w:t>th</w:t>
      </w:r>
      <w:r w:rsidR="009869EF" w:rsidRPr="009460AE">
        <w:rPr>
          <w:rFonts w:ascii="Times New Roman" w:hAnsi="Times New Roman"/>
          <w:sz w:val="24"/>
          <w:szCs w:val="24"/>
          <w:lang w:val="en-CA"/>
        </w:rPr>
        <w:t xml:space="preserve"> Cir. 2007) (noting that plaintiffs could pursue discrimination claims under the ADA even if they conceded that a school had satisfied its IDEA requirements</w:t>
      </w:r>
      <w:r w:rsidR="009869EF">
        <w:rPr>
          <w:rFonts w:ascii="Times New Roman" w:hAnsi="Times New Roman"/>
          <w:sz w:val="24"/>
          <w:szCs w:val="24"/>
          <w:lang w:val="en-CA"/>
        </w:rPr>
        <w:t>, stating that “[a]</w:t>
      </w:r>
      <w:r w:rsidR="009869EF" w:rsidRPr="009460AE">
        <w:rPr>
          <w:rFonts w:ascii="Times New Roman" w:hAnsi="Times New Roman"/>
          <w:sz w:val="24"/>
          <w:szCs w:val="24"/>
        </w:rPr>
        <w:t>ny other interpretation of our case law would mean that a state educational institution that receives public funding could openly discriminate against applicants with disabilities” as long as it complied with its IDEA obligations toward that student).</w:t>
      </w:r>
      <w:r w:rsidR="009869EF">
        <w:rPr>
          <w:rFonts w:ascii="Times New Roman" w:hAnsi="Times New Roman"/>
          <w:sz w:val="24"/>
          <w:szCs w:val="24"/>
        </w:rPr>
        <w:t xml:space="preserve">       </w:t>
      </w:r>
    </w:p>
    <w:p w:rsidR="009869EF" w:rsidRPr="009460AE" w:rsidRDefault="009869EF" w:rsidP="009869EF">
      <w:pPr>
        <w:numPr>
          <w:ilvl w:val="0"/>
          <w:numId w:val="21"/>
        </w:numPr>
        <w:spacing w:after="0" w:line="480" w:lineRule="auto"/>
        <w:ind w:left="1440" w:hanging="720"/>
        <w:rPr>
          <w:rFonts w:ascii="Times New Roman" w:hAnsi="Times New Roman"/>
          <w:sz w:val="24"/>
          <w:szCs w:val="24"/>
          <w:u w:val="single"/>
        </w:rPr>
      </w:pPr>
      <w:r w:rsidRPr="009460AE">
        <w:rPr>
          <w:rFonts w:ascii="Times New Roman" w:hAnsi="Times New Roman"/>
          <w:sz w:val="24"/>
          <w:szCs w:val="24"/>
        </w:rPr>
        <w:t xml:space="preserve"> </w:t>
      </w:r>
      <w:r w:rsidR="007133FA" w:rsidRPr="00B14664">
        <w:rPr>
          <w:rFonts w:ascii="Times New Roman" w:hAnsi="Times New Roman"/>
          <w:sz w:val="24"/>
          <w:szCs w:val="24"/>
          <w:u w:val="single"/>
        </w:rPr>
        <w:t xml:space="preserve">The </w:t>
      </w:r>
      <w:r w:rsidRPr="009460AE">
        <w:rPr>
          <w:rFonts w:ascii="Times New Roman" w:hAnsi="Times New Roman"/>
          <w:sz w:val="24"/>
          <w:szCs w:val="24"/>
          <w:u w:val="single"/>
        </w:rPr>
        <w:t xml:space="preserve">IDEA </w:t>
      </w:r>
      <w:r w:rsidR="005332B4">
        <w:rPr>
          <w:rFonts w:ascii="Times New Roman" w:hAnsi="Times New Roman"/>
          <w:sz w:val="24"/>
          <w:szCs w:val="24"/>
          <w:u w:val="single"/>
        </w:rPr>
        <w:t xml:space="preserve">and ADA Provide Different Protections </w:t>
      </w:r>
      <w:r>
        <w:rPr>
          <w:rFonts w:ascii="Times New Roman" w:hAnsi="Times New Roman"/>
          <w:sz w:val="24"/>
          <w:szCs w:val="24"/>
          <w:u w:val="single"/>
        </w:rPr>
        <w:t>to Children With Disabilities</w:t>
      </w:r>
    </w:p>
    <w:p w:rsidR="00DD56C0" w:rsidRDefault="00DD56C0" w:rsidP="004425BD">
      <w:pPr>
        <w:spacing w:after="0" w:line="480" w:lineRule="auto"/>
      </w:pPr>
      <w:r>
        <w:rPr>
          <w:rFonts w:ascii="Times New Roman" w:hAnsi="Times New Roman"/>
          <w:sz w:val="24"/>
          <w:szCs w:val="24"/>
        </w:rPr>
        <w:tab/>
      </w:r>
      <w:r w:rsidR="00765D6B">
        <w:rPr>
          <w:rFonts w:ascii="Times New Roman" w:hAnsi="Times New Roman"/>
          <w:sz w:val="24"/>
          <w:szCs w:val="24"/>
        </w:rPr>
        <w:t xml:space="preserve">As described </w:t>
      </w:r>
      <w:r w:rsidR="00765D6B" w:rsidRPr="00F90490">
        <w:rPr>
          <w:rFonts w:ascii="Times New Roman" w:hAnsi="Times New Roman"/>
          <w:sz w:val="24"/>
          <w:szCs w:val="24"/>
          <w:u w:val="single"/>
        </w:rPr>
        <w:t>supra</w:t>
      </w:r>
      <w:r w:rsidR="00765D6B">
        <w:rPr>
          <w:rFonts w:ascii="Times New Roman" w:hAnsi="Times New Roman"/>
          <w:sz w:val="24"/>
          <w:szCs w:val="24"/>
        </w:rPr>
        <w:t xml:space="preserve"> at p</w:t>
      </w:r>
      <w:r w:rsidR="00B14664">
        <w:rPr>
          <w:rFonts w:ascii="Times New Roman" w:hAnsi="Times New Roman"/>
          <w:sz w:val="24"/>
          <w:szCs w:val="24"/>
        </w:rPr>
        <w:t>ages 2</w:t>
      </w:r>
      <w:r w:rsidR="00F90490">
        <w:rPr>
          <w:rFonts w:ascii="Times New Roman" w:hAnsi="Times New Roman"/>
          <w:sz w:val="24"/>
          <w:szCs w:val="24"/>
        </w:rPr>
        <w:t xml:space="preserve"> through </w:t>
      </w:r>
      <w:r w:rsidR="00B14664">
        <w:rPr>
          <w:rFonts w:ascii="Times New Roman" w:hAnsi="Times New Roman"/>
          <w:sz w:val="24"/>
          <w:szCs w:val="24"/>
        </w:rPr>
        <w:t>4</w:t>
      </w:r>
      <w:r w:rsidR="00765D6B">
        <w:rPr>
          <w:rFonts w:ascii="Times New Roman" w:hAnsi="Times New Roman"/>
          <w:sz w:val="24"/>
          <w:szCs w:val="24"/>
        </w:rPr>
        <w:t xml:space="preserve">, the ADA is a comprehensive civil rights and equal opportunity statute, which is designed to ensure that individuals with disabilities enjoy equal opportunity, </w:t>
      </w:r>
      <w:r w:rsidR="00765D6B" w:rsidRPr="00D673C2">
        <w:rPr>
          <w:rFonts w:ascii="Times New Roman" w:hAnsi="Times New Roman"/>
          <w:sz w:val="24"/>
          <w:szCs w:val="24"/>
        </w:rPr>
        <w:t>full participation</w:t>
      </w:r>
      <w:r w:rsidR="00765D6B">
        <w:rPr>
          <w:rFonts w:ascii="Times New Roman" w:hAnsi="Times New Roman"/>
          <w:sz w:val="24"/>
          <w:szCs w:val="24"/>
        </w:rPr>
        <w:t xml:space="preserve">, independent living, and “economic self-sufficiency” </w:t>
      </w:r>
      <w:r w:rsidR="00765D6B" w:rsidRPr="00D673C2">
        <w:rPr>
          <w:rFonts w:ascii="Times New Roman" w:hAnsi="Times New Roman"/>
          <w:sz w:val="24"/>
          <w:szCs w:val="24"/>
        </w:rPr>
        <w:t xml:space="preserve">in all aspects of civic life, including at school.  </w:t>
      </w:r>
      <w:r w:rsidR="00765D6B" w:rsidRPr="00D673C2">
        <w:rPr>
          <w:rFonts w:ascii="Times New Roman" w:hAnsi="Times New Roman"/>
          <w:sz w:val="24"/>
          <w:szCs w:val="24"/>
          <w:u w:val="single"/>
        </w:rPr>
        <w:t>See</w:t>
      </w:r>
      <w:r w:rsidR="00765D6B" w:rsidRPr="00D673C2">
        <w:rPr>
          <w:rFonts w:ascii="Times New Roman" w:hAnsi="Times New Roman"/>
          <w:i/>
          <w:sz w:val="24"/>
          <w:szCs w:val="24"/>
        </w:rPr>
        <w:t xml:space="preserve"> </w:t>
      </w:r>
      <w:r w:rsidR="00765D6B" w:rsidRPr="00D673C2">
        <w:rPr>
          <w:rFonts w:ascii="Times New Roman" w:hAnsi="Times New Roman"/>
          <w:sz w:val="24"/>
          <w:szCs w:val="24"/>
        </w:rPr>
        <w:t xml:space="preserve">42 U.S.C. § 12101(a)(3) (noting that discrimination persists in education); </w:t>
      </w:r>
      <w:r w:rsidR="00765D6B" w:rsidRPr="0038283A">
        <w:rPr>
          <w:rFonts w:ascii="Times New Roman" w:hAnsi="Times New Roman"/>
          <w:sz w:val="24"/>
          <w:szCs w:val="24"/>
        </w:rPr>
        <w:t>42 U.S.C. § 12101(a)(7)</w:t>
      </w:r>
      <w:r w:rsidR="00765D6B">
        <w:rPr>
          <w:rFonts w:ascii="Times New Roman" w:hAnsi="Times New Roman"/>
          <w:sz w:val="24"/>
          <w:szCs w:val="24"/>
        </w:rPr>
        <w:t>;</w:t>
      </w:r>
      <w:r w:rsidR="00765D6B" w:rsidRPr="00D673C2">
        <w:rPr>
          <w:rFonts w:ascii="Times New Roman" w:hAnsi="Times New Roman"/>
          <w:i/>
          <w:sz w:val="24"/>
          <w:szCs w:val="24"/>
        </w:rPr>
        <w:t xml:space="preserve"> </w:t>
      </w:r>
      <w:r w:rsidR="00765D6B" w:rsidRPr="003B114E">
        <w:rPr>
          <w:rFonts w:ascii="Times New Roman" w:hAnsi="Times New Roman"/>
          <w:sz w:val="24"/>
          <w:szCs w:val="24"/>
          <w:u w:val="single"/>
        </w:rPr>
        <w:t>see</w:t>
      </w:r>
      <w:r w:rsidR="00765D6B">
        <w:rPr>
          <w:rFonts w:ascii="Times New Roman" w:hAnsi="Times New Roman"/>
          <w:i/>
          <w:sz w:val="24"/>
          <w:szCs w:val="24"/>
        </w:rPr>
        <w:t xml:space="preserve"> </w:t>
      </w:r>
      <w:r w:rsidR="00765D6B" w:rsidRPr="003B114E">
        <w:rPr>
          <w:rFonts w:ascii="Times New Roman" w:hAnsi="Times New Roman"/>
          <w:sz w:val="24"/>
          <w:szCs w:val="24"/>
          <w:u w:val="single"/>
        </w:rPr>
        <w:t>also</w:t>
      </w:r>
      <w:r w:rsidR="00765D6B">
        <w:rPr>
          <w:rFonts w:ascii="Times New Roman" w:hAnsi="Times New Roman"/>
          <w:i/>
          <w:sz w:val="24"/>
          <w:szCs w:val="24"/>
        </w:rPr>
        <w:t xml:space="preserve"> </w:t>
      </w:r>
      <w:r w:rsidR="00765D6B" w:rsidRPr="00D673C2">
        <w:rPr>
          <w:rFonts w:ascii="Times New Roman" w:hAnsi="Times New Roman"/>
          <w:sz w:val="24"/>
          <w:szCs w:val="24"/>
          <w:u w:val="single"/>
        </w:rPr>
        <w:t>Bledsoe v. Palm Beach Cnty. Soil &amp; Water Conservation Dist.</w:t>
      </w:r>
      <w:r w:rsidR="00765D6B" w:rsidRPr="00D673C2">
        <w:rPr>
          <w:rFonts w:ascii="Times New Roman" w:hAnsi="Times New Roman"/>
          <w:sz w:val="24"/>
          <w:szCs w:val="24"/>
        </w:rPr>
        <w:t xml:space="preserve">, 133 F.3d 816, 821 (11th Cir. 1998) (purpose </w:t>
      </w:r>
      <w:r w:rsidR="00765D6B" w:rsidRPr="00403C24">
        <w:rPr>
          <w:rFonts w:ascii="Times New Roman" w:hAnsi="Times New Roman"/>
          <w:sz w:val="24"/>
          <w:szCs w:val="24"/>
        </w:rPr>
        <w:t xml:space="preserve">of </w:t>
      </w:r>
      <w:r w:rsidR="00765D6B">
        <w:rPr>
          <w:rFonts w:ascii="Times New Roman" w:hAnsi="Times New Roman"/>
          <w:sz w:val="24"/>
          <w:szCs w:val="24"/>
        </w:rPr>
        <w:t>T</w:t>
      </w:r>
      <w:r w:rsidR="00765D6B" w:rsidRPr="00D673C2">
        <w:rPr>
          <w:rFonts w:ascii="Times New Roman" w:hAnsi="Times New Roman"/>
          <w:sz w:val="24"/>
          <w:szCs w:val="24"/>
        </w:rPr>
        <w:t xml:space="preserve">itle II is to “continue to break down barriers to the integrated participation of people with disabilities”) (quoting H.R. Rep. No. 101-485(II), at 49-50 (1990), </w:t>
      </w:r>
      <w:r w:rsidR="00765D6B" w:rsidRPr="00D673C2">
        <w:rPr>
          <w:rFonts w:ascii="Times New Roman" w:hAnsi="Times New Roman"/>
          <w:sz w:val="24"/>
          <w:szCs w:val="24"/>
          <w:u w:val="single"/>
        </w:rPr>
        <w:t>as</w:t>
      </w:r>
      <w:r w:rsidR="00765D6B" w:rsidRPr="00D673C2">
        <w:rPr>
          <w:rFonts w:ascii="Times New Roman" w:hAnsi="Times New Roman"/>
          <w:sz w:val="24"/>
          <w:szCs w:val="24"/>
        </w:rPr>
        <w:t xml:space="preserve"> </w:t>
      </w:r>
      <w:r w:rsidR="00765D6B" w:rsidRPr="00D673C2">
        <w:rPr>
          <w:rFonts w:ascii="Times New Roman" w:hAnsi="Times New Roman"/>
          <w:sz w:val="24"/>
          <w:szCs w:val="24"/>
          <w:u w:val="single"/>
        </w:rPr>
        <w:t>reprinted</w:t>
      </w:r>
      <w:r w:rsidR="00765D6B" w:rsidRPr="00D673C2">
        <w:rPr>
          <w:rFonts w:ascii="Times New Roman" w:hAnsi="Times New Roman"/>
          <w:sz w:val="24"/>
          <w:szCs w:val="24"/>
        </w:rPr>
        <w:t xml:space="preserve"> </w:t>
      </w:r>
      <w:r w:rsidR="00765D6B" w:rsidRPr="00D673C2">
        <w:rPr>
          <w:rFonts w:ascii="Times New Roman" w:hAnsi="Times New Roman"/>
          <w:sz w:val="24"/>
          <w:szCs w:val="24"/>
          <w:u w:val="single"/>
        </w:rPr>
        <w:t>in</w:t>
      </w:r>
      <w:r w:rsidR="00765D6B" w:rsidRPr="00D673C2">
        <w:rPr>
          <w:rFonts w:ascii="Times New Roman" w:hAnsi="Times New Roman"/>
          <w:i/>
          <w:sz w:val="24"/>
          <w:szCs w:val="24"/>
        </w:rPr>
        <w:t xml:space="preserve"> </w:t>
      </w:r>
      <w:r w:rsidR="00765D6B" w:rsidRPr="00D673C2">
        <w:rPr>
          <w:rFonts w:ascii="Times New Roman" w:hAnsi="Times New Roman"/>
          <w:sz w:val="24"/>
          <w:szCs w:val="24"/>
        </w:rPr>
        <w:t>1990 U.S.C.C.A.N. 445, 472-73).</w:t>
      </w:r>
      <w:r w:rsidR="00765D6B">
        <w:t xml:space="preserve">  </w:t>
      </w:r>
    </w:p>
    <w:p w:rsidR="009869EF" w:rsidRPr="009460AE" w:rsidRDefault="00DD56C0" w:rsidP="004425BD">
      <w:pPr>
        <w:spacing w:after="0" w:line="480" w:lineRule="auto"/>
        <w:rPr>
          <w:rFonts w:ascii="Times New Roman" w:hAnsi="Times New Roman"/>
          <w:sz w:val="24"/>
          <w:szCs w:val="24"/>
        </w:rPr>
      </w:pPr>
      <w:r>
        <w:tab/>
      </w:r>
      <w:r>
        <w:rPr>
          <w:rFonts w:ascii="Times New Roman" w:hAnsi="Times New Roman"/>
          <w:sz w:val="24"/>
          <w:szCs w:val="24"/>
        </w:rPr>
        <w:t xml:space="preserve">The </w:t>
      </w:r>
      <w:r w:rsidR="009869EF" w:rsidRPr="009460AE">
        <w:rPr>
          <w:rFonts w:ascii="Times New Roman" w:hAnsi="Times New Roman"/>
          <w:sz w:val="24"/>
          <w:szCs w:val="24"/>
        </w:rPr>
        <w:t>IDEA</w:t>
      </w:r>
      <w:r w:rsidR="00765D6B">
        <w:rPr>
          <w:rFonts w:ascii="Times New Roman" w:hAnsi="Times New Roman"/>
          <w:sz w:val="24"/>
          <w:szCs w:val="24"/>
        </w:rPr>
        <w:t>, however,</w:t>
      </w:r>
      <w:r w:rsidR="009869EF" w:rsidRPr="009460AE">
        <w:rPr>
          <w:rFonts w:ascii="Times New Roman" w:hAnsi="Times New Roman"/>
          <w:sz w:val="24"/>
          <w:szCs w:val="24"/>
        </w:rPr>
        <w:t xml:space="preserve"> is a special education statute intended to ensure that eligible children with disabilities have available a “free appropriate public education that emphasizes special education and related services designed to meet their unique needs. . . .”  20 U.S.C. § 1400(d)(1)(A); </w:t>
      </w:r>
      <w:r w:rsidR="009869EF" w:rsidRPr="009460AE">
        <w:rPr>
          <w:rFonts w:ascii="Times New Roman" w:hAnsi="Times New Roman"/>
          <w:sz w:val="24"/>
          <w:szCs w:val="24"/>
          <w:u w:val="single"/>
        </w:rPr>
        <w:t>see</w:t>
      </w:r>
      <w:r w:rsidR="009869EF" w:rsidRPr="009460AE">
        <w:rPr>
          <w:rFonts w:ascii="Times New Roman" w:hAnsi="Times New Roman"/>
          <w:i/>
          <w:sz w:val="24"/>
          <w:szCs w:val="24"/>
        </w:rPr>
        <w:t xml:space="preserve"> </w:t>
      </w:r>
      <w:r w:rsidR="009869EF" w:rsidRPr="009460AE">
        <w:rPr>
          <w:rFonts w:ascii="Times New Roman" w:hAnsi="Times New Roman"/>
          <w:sz w:val="24"/>
          <w:szCs w:val="24"/>
        </w:rPr>
        <w:t xml:space="preserve">20 U.S.C. § 1401(3)(a); </w:t>
      </w:r>
      <w:r w:rsidR="009869EF" w:rsidRPr="009460AE">
        <w:rPr>
          <w:rFonts w:ascii="Times New Roman" w:hAnsi="Times New Roman"/>
          <w:sz w:val="24"/>
          <w:szCs w:val="24"/>
          <w:u w:val="single"/>
        </w:rPr>
        <w:t>School Comm. of Burlington v. Dep’t of Educ. of Mass.</w:t>
      </w:r>
      <w:r w:rsidR="009869EF" w:rsidRPr="009460AE">
        <w:rPr>
          <w:rFonts w:ascii="Times New Roman" w:hAnsi="Times New Roman"/>
          <w:sz w:val="24"/>
          <w:szCs w:val="24"/>
        </w:rPr>
        <w:t>, 471 U.S. 359, 367 (1985).</w:t>
      </w:r>
      <w:r w:rsidR="00036003">
        <w:rPr>
          <w:rStyle w:val="FootnoteReference"/>
          <w:rFonts w:ascii="Times New Roman" w:hAnsi="Times New Roman"/>
          <w:sz w:val="24"/>
          <w:szCs w:val="24"/>
        </w:rPr>
        <w:footnoteReference w:id="8"/>
      </w:r>
      <w:r w:rsidR="009869EF" w:rsidRPr="009460AE">
        <w:rPr>
          <w:rFonts w:ascii="Times New Roman" w:hAnsi="Times New Roman"/>
          <w:sz w:val="24"/>
          <w:szCs w:val="24"/>
        </w:rPr>
        <w:t xml:space="preserve">  A </w:t>
      </w:r>
      <w:r w:rsidR="00036003">
        <w:rPr>
          <w:rFonts w:ascii="Times New Roman" w:hAnsi="Times New Roman"/>
          <w:sz w:val="24"/>
          <w:szCs w:val="24"/>
        </w:rPr>
        <w:t>“</w:t>
      </w:r>
      <w:r w:rsidR="009869EF" w:rsidRPr="009460AE">
        <w:rPr>
          <w:rFonts w:ascii="Times New Roman" w:hAnsi="Times New Roman"/>
          <w:sz w:val="24"/>
          <w:szCs w:val="24"/>
        </w:rPr>
        <w:t>FAPE</w:t>
      </w:r>
      <w:r w:rsidR="00036003">
        <w:rPr>
          <w:rFonts w:ascii="Times New Roman" w:hAnsi="Times New Roman"/>
          <w:sz w:val="24"/>
          <w:szCs w:val="24"/>
        </w:rPr>
        <w:t>”</w:t>
      </w:r>
      <w:r w:rsidR="009869EF" w:rsidRPr="009460AE">
        <w:rPr>
          <w:rFonts w:ascii="Times New Roman" w:hAnsi="Times New Roman"/>
          <w:sz w:val="24"/>
          <w:szCs w:val="24"/>
        </w:rPr>
        <w:t xml:space="preserve"> under </w:t>
      </w:r>
      <w:r w:rsidR="00C66567">
        <w:rPr>
          <w:rFonts w:ascii="Times New Roman" w:hAnsi="Times New Roman"/>
          <w:sz w:val="24"/>
          <w:szCs w:val="24"/>
        </w:rPr>
        <w:t xml:space="preserve">the </w:t>
      </w:r>
      <w:r w:rsidR="009869EF" w:rsidRPr="009460AE">
        <w:rPr>
          <w:rFonts w:ascii="Times New Roman" w:hAnsi="Times New Roman"/>
          <w:sz w:val="24"/>
          <w:szCs w:val="24"/>
        </w:rPr>
        <w:t xml:space="preserve">IDEA must provide the student </w:t>
      </w:r>
      <w:r w:rsidR="00BA4A01">
        <w:rPr>
          <w:rFonts w:ascii="Times New Roman" w:hAnsi="Times New Roman"/>
          <w:sz w:val="24"/>
          <w:szCs w:val="24"/>
        </w:rPr>
        <w:t xml:space="preserve">with </w:t>
      </w:r>
      <w:r w:rsidR="009869EF" w:rsidRPr="009460AE">
        <w:rPr>
          <w:rFonts w:ascii="Times New Roman" w:hAnsi="Times New Roman"/>
          <w:sz w:val="24"/>
          <w:szCs w:val="24"/>
        </w:rPr>
        <w:t xml:space="preserve">a “meaningful” educational benefit.  </w:t>
      </w:r>
      <w:r w:rsidR="009869EF" w:rsidRPr="009460AE">
        <w:rPr>
          <w:rFonts w:ascii="Times New Roman" w:hAnsi="Times New Roman"/>
          <w:sz w:val="24"/>
          <w:szCs w:val="24"/>
          <w:u w:val="single"/>
        </w:rPr>
        <w:t>See</w:t>
      </w:r>
      <w:r w:rsidR="009869EF" w:rsidRPr="009460AE">
        <w:rPr>
          <w:rFonts w:ascii="Times New Roman" w:hAnsi="Times New Roman"/>
          <w:i/>
          <w:sz w:val="24"/>
          <w:szCs w:val="24"/>
        </w:rPr>
        <w:t xml:space="preserve"> </w:t>
      </w:r>
      <w:r w:rsidR="009869EF" w:rsidRPr="009460AE">
        <w:rPr>
          <w:rFonts w:ascii="Times New Roman" w:hAnsi="Times New Roman"/>
          <w:sz w:val="24"/>
          <w:szCs w:val="24"/>
          <w:u w:val="single"/>
        </w:rPr>
        <w:t>Walczak v. Florida Union Free Sch. Dist.</w:t>
      </w:r>
      <w:r w:rsidR="009869EF" w:rsidRPr="009460AE">
        <w:rPr>
          <w:rFonts w:ascii="Times New Roman" w:hAnsi="Times New Roman"/>
          <w:i/>
          <w:sz w:val="24"/>
          <w:szCs w:val="24"/>
        </w:rPr>
        <w:t xml:space="preserve">, </w:t>
      </w:r>
      <w:r w:rsidR="009869EF" w:rsidRPr="009460AE">
        <w:rPr>
          <w:rFonts w:ascii="Times New Roman" w:hAnsi="Times New Roman"/>
          <w:sz w:val="24"/>
          <w:szCs w:val="24"/>
        </w:rPr>
        <w:t xml:space="preserve">142 F.3d. 119, 130 (2d Cir. 1998) (“the door of public education must be opened for a disabled child in a ‘meaningful’ way”) (citing </w:t>
      </w:r>
      <w:r w:rsidR="009869EF" w:rsidRPr="009460AE">
        <w:rPr>
          <w:rFonts w:ascii="Times New Roman" w:hAnsi="Times New Roman"/>
          <w:sz w:val="24"/>
          <w:szCs w:val="24"/>
          <w:u w:val="single"/>
        </w:rPr>
        <w:t>Board of Educ. of Hendrick Hudson Cent. Sch. Dist. v. Rowley</w:t>
      </w:r>
      <w:r w:rsidR="009869EF" w:rsidRPr="009460AE">
        <w:rPr>
          <w:rFonts w:ascii="Times New Roman" w:hAnsi="Times New Roman"/>
          <w:sz w:val="24"/>
          <w:szCs w:val="24"/>
        </w:rPr>
        <w:t>, 458 U.S. 176, 192 (1982)</w:t>
      </w:r>
      <w:r w:rsidR="009869EF" w:rsidRPr="009460AE">
        <w:rPr>
          <w:rFonts w:ascii="Times New Roman" w:hAnsi="Times New Roman"/>
          <w:i/>
          <w:sz w:val="24"/>
          <w:szCs w:val="24"/>
        </w:rPr>
        <w:t>.</w:t>
      </w:r>
      <w:r w:rsidR="009869EF" w:rsidRPr="009460AE">
        <w:rPr>
          <w:rFonts w:ascii="Times New Roman" w:hAnsi="Times New Roman"/>
          <w:sz w:val="24"/>
          <w:szCs w:val="24"/>
        </w:rPr>
        <w:t xml:space="preserve">  </w:t>
      </w:r>
      <w:r w:rsidR="00C66567">
        <w:rPr>
          <w:rFonts w:ascii="Times New Roman" w:hAnsi="Times New Roman"/>
          <w:sz w:val="24"/>
          <w:szCs w:val="24"/>
        </w:rPr>
        <w:t xml:space="preserve">The </w:t>
      </w:r>
      <w:r w:rsidR="009869EF" w:rsidRPr="009460AE">
        <w:rPr>
          <w:rFonts w:ascii="Times New Roman" w:hAnsi="Times New Roman"/>
          <w:sz w:val="24"/>
          <w:szCs w:val="24"/>
        </w:rPr>
        <w:t xml:space="preserve">IDEA does not set out a substantive standard prescribing the level of education to be accorded to eligible children.  </w:t>
      </w:r>
      <w:r w:rsidR="009869EF" w:rsidRPr="009460AE">
        <w:rPr>
          <w:rFonts w:ascii="Times New Roman" w:hAnsi="Times New Roman"/>
          <w:sz w:val="24"/>
          <w:szCs w:val="24"/>
          <w:u w:val="single"/>
        </w:rPr>
        <w:t>See</w:t>
      </w:r>
      <w:r w:rsidR="009869EF" w:rsidRPr="009460AE">
        <w:rPr>
          <w:rFonts w:ascii="Times New Roman" w:hAnsi="Times New Roman"/>
          <w:i/>
          <w:sz w:val="24"/>
          <w:szCs w:val="24"/>
        </w:rPr>
        <w:t xml:space="preserve"> </w:t>
      </w:r>
      <w:r w:rsidR="009869EF" w:rsidRPr="009460AE">
        <w:rPr>
          <w:rFonts w:ascii="Times New Roman" w:hAnsi="Times New Roman"/>
          <w:sz w:val="24"/>
          <w:szCs w:val="24"/>
          <w:u w:val="single"/>
        </w:rPr>
        <w:t>Rowley</w:t>
      </w:r>
      <w:r w:rsidR="009869EF" w:rsidRPr="009460AE">
        <w:rPr>
          <w:rFonts w:ascii="Times New Roman" w:hAnsi="Times New Roman"/>
          <w:sz w:val="24"/>
          <w:szCs w:val="24"/>
        </w:rPr>
        <w:t xml:space="preserve">, 458 U.S. 176, 189 (1982).  It does, however, require that an IEP developed for an eligible student is “reasonably calculated to enable the child to receive educational benefits.”  </w:t>
      </w:r>
      <w:r w:rsidR="009869EF" w:rsidRPr="009460AE">
        <w:rPr>
          <w:rFonts w:ascii="Times New Roman" w:hAnsi="Times New Roman"/>
          <w:sz w:val="24"/>
          <w:szCs w:val="24"/>
          <w:u w:val="single"/>
        </w:rPr>
        <w:t>Id.</w:t>
      </w:r>
      <w:r w:rsidR="009869EF" w:rsidRPr="009460AE">
        <w:rPr>
          <w:rFonts w:ascii="Times New Roman" w:hAnsi="Times New Roman"/>
          <w:i/>
          <w:sz w:val="24"/>
          <w:szCs w:val="24"/>
        </w:rPr>
        <w:t xml:space="preserve"> </w:t>
      </w:r>
      <w:r w:rsidR="009869EF" w:rsidRPr="009460AE">
        <w:rPr>
          <w:rFonts w:ascii="Times New Roman" w:hAnsi="Times New Roman"/>
          <w:sz w:val="24"/>
          <w:szCs w:val="24"/>
        </w:rPr>
        <w:t xml:space="preserve">at 206-07.  A plaintiff can establish a violation of </w:t>
      </w:r>
      <w:r w:rsidR="00C66567">
        <w:rPr>
          <w:rFonts w:ascii="Times New Roman" w:hAnsi="Times New Roman"/>
          <w:sz w:val="24"/>
          <w:szCs w:val="24"/>
        </w:rPr>
        <w:t xml:space="preserve">the </w:t>
      </w:r>
      <w:r w:rsidR="009869EF" w:rsidRPr="009460AE">
        <w:rPr>
          <w:rFonts w:ascii="Times New Roman" w:hAnsi="Times New Roman"/>
          <w:sz w:val="24"/>
          <w:szCs w:val="24"/>
        </w:rPr>
        <w:t xml:space="preserve">IDEA as it relates to a student’s educational program by demonstrating that the IEP will not provide the student with a FAPE, or that procedural violations resulted in denial of a FAPE.  </w:t>
      </w:r>
      <w:r w:rsidR="009869EF" w:rsidRPr="009460AE">
        <w:rPr>
          <w:rFonts w:ascii="Times New Roman" w:hAnsi="Times New Roman"/>
          <w:sz w:val="24"/>
          <w:szCs w:val="24"/>
          <w:u w:val="single"/>
        </w:rPr>
        <w:t>See</w:t>
      </w:r>
      <w:r w:rsidR="009869EF" w:rsidRPr="009460AE">
        <w:rPr>
          <w:rFonts w:ascii="Times New Roman" w:hAnsi="Times New Roman"/>
          <w:sz w:val="24"/>
          <w:szCs w:val="24"/>
        </w:rPr>
        <w:t xml:space="preserve"> </w:t>
      </w:r>
      <w:r w:rsidR="009869EF" w:rsidRPr="009460AE">
        <w:rPr>
          <w:rFonts w:ascii="Times New Roman" w:hAnsi="Times New Roman"/>
          <w:bCs/>
          <w:sz w:val="24"/>
          <w:szCs w:val="24"/>
          <w:u w:val="single"/>
        </w:rPr>
        <w:t>T.M. v. Cornwall Cent. Sch. Dist.</w:t>
      </w:r>
      <w:r w:rsidR="009869EF" w:rsidRPr="009460AE">
        <w:rPr>
          <w:rFonts w:ascii="Times New Roman" w:hAnsi="Times New Roman"/>
          <w:bCs/>
          <w:sz w:val="24"/>
          <w:szCs w:val="24"/>
        </w:rPr>
        <w:t>, 752 F.3d 145, 160 (2d Cir. 2014)</w:t>
      </w:r>
      <w:r w:rsidR="009869EF">
        <w:rPr>
          <w:rFonts w:ascii="Times New Roman" w:hAnsi="Times New Roman"/>
          <w:bCs/>
          <w:sz w:val="24"/>
          <w:szCs w:val="24"/>
        </w:rPr>
        <w:t xml:space="preserve">. </w:t>
      </w:r>
      <w:r>
        <w:rPr>
          <w:rFonts w:ascii="Times New Roman" w:hAnsi="Times New Roman"/>
          <w:bCs/>
          <w:sz w:val="24"/>
          <w:szCs w:val="24"/>
        </w:rPr>
        <w:t xml:space="preserve"> </w:t>
      </w:r>
    </w:p>
    <w:p w:rsidR="009869EF" w:rsidRPr="004029C5" w:rsidRDefault="003670C2" w:rsidP="009869EF">
      <w:pPr>
        <w:spacing w:after="0" w:line="480" w:lineRule="auto"/>
        <w:ind w:firstLine="720"/>
        <w:rPr>
          <w:rFonts w:ascii="Times New Roman" w:hAnsi="Times New Roman"/>
          <w:sz w:val="24"/>
          <w:szCs w:val="24"/>
          <w:u w:val="single"/>
        </w:rPr>
      </w:pPr>
      <w:r>
        <w:rPr>
          <w:rFonts w:ascii="Times New Roman" w:hAnsi="Times New Roman"/>
          <w:sz w:val="24"/>
          <w:szCs w:val="24"/>
        </w:rPr>
        <w:t>B</w:t>
      </w:r>
      <w:r w:rsidR="009869EF" w:rsidRPr="004029C5">
        <w:rPr>
          <w:rFonts w:ascii="Times New Roman" w:hAnsi="Times New Roman"/>
          <w:sz w:val="24"/>
          <w:szCs w:val="24"/>
        </w:rPr>
        <w:t>.</w:t>
      </w:r>
      <w:r w:rsidR="009869EF" w:rsidRPr="004029C5">
        <w:rPr>
          <w:rFonts w:ascii="Times New Roman" w:hAnsi="Times New Roman"/>
          <w:sz w:val="24"/>
          <w:szCs w:val="24"/>
        </w:rPr>
        <w:tab/>
      </w:r>
      <w:r w:rsidR="009869EF" w:rsidRPr="004029C5">
        <w:rPr>
          <w:rFonts w:ascii="Times New Roman" w:hAnsi="Times New Roman"/>
          <w:sz w:val="24"/>
          <w:szCs w:val="24"/>
          <w:u w:val="single"/>
        </w:rPr>
        <w:t xml:space="preserve">A School District Can </w:t>
      </w:r>
      <w:r>
        <w:rPr>
          <w:rFonts w:ascii="Times New Roman" w:hAnsi="Times New Roman"/>
          <w:sz w:val="24"/>
          <w:szCs w:val="24"/>
          <w:u w:val="single"/>
        </w:rPr>
        <w:t xml:space="preserve">Comply with </w:t>
      </w:r>
      <w:r w:rsidR="00A16F41">
        <w:rPr>
          <w:rFonts w:ascii="Times New Roman" w:hAnsi="Times New Roman"/>
          <w:sz w:val="24"/>
          <w:szCs w:val="24"/>
          <w:u w:val="single"/>
        </w:rPr>
        <w:t xml:space="preserve">the </w:t>
      </w:r>
      <w:r w:rsidR="009869EF" w:rsidRPr="004029C5">
        <w:rPr>
          <w:rFonts w:ascii="Times New Roman" w:hAnsi="Times New Roman"/>
          <w:sz w:val="24"/>
          <w:szCs w:val="24"/>
          <w:u w:val="single"/>
        </w:rPr>
        <w:t xml:space="preserve">IDEA and Still Violate the ADA. </w:t>
      </w:r>
    </w:p>
    <w:p w:rsidR="009869EF" w:rsidRPr="009460AE" w:rsidRDefault="009869EF" w:rsidP="00F76752">
      <w:pPr>
        <w:spacing w:after="0" w:line="480" w:lineRule="auto"/>
        <w:ind w:firstLine="720"/>
        <w:rPr>
          <w:rFonts w:ascii="Times New Roman" w:hAnsi="Times New Roman"/>
          <w:sz w:val="24"/>
          <w:szCs w:val="24"/>
        </w:rPr>
      </w:pPr>
      <w:r>
        <w:rPr>
          <w:rFonts w:ascii="Times New Roman" w:hAnsi="Times New Roman"/>
          <w:sz w:val="24"/>
          <w:szCs w:val="24"/>
        </w:rPr>
        <w:t xml:space="preserve">Because the IDEA focuses on providing FAPE through the delivery of special education and related services </w:t>
      </w:r>
      <w:r w:rsidR="00144E6C">
        <w:rPr>
          <w:rFonts w:ascii="Times New Roman" w:hAnsi="Times New Roman"/>
          <w:sz w:val="24"/>
          <w:szCs w:val="24"/>
        </w:rPr>
        <w:t xml:space="preserve">while </w:t>
      </w:r>
      <w:r>
        <w:rPr>
          <w:rFonts w:ascii="Times New Roman" w:hAnsi="Times New Roman"/>
          <w:sz w:val="24"/>
          <w:szCs w:val="24"/>
        </w:rPr>
        <w:t>Title II of the ADA focuses on combatting discrimination</w:t>
      </w:r>
      <w:r w:rsidR="00A81AD5">
        <w:rPr>
          <w:rFonts w:ascii="Times New Roman" w:hAnsi="Times New Roman"/>
          <w:sz w:val="24"/>
          <w:szCs w:val="24"/>
        </w:rPr>
        <w:t xml:space="preserve">, </w:t>
      </w:r>
      <w:r w:rsidR="00FA130E">
        <w:rPr>
          <w:rFonts w:ascii="Times New Roman" w:hAnsi="Times New Roman"/>
          <w:sz w:val="24"/>
          <w:szCs w:val="24"/>
        </w:rPr>
        <w:t xml:space="preserve">IDEA </w:t>
      </w:r>
      <w:r>
        <w:rPr>
          <w:rFonts w:ascii="Times New Roman" w:hAnsi="Times New Roman"/>
          <w:sz w:val="24"/>
          <w:szCs w:val="24"/>
        </w:rPr>
        <w:t xml:space="preserve">compliance does not </w:t>
      </w:r>
      <w:r w:rsidR="00FA130E">
        <w:rPr>
          <w:rFonts w:ascii="Times New Roman" w:hAnsi="Times New Roman"/>
          <w:sz w:val="24"/>
          <w:szCs w:val="24"/>
        </w:rPr>
        <w:t>automatically</w:t>
      </w:r>
      <w:r>
        <w:rPr>
          <w:rFonts w:ascii="Times New Roman" w:hAnsi="Times New Roman"/>
          <w:sz w:val="24"/>
          <w:szCs w:val="24"/>
        </w:rPr>
        <w:t xml:space="preserve"> equate to Title II compliance.</w:t>
      </w:r>
      <w:r w:rsidRPr="009460AE">
        <w:rPr>
          <w:rFonts w:ascii="Times New Roman" w:hAnsi="Times New Roman"/>
          <w:sz w:val="24"/>
          <w:szCs w:val="24"/>
        </w:rPr>
        <w:t xml:space="preserve">  The Ninth Circuit recently addressed the interplay of these two statutes in a case involving the question of whether school districts’ compliance with their obligations to deaf or hard-of-hearing children under </w:t>
      </w:r>
      <w:r w:rsidR="00C66567">
        <w:rPr>
          <w:rFonts w:ascii="Times New Roman" w:hAnsi="Times New Roman"/>
          <w:sz w:val="24"/>
          <w:szCs w:val="24"/>
        </w:rPr>
        <w:t xml:space="preserve">the </w:t>
      </w:r>
      <w:r w:rsidRPr="009460AE">
        <w:rPr>
          <w:rFonts w:ascii="Times New Roman" w:hAnsi="Times New Roman"/>
          <w:sz w:val="24"/>
          <w:szCs w:val="24"/>
        </w:rPr>
        <w:t xml:space="preserve">IDEA also necessarily establishes compliance with their obligations to those children under the ADA.  </w:t>
      </w:r>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Pr>
          <w:rFonts w:ascii="Times New Roman" w:hAnsi="Times New Roman"/>
          <w:sz w:val="24"/>
          <w:szCs w:val="24"/>
          <w:u w:val="single"/>
        </w:rPr>
        <w:t>K.M. v. Tustin Unified Sch. Dist.</w:t>
      </w:r>
      <w:r w:rsidRPr="009460AE">
        <w:rPr>
          <w:rFonts w:ascii="Times New Roman" w:hAnsi="Times New Roman"/>
          <w:sz w:val="24"/>
          <w:szCs w:val="24"/>
        </w:rPr>
        <w:t xml:space="preserve">, 725 F.3d 1088 (9th Cir. 2013); </w:t>
      </w:r>
      <w:r w:rsidRPr="009460AE">
        <w:rPr>
          <w:rFonts w:ascii="Times New Roman" w:hAnsi="Times New Roman"/>
          <w:sz w:val="24"/>
          <w:szCs w:val="24"/>
          <w:u w:val="single"/>
        </w:rPr>
        <w:t>see</w:t>
      </w:r>
      <w:r w:rsidRPr="009460AE">
        <w:rPr>
          <w:rFonts w:ascii="Times New Roman" w:hAnsi="Times New Roman"/>
          <w:i/>
          <w:sz w:val="24"/>
          <w:szCs w:val="24"/>
        </w:rPr>
        <w:t xml:space="preserve"> </w:t>
      </w:r>
      <w:r w:rsidRPr="009460AE">
        <w:rPr>
          <w:rFonts w:ascii="Times New Roman" w:hAnsi="Times New Roman"/>
          <w:sz w:val="24"/>
          <w:szCs w:val="24"/>
          <w:u w:val="single"/>
        </w:rPr>
        <w:t>also</w:t>
      </w:r>
      <w:r w:rsidRPr="009460AE">
        <w:rPr>
          <w:rFonts w:ascii="Times New Roman" w:hAnsi="Times New Roman"/>
          <w:i/>
          <w:sz w:val="24"/>
          <w:szCs w:val="24"/>
        </w:rPr>
        <w:t xml:space="preserve"> </w:t>
      </w:r>
      <w:r w:rsidRPr="009460AE">
        <w:rPr>
          <w:rFonts w:ascii="Times New Roman" w:hAnsi="Times New Roman"/>
          <w:sz w:val="24"/>
          <w:szCs w:val="24"/>
        </w:rPr>
        <w:t xml:space="preserve">Brief of the United States as Amicus Curiae Supporting Appellant and Urging Remand in </w:t>
      </w:r>
      <w:r w:rsidRPr="009460AE">
        <w:rPr>
          <w:rFonts w:ascii="Times New Roman" w:hAnsi="Times New Roman"/>
          <w:sz w:val="24"/>
          <w:szCs w:val="24"/>
          <w:u w:val="single"/>
        </w:rPr>
        <w:t>K.M. v. Tustin Unified Sch. Dist.</w:t>
      </w:r>
      <w:r w:rsidRPr="009460AE">
        <w:rPr>
          <w:rFonts w:ascii="Times New Roman" w:hAnsi="Times New Roman"/>
          <w:sz w:val="24"/>
          <w:szCs w:val="24"/>
        </w:rPr>
        <w:t xml:space="preserve">, No. 11-56259, in the United States Court of Appeals for the Ninth Circuit, filed Jan. 24, 2012, available at http://www.justice.gov/crt/about/app/briefs/kmtustinbr.pdf (last visited </w:t>
      </w:r>
      <w:r w:rsidR="00B14664">
        <w:rPr>
          <w:rFonts w:ascii="Times New Roman" w:hAnsi="Times New Roman"/>
          <w:sz w:val="24"/>
          <w:szCs w:val="24"/>
        </w:rPr>
        <w:t>December 23</w:t>
      </w:r>
      <w:r w:rsidRPr="009460AE">
        <w:rPr>
          <w:rFonts w:ascii="Times New Roman" w:hAnsi="Times New Roman"/>
          <w:sz w:val="24"/>
          <w:szCs w:val="24"/>
        </w:rPr>
        <w:t xml:space="preserve">, 2015).  </w:t>
      </w:r>
    </w:p>
    <w:p w:rsidR="009869EF" w:rsidRPr="009460AE" w:rsidRDefault="009869EF" w:rsidP="009869EF">
      <w:pPr>
        <w:spacing w:after="0" w:line="480" w:lineRule="auto"/>
        <w:ind w:firstLine="720"/>
        <w:rPr>
          <w:rFonts w:ascii="Times New Roman" w:hAnsi="Times New Roman"/>
          <w:sz w:val="24"/>
          <w:szCs w:val="24"/>
        </w:rPr>
      </w:pPr>
      <w:r>
        <w:rPr>
          <w:rFonts w:ascii="Times New Roman" w:hAnsi="Times New Roman"/>
          <w:sz w:val="24"/>
          <w:szCs w:val="24"/>
        </w:rPr>
        <w:t xml:space="preserve">In </w:t>
      </w:r>
      <w:r w:rsidR="00CB33E5">
        <w:rPr>
          <w:rFonts w:ascii="Times New Roman" w:hAnsi="Times New Roman"/>
          <w:sz w:val="24"/>
          <w:szCs w:val="24"/>
          <w:u w:val="single"/>
        </w:rPr>
        <w:t>Tustin</w:t>
      </w:r>
      <w:r>
        <w:rPr>
          <w:rFonts w:ascii="Times New Roman" w:hAnsi="Times New Roman"/>
          <w:sz w:val="24"/>
          <w:szCs w:val="24"/>
        </w:rPr>
        <w:t xml:space="preserve">, the </w:t>
      </w:r>
      <w:r w:rsidRPr="009460AE">
        <w:rPr>
          <w:rFonts w:ascii="Times New Roman" w:hAnsi="Times New Roman"/>
          <w:sz w:val="24"/>
          <w:szCs w:val="24"/>
        </w:rPr>
        <w:t>district court granted summary judgment for the defendants, finding that they had satisfied the requirements of the ADA b</w:t>
      </w:r>
      <w:r>
        <w:rPr>
          <w:rFonts w:ascii="Times New Roman" w:hAnsi="Times New Roman"/>
          <w:sz w:val="24"/>
          <w:szCs w:val="24"/>
        </w:rPr>
        <w:t xml:space="preserve">ecause they </w:t>
      </w:r>
      <w:r w:rsidR="005A108D">
        <w:rPr>
          <w:rFonts w:ascii="Times New Roman" w:hAnsi="Times New Roman"/>
          <w:sz w:val="24"/>
          <w:szCs w:val="24"/>
        </w:rPr>
        <w:t xml:space="preserve">had </w:t>
      </w:r>
      <w:r>
        <w:rPr>
          <w:rFonts w:ascii="Times New Roman" w:hAnsi="Times New Roman"/>
          <w:sz w:val="24"/>
          <w:szCs w:val="24"/>
        </w:rPr>
        <w:t xml:space="preserve">fully </w:t>
      </w:r>
      <w:r w:rsidRPr="009460AE">
        <w:rPr>
          <w:rFonts w:ascii="Times New Roman" w:hAnsi="Times New Roman"/>
          <w:sz w:val="24"/>
          <w:szCs w:val="24"/>
        </w:rPr>
        <w:t>compl</w:t>
      </w:r>
      <w:r>
        <w:rPr>
          <w:rFonts w:ascii="Times New Roman" w:hAnsi="Times New Roman"/>
          <w:sz w:val="24"/>
          <w:szCs w:val="24"/>
        </w:rPr>
        <w:t xml:space="preserve">ied </w:t>
      </w:r>
      <w:r w:rsidRPr="009460AE">
        <w:rPr>
          <w:rFonts w:ascii="Times New Roman" w:hAnsi="Times New Roman"/>
          <w:sz w:val="24"/>
          <w:szCs w:val="24"/>
        </w:rPr>
        <w:t xml:space="preserve">with </w:t>
      </w:r>
      <w:r w:rsidR="00C66567">
        <w:rPr>
          <w:rFonts w:ascii="Times New Roman" w:hAnsi="Times New Roman"/>
          <w:sz w:val="24"/>
          <w:szCs w:val="24"/>
        </w:rPr>
        <w:t xml:space="preserve">the </w:t>
      </w:r>
      <w:r w:rsidRPr="009460AE">
        <w:rPr>
          <w:rFonts w:ascii="Times New Roman" w:hAnsi="Times New Roman"/>
          <w:sz w:val="24"/>
          <w:szCs w:val="24"/>
        </w:rPr>
        <w:t xml:space="preserve">IDEA.  </w:t>
      </w:r>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Pr>
          <w:rFonts w:ascii="Times New Roman" w:hAnsi="Times New Roman"/>
          <w:sz w:val="24"/>
          <w:szCs w:val="24"/>
          <w:u w:val="single"/>
        </w:rPr>
        <w:t>id.</w:t>
      </w:r>
      <w:r w:rsidRPr="009460AE">
        <w:rPr>
          <w:rFonts w:ascii="Times New Roman" w:hAnsi="Times New Roman"/>
          <w:sz w:val="24"/>
          <w:szCs w:val="24"/>
        </w:rPr>
        <w:t xml:space="preserve">, 725 F. 3d at 1092.  The Ninth Circuit disagreed, stating:  “[w]e do not find in either statute an indication that Congress intended the statutes to interact in a mechanical fashion in the schools context, automatically pretermitting any Title II claim where a school’s IDEA obligation is satisfied.”  </w:t>
      </w:r>
      <w:r w:rsidRPr="009460AE">
        <w:rPr>
          <w:rFonts w:ascii="Times New Roman" w:hAnsi="Times New Roman"/>
          <w:sz w:val="24"/>
          <w:szCs w:val="24"/>
          <w:u w:val="single"/>
        </w:rPr>
        <w:t>Id.</w:t>
      </w:r>
      <w:r w:rsidRPr="009460AE">
        <w:rPr>
          <w:rFonts w:ascii="Times New Roman" w:hAnsi="Times New Roman"/>
          <w:sz w:val="24"/>
          <w:szCs w:val="24"/>
        </w:rPr>
        <w:t xml:space="preserve">  The </w:t>
      </w:r>
      <w:r w:rsidRPr="009460AE">
        <w:rPr>
          <w:rFonts w:ascii="Times New Roman" w:hAnsi="Times New Roman"/>
          <w:sz w:val="24"/>
          <w:szCs w:val="24"/>
          <w:u w:val="single"/>
        </w:rPr>
        <w:t>Tustin</w:t>
      </w:r>
      <w:r w:rsidRPr="009460AE">
        <w:rPr>
          <w:rFonts w:ascii="Times New Roman" w:hAnsi="Times New Roman"/>
          <w:sz w:val="24"/>
          <w:szCs w:val="24"/>
        </w:rPr>
        <w:t xml:space="preserve"> Court recognized that </w:t>
      </w:r>
      <w:r w:rsidR="00C66567">
        <w:rPr>
          <w:rFonts w:ascii="Times New Roman" w:hAnsi="Times New Roman"/>
          <w:sz w:val="24"/>
          <w:szCs w:val="24"/>
        </w:rPr>
        <w:t xml:space="preserve">the </w:t>
      </w:r>
      <w:r w:rsidRPr="009460AE">
        <w:rPr>
          <w:rFonts w:ascii="Times New Roman" w:hAnsi="Times New Roman"/>
          <w:sz w:val="24"/>
          <w:szCs w:val="24"/>
        </w:rPr>
        <w:t xml:space="preserve">“IDEA and Title II differ in both ends and means,” noting that </w:t>
      </w:r>
      <w:r w:rsidR="00C66567">
        <w:rPr>
          <w:rFonts w:ascii="Times New Roman" w:hAnsi="Times New Roman"/>
          <w:sz w:val="24"/>
          <w:szCs w:val="24"/>
        </w:rPr>
        <w:t xml:space="preserve">the </w:t>
      </w:r>
      <w:r w:rsidRPr="009460AE">
        <w:rPr>
          <w:rFonts w:ascii="Times New Roman" w:hAnsi="Times New Roman"/>
          <w:sz w:val="24"/>
          <w:szCs w:val="24"/>
        </w:rPr>
        <w:t xml:space="preserve">IDEA set the “floor of access to education” to the children in that case, whereas Title II and its implementing regulations “require public entities to take steps towards making existing services not just accessible, but </w:t>
      </w:r>
      <w:r w:rsidRPr="009460AE">
        <w:rPr>
          <w:rFonts w:ascii="Times New Roman" w:hAnsi="Times New Roman"/>
          <w:sz w:val="24"/>
          <w:szCs w:val="24"/>
          <w:u w:val="single"/>
        </w:rPr>
        <w:t>equally</w:t>
      </w:r>
      <w:r w:rsidRPr="009460AE">
        <w:rPr>
          <w:rFonts w:ascii="Times New Roman" w:hAnsi="Times New Roman"/>
          <w:sz w:val="24"/>
          <w:szCs w:val="24"/>
        </w:rPr>
        <w:t xml:space="preserve"> accessible to people with communication disabilities.”  </w:t>
      </w:r>
      <w:proofErr w:type="gramStart"/>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Pr>
          <w:rFonts w:ascii="Times New Roman" w:hAnsi="Times New Roman"/>
          <w:sz w:val="24"/>
          <w:szCs w:val="24"/>
          <w:u w:val="single"/>
        </w:rPr>
        <w:t>id.</w:t>
      </w:r>
      <w:r w:rsidRPr="009460AE">
        <w:rPr>
          <w:rFonts w:ascii="Times New Roman" w:hAnsi="Times New Roman"/>
          <w:sz w:val="24"/>
          <w:szCs w:val="24"/>
        </w:rPr>
        <w:t>, 725 F. 3d at 109</w:t>
      </w:r>
      <w:r w:rsidR="004C39D0">
        <w:rPr>
          <w:rFonts w:ascii="Times New Roman" w:hAnsi="Times New Roman"/>
          <w:sz w:val="24"/>
          <w:szCs w:val="24"/>
        </w:rPr>
        <w:t>7</w:t>
      </w:r>
      <w:r w:rsidRPr="009460AE">
        <w:rPr>
          <w:rFonts w:ascii="Times New Roman" w:hAnsi="Times New Roman"/>
          <w:sz w:val="24"/>
          <w:szCs w:val="24"/>
        </w:rPr>
        <w:t xml:space="preserve"> (original emphasis</w:t>
      </w:r>
      <w:r w:rsidR="00FC73CC">
        <w:rPr>
          <w:rFonts w:ascii="Times New Roman" w:hAnsi="Times New Roman"/>
          <w:sz w:val="24"/>
          <w:szCs w:val="24"/>
        </w:rPr>
        <w:t>)</w:t>
      </w:r>
      <w:r w:rsidR="00ED0CEA">
        <w:rPr>
          <w:rFonts w:ascii="Times New Roman" w:hAnsi="Times New Roman"/>
          <w:sz w:val="24"/>
          <w:szCs w:val="24"/>
        </w:rPr>
        <w:t>.</w:t>
      </w:r>
      <w:proofErr w:type="gramEnd"/>
      <w:r w:rsidR="00ED0CEA" w:rsidRPr="009460AE" w:rsidDel="00ED0CEA">
        <w:rPr>
          <w:rFonts w:ascii="Times New Roman" w:hAnsi="Times New Roman"/>
          <w:sz w:val="24"/>
          <w:szCs w:val="24"/>
        </w:rPr>
        <w:t xml:space="preserve"> </w:t>
      </w:r>
    </w:p>
    <w:p w:rsidR="009869EF" w:rsidRPr="009460AE" w:rsidRDefault="009869EF" w:rsidP="009869EF">
      <w:pPr>
        <w:spacing w:after="0" w:line="480" w:lineRule="auto"/>
        <w:ind w:firstLine="720"/>
        <w:rPr>
          <w:rFonts w:ascii="Times New Roman" w:hAnsi="Times New Roman"/>
          <w:sz w:val="24"/>
          <w:szCs w:val="24"/>
        </w:rPr>
      </w:pPr>
      <w:r w:rsidRPr="009460AE">
        <w:rPr>
          <w:rFonts w:ascii="Times New Roman" w:hAnsi="Times New Roman"/>
          <w:sz w:val="24"/>
          <w:szCs w:val="24"/>
          <w:u w:val="single"/>
        </w:rPr>
        <w:t>Tustin</w:t>
      </w:r>
      <w:r w:rsidRPr="009460AE">
        <w:rPr>
          <w:rFonts w:ascii="Times New Roman" w:hAnsi="Times New Roman"/>
          <w:sz w:val="24"/>
          <w:szCs w:val="24"/>
        </w:rPr>
        <w:t xml:space="preserve"> thus </w:t>
      </w:r>
      <w:r>
        <w:rPr>
          <w:rFonts w:ascii="Times New Roman" w:hAnsi="Times New Roman"/>
          <w:sz w:val="24"/>
          <w:szCs w:val="24"/>
        </w:rPr>
        <w:t>makes clear</w:t>
      </w:r>
      <w:r w:rsidRPr="009460AE">
        <w:rPr>
          <w:rFonts w:ascii="Times New Roman" w:hAnsi="Times New Roman"/>
          <w:sz w:val="24"/>
          <w:szCs w:val="24"/>
        </w:rPr>
        <w:t xml:space="preserve"> that the ADA is not merely repetitive of </w:t>
      </w:r>
      <w:r w:rsidR="00C66567">
        <w:rPr>
          <w:rFonts w:ascii="Times New Roman" w:hAnsi="Times New Roman"/>
          <w:sz w:val="24"/>
          <w:szCs w:val="24"/>
        </w:rPr>
        <w:t xml:space="preserve">the </w:t>
      </w:r>
      <w:r w:rsidRPr="009460AE">
        <w:rPr>
          <w:rFonts w:ascii="Times New Roman" w:hAnsi="Times New Roman"/>
          <w:sz w:val="24"/>
          <w:szCs w:val="24"/>
        </w:rPr>
        <w:t xml:space="preserve">IDEA’s protections.  Instead, </w:t>
      </w:r>
      <w:r w:rsidR="005A108D">
        <w:rPr>
          <w:rFonts w:ascii="Times New Roman" w:hAnsi="Times New Roman"/>
          <w:sz w:val="24"/>
          <w:szCs w:val="24"/>
        </w:rPr>
        <w:t xml:space="preserve">as </w:t>
      </w:r>
      <w:r w:rsidR="00CB33E5">
        <w:rPr>
          <w:rFonts w:ascii="Times New Roman" w:hAnsi="Times New Roman"/>
          <w:sz w:val="24"/>
          <w:szCs w:val="24"/>
        </w:rPr>
        <w:t>the Court there explained</w:t>
      </w:r>
      <w:r w:rsidR="005A108D">
        <w:rPr>
          <w:rFonts w:ascii="Times New Roman" w:hAnsi="Times New Roman"/>
          <w:sz w:val="24"/>
          <w:szCs w:val="24"/>
        </w:rPr>
        <w:t xml:space="preserve">, </w:t>
      </w:r>
      <w:r w:rsidRPr="009460AE">
        <w:rPr>
          <w:rFonts w:ascii="Times New Roman" w:hAnsi="Times New Roman"/>
          <w:sz w:val="24"/>
          <w:szCs w:val="24"/>
        </w:rPr>
        <w:t xml:space="preserve">the ADA’s broad promise of equal opportunity may require school districts to take </w:t>
      </w:r>
      <w:r>
        <w:rPr>
          <w:rFonts w:ascii="Times New Roman" w:hAnsi="Times New Roman"/>
          <w:sz w:val="24"/>
          <w:szCs w:val="24"/>
        </w:rPr>
        <w:t>other</w:t>
      </w:r>
      <w:r w:rsidRPr="009460AE">
        <w:rPr>
          <w:rFonts w:ascii="Times New Roman" w:hAnsi="Times New Roman"/>
          <w:sz w:val="24"/>
          <w:szCs w:val="24"/>
        </w:rPr>
        <w:t xml:space="preserve"> measures to avoid discrimination against children with disabilities than the measures that are required under </w:t>
      </w:r>
      <w:r w:rsidR="00C66567">
        <w:rPr>
          <w:rFonts w:ascii="Times New Roman" w:hAnsi="Times New Roman"/>
          <w:sz w:val="24"/>
          <w:szCs w:val="24"/>
        </w:rPr>
        <w:t xml:space="preserve">the </w:t>
      </w:r>
      <w:r w:rsidRPr="009460AE">
        <w:rPr>
          <w:rFonts w:ascii="Times New Roman" w:hAnsi="Times New Roman"/>
          <w:sz w:val="24"/>
          <w:szCs w:val="24"/>
        </w:rPr>
        <w:t>IDEA.</w:t>
      </w:r>
      <w:r w:rsidRPr="009460AE">
        <w:rPr>
          <w:rStyle w:val="FootnoteReference"/>
          <w:rFonts w:ascii="Times New Roman" w:hAnsi="Times New Roman"/>
          <w:sz w:val="24"/>
          <w:szCs w:val="24"/>
        </w:rPr>
        <w:footnoteReference w:id="9"/>
      </w:r>
      <w:r w:rsidRPr="009460AE">
        <w:rPr>
          <w:rFonts w:ascii="Times New Roman" w:hAnsi="Times New Roman"/>
          <w:sz w:val="24"/>
          <w:szCs w:val="24"/>
        </w:rPr>
        <w:t xml:space="preserve"> </w:t>
      </w:r>
      <w:r w:rsidR="00CB33E5" w:rsidRPr="003B114E">
        <w:rPr>
          <w:rFonts w:ascii="Times New Roman" w:hAnsi="Times New Roman"/>
          <w:sz w:val="24"/>
          <w:szCs w:val="24"/>
          <w:u w:val="single"/>
        </w:rPr>
        <w:t>See</w:t>
      </w:r>
      <w:r w:rsidR="00CB33E5">
        <w:rPr>
          <w:rFonts w:ascii="Times New Roman" w:hAnsi="Times New Roman"/>
          <w:sz w:val="24"/>
          <w:szCs w:val="24"/>
        </w:rPr>
        <w:t xml:space="preserve"> </w:t>
      </w:r>
      <w:r w:rsidR="004C39D0">
        <w:rPr>
          <w:rFonts w:ascii="Times New Roman" w:hAnsi="Times New Roman"/>
          <w:sz w:val="24"/>
          <w:szCs w:val="24"/>
          <w:u w:val="single"/>
        </w:rPr>
        <w:t>id.</w:t>
      </w:r>
      <w:r w:rsidR="00CB33E5">
        <w:rPr>
          <w:rFonts w:ascii="Times New Roman" w:hAnsi="Times New Roman"/>
          <w:sz w:val="24"/>
          <w:szCs w:val="24"/>
        </w:rPr>
        <w:t xml:space="preserve"> (</w:t>
      </w:r>
      <w:r w:rsidRPr="009460AE">
        <w:rPr>
          <w:rFonts w:ascii="Times New Roman" w:hAnsi="Times New Roman"/>
          <w:sz w:val="24"/>
          <w:szCs w:val="24"/>
        </w:rPr>
        <w:t>“Congress has specifically and clearly provided that the IDEA coexists with the ADA and other federal statutes, rather than swallowing the others”)</w:t>
      </w:r>
      <w:r>
        <w:rPr>
          <w:rFonts w:ascii="Times New Roman" w:hAnsi="Times New Roman"/>
          <w:sz w:val="24"/>
          <w:szCs w:val="24"/>
        </w:rPr>
        <w:t xml:space="preserve">. </w:t>
      </w:r>
      <w:r w:rsidRPr="009460AE">
        <w:rPr>
          <w:rFonts w:ascii="Times New Roman" w:hAnsi="Times New Roman"/>
          <w:sz w:val="24"/>
          <w:szCs w:val="24"/>
        </w:rPr>
        <w:t xml:space="preserve"> </w:t>
      </w:r>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Pr>
          <w:rFonts w:ascii="Times New Roman" w:hAnsi="Times New Roman"/>
          <w:sz w:val="24"/>
          <w:szCs w:val="24"/>
          <w:u w:val="single"/>
        </w:rPr>
        <w:t>id.</w:t>
      </w:r>
    </w:p>
    <w:p w:rsidR="001F4F43" w:rsidRDefault="00CB33E5" w:rsidP="009869EF">
      <w:pPr>
        <w:spacing w:after="0" w:line="480" w:lineRule="auto"/>
        <w:ind w:firstLine="720"/>
        <w:rPr>
          <w:rFonts w:ascii="Times New Roman" w:hAnsi="Times New Roman"/>
          <w:sz w:val="24"/>
          <w:szCs w:val="24"/>
        </w:rPr>
      </w:pPr>
      <w:r w:rsidRPr="00D673C2">
        <w:rPr>
          <w:rFonts w:ascii="Times New Roman" w:hAnsi="Times New Roman"/>
          <w:sz w:val="24"/>
          <w:szCs w:val="24"/>
        </w:rPr>
        <w:t>Plaintiffs here, as in</w:t>
      </w:r>
      <w:r w:rsidRPr="009460AE">
        <w:rPr>
          <w:rFonts w:ascii="Times New Roman" w:hAnsi="Times New Roman"/>
          <w:color w:val="333333"/>
          <w:sz w:val="24"/>
          <w:szCs w:val="24"/>
        </w:rPr>
        <w:t xml:space="preserve"> </w:t>
      </w:r>
      <w:r w:rsidRPr="009460AE">
        <w:rPr>
          <w:rFonts w:ascii="Times New Roman" w:hAnsi="Times New Roman"/>
          <w:sz w:val="24"/>
          <w:szCs w:val="24"/>
          <w:u w:val="single"/>
        </w:rPr>
        <w:t>Tustin</w:t>
      </w:r>
      <w:r w:rsidRPr="009460AE">
        <w:rPr>
          <w:rFonts w:ascii="Times New Roman" w:hAnsi="Times New Roman"/>
          <w:sz w:val="24"/>
          <w:szCs w:val="24"/>
        </w:rPr>
        <w:t xml:space="preserve">, are not </w:t>
      </w:r>
      <w:r>
        <w:rPr>
          <w:rFonts w:ascii="Times New Roman" w:hAnsi="Times New Roman"/>
          <w:sz w:val="24"/>
          <w:szCs w:val="24"/>
        </w:rPr>
        <w:t>claiming that Defendants have not offered Child the “basic floor of opportunity” that the IDEA requires.</w:t>
      </w:r>
      <w:r w:rsidRPr="009460AE">
        <w:rPr>
          <w:rFonts w:ascii="Times New Roman" w:hAnsi="Times New Roman"/>
          <w:sz w:val="24"/>
          <w:szCs w:val="24"/>
        </w:rPr>
        <w:t xml:space="preserve">  </w:t>
      </w:r>
      <w:r w:rsidRPr="009460AE">
        <w:rPr>
          <w:rFonts w:ascii="Times New Roman" w:hAnsi="Times New Roman"/>
          <w:sz w:val="24"/>
          <w:szCs w:val="24"/>
          <w:u w:val="single"/>
        </w:rPr>
        <w:t>See</w:t>
      </w:r>
      <w:r w:rsidRPr="009460AE">
        <w:rPr>
          <w:rFonts w:ascii="Times New Roman" w:hAnsi="Times New Roman"/>
          <w:sz w:val="24"/>
          <w:szCs w:val="24"/>
        </w:rPr>
        <w:t xml:space="preserve"> Plaintiffs’ Opposition to Defendants’ Motion to Dismiss Pursuant to FRCP 12(c) at p. 10.  Instead, </w:t>
      </w:r>
      <w:r>
        <w:rPr>
          <w:rFonts w:ascii="Times New Roman" w:hAnsi="Times New Roman"/>
          <w:sz w:val="24"/>
          <w:szCs w:val="24"/>
        </w:rPr>
        <w:t xml:space="preserve">Plaintiffs challenge the </w:t>
      </w:r>
      <w:r w:rsidRPr="001F4F43">
        <w:rPr>
          <w:rFonts w:ascii="Times New Roman" w:hAnsi="Times New Roman"/>
          <w:sz w:val="24"/>
          <w:szCs w:val="24"/>
          <w:u w:val="single"/>
        </w:rPr>
        <w:t>equality</w:t>
      </w:r>
      <w:r>
        <w:rPr>
          <w:rFonts w:ascii="Times New Roman" w:hAnsi="Times New Roman"/>
          <w:sz w:val="24"/>
          <w:szCs w:val="24"/>
        </w:rPr>
        <w:t xml:space="preserve"> of that opportunity under Title II of the ADA</w:t>
      </w:r>
      <w:r w:rsidR="00B1571E">
        <w:rPr>
          <w:rFonts w:ascii="Times New Roman" w:hAnsi="Times New Roman"/>
          <w:sz w:val="24"/>
          <w:szCs w:val="24"/>
        </w:rPr>
        <w:t>, which explicitly recognizes the right of individual</w:t>
      </w:r>
      <w:r w:rsidR="00112242">
        <w:rPr>
          <w:rFonts w:ascii="Times New Roman" w:hAnsi="Times New Roman"/>
          <w:sz w:val="24"/>
          <w:szCs w:val="24"/>
        </w:rPr>
        <w:t>s</w:t>
      </w:r>
      <w:r w:rsidR="00B1571E">
        <w:rPr>
          <w:rFonts w:ascii="Times New Roman" w:hAnsi="Times New Roman"/>
          <w:sz w:val="24"/>
          <w:szCs w:val="24"/>
        </w:rPr>
        <w:t xml:space="preserve"> with a disability to be accompanied by their service animals in virtually all aspects of their lives</w:t>
      </w:r>
      <w:r>
        <w:rPr>
          <w:rFonts w:ascii="Times New Roman" w:hAnsi="Times New Roman"/>
          <w:sz w:val="24"/>
          <w:szCs w:val="24"/>
        </w:rPr>
        <w:t xml:space="preserve">.  </w:t>
      </w:r>
      <w:r w:rsidRPr="009460AE">
        <w:rPr>
          <w:rFonts w:ascii="Times New Roman" w:hAnsi="Times New Roman"/>
          <w:sz w:val="24"/>
          <w:szCs w:val="24"/>
          <w:u w:val="single"/>
        </w:rPr>
        <w:t>See</w:t>
      </w:r>
      <w:r w:rsidRPr="009460AE">
        <w:rPr>
          <w:rFonts w:ascii="Times New Roman" w:hAnsi="Times New Roman"/>
          <w:sz w:val="24"/>
          <w:szCs w:val="24"/>
        </w:rPr>
        <w:t xml:space="preserve"> Complaint at ¶¶ 82-83.</w:t>
      </w:r>
      <w:r w:rsidR="006E0D5A">
        <w:rPr>
          <w:rFonts w:ascii="Times New Roman" w:hAnsi="Times New Roman"/>
          <w:sz w:val="24"/>
          <w:szCs w:val="24"/>
        </w:rPr>
        <w:t xml:space="preserve">  This claim is distinct from a FAPE claim under the IDEA.  If</w:t>
      </w:r>
      <w:r w:rsidR="009869EF">
        <w:rPr>
          <w:rFonts w:ascii="Times New Roman" w:hAnsi="Times New Roman"/>
          <w:sz w:val="24"/>
          <w:szCs w:val="24"/>
        </w:rPr>
        <w:t xml:space="preserve"> Plaintiffs can establish the elements of their Title II claim, the </w:t>
      </w:r>
      <w:r w:rsidR="00C525A7">
        <w:rPr>
          <w:rFonts w:ascii="Times New Roman" w:hAnsi="Times New Roman"/>
          <w:sz w:val="24"/>
          <w:szCs w:val="24"/>
        </w:rPr>
        <w:t>Court should evaluate that claim independently, regardless of Defendants’ IDEA compliance.</w:t>
      </w:r>
      <w:r w:rsidR="009869EF">
        <w:rPr>
          <w:rFonts w:ascii="Times New Roman" w:hAnsi="Times New Roman"/>
          <w:sz w:val="24"/>
          <w:szCs w:val="24"/>
        </w:rPr>
        <w:t xml:space="preserve">  </w:t>
      </w:r>
    </w:p>
    <w:p w:rsidR="0042676A" w:rsidRDefault="0042676A" w:rsidP="009869EF">
      <w:pPr>
        <w:spacing w:after="0" w:line="480" w:lineRule="auto"/>
        <w:ind w:firstLine="720"/>
        <w:rPr>
          <w:rFonts w:ascii="Times New Roman" w:hAnsi="Times New Roman"/>
          <w:sz w:val="24"/>
          <w:szCs w:val="24"/>
        </w:rPr>
      </w:pPr>
    </w:p>
    <w:p w:rsidR="0042676A" w:rsidRDefault="0042676A" w:rsidP="009869EF">
      <w:pPr>
        <w:spacing w:after="0" w:line="480" w:lineRule="auto"/>
        <w:ind w:firstLine="720"/>
        <w:rPr>
          <w:rFonts w:ascii="Times New Roman" w:hAnsi="Times New Roman"/>
          <w:sz w:val="24"/>
          <w:szCs w:val="24"/>
        </w:rPr>
      </w:pPr>
    </w:p>
    <w:p w:rsidR="0042676A" w:rsidRDefault="0042676A" w:rsidP="009869EF">
      <w:pPr>
        <w:spacing w:after="0" w:line="480" w:lineRule="auto"/>
        <w:ind w:firstLine="720"/>
        <w:rPr>
          <w:rFonts w:ascii="Times New Roman" w:hAnsi="Times New Roman"/>
          <w:sz w:val="24"/>
          <w:szCs w:val="24"/>
        </w:rPr>
      </w:pPr>
    </w:p>
    <w:p w:rsidR="005A46CB" w:rsidRPr="00741E96" w:rsidRDefault="005A46CB" w:rsidP="00741E96">
      <w:pPr>
        <w:pStyle w:val="Heading2"/>
        <w:rPr>
          <w:u w:val="none"/>
        </w:rPr>
      </w:pPr>
      <w:r w:rsidRPr="00741E96">
        <w:rPr>
          <w:u w:val="none"/>
        </w:rPr>
        <w:t>POINT I</w:t>
      </w:r>
      <w:r w:rsidR="00B14664" w:rsidRPr="00741E96">
        <w:rPr>
          <w:u w:val="none"/>
        </w:rPr>
        <w:t>II</w:t>
      </w:r>
    </w:p>
    <w:p w:rsidR="0067692B" w:rsidRPr="00741E96" w:rsidRDefault="0067692B" w:rsidP="00741E96">
      <w:pPr>
        <w:pStyle w:val="Heading2"/>
        <w:rPr>
          <w:u w:val="none"/>
        </w:rPr>
      </w:pPr>
      <w:r w:rsidRPr="00741E96">
        <w:rPr>
          <w:u w:val="none"/>
        </w:rPr>
        <w:t xml:space="preserve">THE ADMINISTRATIVE RECORD </w:t>
      </w:r>
      <w:r w:rsidR="00827BC3" w:rsidRPr="00741E96">
        <w:rPr>
          <w:u w:val="none"/>
        </w:rPr>
        <w:t>DEMONSTRATES</w:t>
      </w:r>
      <w:r w:rsidRPr="00741E96">
        <w:rPr>
          <w:u w:val="none"/>
        </w:rPr>
        <w:t xml:space="preserve"> THAT </w:t>
      </w:r>
    </w:p>
    <w:p w:rsidR="0067692B" w:rsidRPr="00741E96" w:rsidRDefault="0067692B" w:rsidP="00741E96">
      <w:pPr>
        <w:pStyle w:val="Heading2"/>
        <w:rPr>
          <w:u w:val="none"/>
        </w:rPr>
      </w:pPr>
      <w:r w:rsidRPr="00741E96">
        <w:rPr>
          <w:u w:val="none"/>
        </w:rPr>
        <w:t>PLAINTIFFS EXHAUSTED THEIR ADMINISTRATIVE REMEDIES</w:t>
      </w:r>
    </w:p>
    <w:p w:rsidR="0067692B" w:rsidRPr="009460AE" w:rsidRDefault="0067692B" w:rsidP="0067692B">
      <w:pPr>
        <w:spacing w:after="0" w:line="240" w:lineRule="auto"/>
        <w:jc w:val="center"/>
        <w:rPr>
          <w:rFonts w:ascii="Times New Roman" w:hAnsi="Times New Roman"/>
          <w:b/>
          <w:sz w:val="24"/>
          <w:szCs w:val="24"/>
          <w:u w:val="single"/>
          <w:lang w:val="en-CA"/>
        </w:rPr>
      </w:pPr>
    </w:p>
    <w:p w:rsidR="0067692B" w:rsidRPr="003B114E" w:rsidRDefault="0067692B" w:rsidP="00A966A5">
      <w:pPr>
        <w:spacing w:after="0" w:line="480" w:lineRule="auto"/>
        <w:rPr>
          <w:rFonts w:ascii="Times New Roman" w:hAnsi="Times New Roman"/>
          <w:sz w:val="24"/>
          <w:szCs w:val="24"/>
        </w:rPr>
      </w:pPr>
      <w:r>
        <w:rPr>
          <w:lang w:val="en-CA"/>
        </w:rPr>
        <w:tab/>
      </w:r>
      <w:r w:rsidRPr="003B114E">
        <w:rPr>
          <w:rFonts w:ascii="Times New Roman" w:hAnsi="Times New Roman"/>
          <w:sz w:val="24"/>
          <w:szCs w:val="24"/>
        </w:rPr>
        <w:t xml:space="preserve">Defendants argue that Plaintiffs’ ADA claim must be dismissed because Plaintiffs failed to exhaust administrative remedies with regard to </w:t>
      </w:r>
      <w:r>
        <w:rPr>
          <w:rFonts w:ascii="Times New Roman" w:hAnsi="Times New Roman"/>
          <w:sz w:val="24"/>
          <w:szCs w:val="24"/>
        </w:rPr>
        <w:t>that claim</w:t>
      </w:r>
      <w:r w:rsidRPr="003B114E">
        <w:rPr>
          <w:rFonts w:ascii="Times New Roman" w:hAnsi="Times New Roman"/>
          <w:sz w:val="24"/>
          <w:szCs w:val="24"/>
        </w:rPr>
        <w:t xml:space="preserve">.  </w:t>
      </w:r>
      <w:r w:rsidRPr="003B114E">
        <w:rPr>
          <w:rFonts w:ascii="Times New Roman" w:hAnsi="Times New Roman"/>
          <w:sz w:val="24"/>
          <w:szCs w:val="24"/>
          <w:u w:val="single"/>
        </w:rPr>
        <w:t>See</w:t>
      </w:r>
      <w:r w:rsidRPr="003B114E">
        <w:rPr>
          <w:rFonts w:ascii="Times New Roman" w:hAnsi="Times New Roman"/>
          <w:sz w:val="24"/>
          <w:szCs w:val="24"/>
        </w:rPr>
        <w:t xml:space="preserve"> Defendants’ Brief at p. 11.   In making this argument, Defendants rely upon </w:t>
      </w:r>
      <w:r>
        <w:rPr>
          <w:rFonts w:ascii="Times New Roman" w:hAnsi="Times New Roman"/>
          <w:sz w:val="24"/>
          <w:szCs w:val="24"/>
        </w:rPr>
        <w:t xml:space="preserve">the IDEA’s statutory provision at </w:t>
      </w:r>
      <w:r w:rsidRPr="003B114E">
        <w:rPr>
          <w:rFonts w:ascii="Times New Roman" w:hAnsi="Times New Roman"/>
          <w:sz w:val="24"/>
          <w:szCs w:val="24"/>
        </w:rPr>
        <w:t>20 U.S.C. §1415(l)</w:t>
      </w:r>
      <w:r>
        <w:rPr>
          <w:rFonts w:ascii="Times New Roman" w:hAnsi="Times New Roman"/>
          <w:sz w:val="24"/>
          <w:szCs w:val="24"/>
        </w:rPr>
        <w:t xml:space="preserve"> </w:t>
      </w:r>
      <w:r w:rsidRPr="003B114E">
        <w:rPr>
          <w:rFonts w:ascii="Times New Roman" w:hAnsi="Times New Roman"/>
          <w:sz w:val="24"/>
          <w:szCs w:val="24"/>
        </w:rPr>
        <w:t>that:</w:t>
      </w:r>
    </w:p>
    <w:p w:rsidR="00EC3FCE" w:rsidRDefault="0067692B" w:rsidP="00A966A5">
      <w:pPr>
        <w:spacing w:after="0" w:line="240" w:lineRule="auto"/>
        <w:ind w:left="720" w:right="720"/>
        <w:rPr>
          <w:rFonts w:ascii="Times New Roman" w:hAnsi="Times New Roman"/>
          <w:sz w:val="24"/>
          <w:szCs w:val="24"/>
        </w:rPr>
      </w:pPr>
      <w:r w:rsidRPr="003B114E">
        <w:rPr>
          <w:rFonts w:ascii="Times New Roman" w:hAnsi="Times New Roman"/>
          <w:sz w:val="24"/>
          <w:szCs w:val="24"/>
        </w:rPr>
        <w:t>Nothing in this title shall be construed to restrict or limit the rights, procedures, and remedies available under the Constitution, the Americans with Disabilities Act of 1990, Title V of the Rehabilitation Act of 1973, or other federal laws protecting the rights of children with disab</w:t>
      </w:r>
      <w:r w:rsidRPr="009460AE">
        <w:rPr>
          <w:rFonts w:ascii="Times New Roman" w:hAnsi="Times New Roman"/>
          <w:sz w:val="24"/>
          <w:szCs w:val="24"/>
        </w:rPr>
        <w:t>ilities, except that before the filing of a civil action under such laws seeking relief that is also available under this part, the procedures under subsections (f) and (g) shall be exhausted to the same extent as would be required had the action been brought under this part.</w:t>
      </w:r>
    </w:p>
    <w:p w:rsidR="00A966A5" w:rsidRDefault="00A966A5" w:rsidP="00A966A5">
      <w:pPr>
        <w:spacing w:after="0" w:line="240" w:lineRule="auto"/>
        <w:ind w:left="720" w:right="720"/>
        <w:rPr>
          <w:rFonts w:ascii="Times New Roman" w:hAnsi="Times New Roman"/>
          <w:sz w:val="24"/>
          <w:szCs w:val="24"/>
        </w:rPr>
      </w:pPr>
    </w:p>
    <w:p w:rsidR="0067692B" w:rsidRPr="009460AE" w:rsidRDefault="0067692B" w:rsidP="0067692B">
      <w:pPr>
        <w:spacing w:after="0" w:line="480" w:lineRule="auto"/>
        <w:rPr>
          <w:rFonts w:ascii="Times New Roman" w:hAnsi="Times New Roman"/>
          <w:sz w:val="24"/>
          <w:szCs w:val="24"/>
        </w:rPr>
      </w:pPr>
      <w:r>
        <w:tab/>
      </w:r>
      <w:r>
        <w:rPr>
          <w:rFonts w:ascii="Times New Roman" w:hAnsi="Times New Roman"/>
          <w:sz w:val="24"/>
          <w:szCs w:val="24"/>
        </w:rPr>
        <w:t xml:space="preserve">The primary purpose of the exhaustion requirement is </w:t>
      </w:r>
      <w:r w:rsidRPr="009460AE">
        <w:rPr>
          <w:rFonts w:ascii="Times New Roman" w:hAnsi="Times New Roman"/>
          <w:sz w:val="24"/>
          <w:szCs w:val="24"/>
        </w:rPr>
        <w:t xml:space="preserve">to allow the </w:t>
      </w:r>
      <w:r w:rsidR="009769DF">
        <w:rPr>
          <w:rFonts w:ascii="Times New Roman" w:hAnsi="Times New Roman"/>
          <w:sz w:val="24"/>
          <w:szCs w:val="24"/>
        </w:rPr>
        <w:t>S</w:t>
      </w:r>
      <w:r w:rsidRPr="009460AE">
        <w:rPr>
          <w:rFonts w:ascii="Times New Roman" w:hAnsi="Times New Roman"/>
          <w:sz w:val="24"/>
          <w:szCs w:val="24"/>
        </w:rPr>
        <w:t xml:space="preserve">chool </w:t>
      </w:r>
      <w:r w:rsidR="009769DF">
        <w:rPr>
          <w:rFonts w:ascii="Times New Roman" w:hAnsi="Times New Roman"/>
          <w:sz w:val="24"/>
          <w:szCs w:val="24"/>
        </w:rPr>
        <w:t>D</w:t>
      </w:r>
      <w:r w:rsidRPr="009460AE">
        <w:rPr>
          <w:rFonts w:ascii="Times New Roman" w:hAnsi="Times New Roman"/>
          <w:sz w:val="24"/>
          <w:szCs w:val="24"/>
        </w:rPr>
        <w:t xml:space="preserve">istrict, and other educational experts, to have the first opportunity to identify educational errors and for school districts to have the opportunity to take prompt corrective action.  </w:t>
      </w:r>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Pr>
          <w:rFonts w:ascii="Times New Roman" w:hAnsi="Times New Roman"/>
          <w:iCs/>
          <w:sz w:val="24"/>
          <w:szCs w:val="24"/>
          <w:u w:val="single"/>
        </w:rPr>
        <w:t>Polera</w:t>
      </w:r>
      <w:r w:rsidRPr="009460AE">
        <w:rPr>
          <w:rFonts w:ascii="Times New Roman" w:hAnsi="Times New Roman"/>
          <w:sz w:val="24"/>
          <w:szCs w:val="24"/>
          <w:u w:val="single"/>
        </w:rPr>
        <w:t xml:space="preserve"> v. </w:t>
      </w:r>
      <w:r w:rsidRPr="009460AE">
        <w:rPr>
          <w:rFonts w:ascii="Times New Roman" w:hAnsi="Times New Roman"/>
          <w:iCs/>
          <w:sz w:val="24"/>
          <w:szCs w:val="24"/>
          <w:u w:val="single"/>
        </w:rPr>
        <w:t>Board of Educ. of Newburgh</w:t>
      </w:r>
      <w:r w:rsidRPr="009460AE">
        <w:rPr>
          <w:rFonts w:ascii="Times New Roman" w:hAnsi="Times New Roman"/>
          <w:sz w:val="24"/>
          <w:szCs w:val="24"/>
        </w:rPr>
        <w:t xml:space="preserve">, 288 F.3d 478, 487, 489 (2d Cir. 2002); </w:t>
      </w:r>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Pr>
          <w:rFonts w:ascii="Times New Roman" w:hAnsi="Times New Roman"/>
          <w:sz w:val="24"/>
          <w:szCs w:val="24"/>
          <w:u w:val="single"/>
        </w:rPr>
        <w:t>also</w:t>
      </w:r>
      <w:r w:rsidRPr="009460AE">
        <w:rPr>
          <w:rFonts w:ascii="Times New Roman" w:hAnsi="Times New Roman"/>
          <w:sz w:val="24"/>
          <w:szCs w:val="24"/>
        </w:rPr>
        <w:t xml:space="preserve"> </w:t>
      </w:r>
      <w:r w:rsidRPr="009460AE">
        <w:rPr>
          <w:rFonts w:ascii="Times New Roman" w:hAnsi="Times New Roman"/>
          <w:sz w:val="24"/>
          <w:szCs w:val="24"/>
          <w:u w:val="single"/>
        </w:rPr>
        <w:t>Scaggs v. New York State Dep’t of Educ.</w:t>
      </w:r>
      <w:r w:rsidRPr="009460AE">
        <w:rPr>
          <w:rFonts w:ascii="Times New Roman" w:hAnsi="Times New Roman"/>
          <w:sz w:val="24"/>
          <w:szCs w:val="24"/>
        </w:rPr>
        <w:t>, 06-CV-0799, 2007 U.S. Dist. LEXIS 35860, *17 (E.D.N.Y. May 16, 2007)(Bianco, J.) (“[t]he primary reason for an exhaustion requirement is to utilize the expertise of administrators who are familiar with resolving issues relating to the education of disabled students”)</w:t>
      </w:r>
      <w:r>
        <w:rPr>
          <w:rFonts w:ascii="Times New Roman" w:hAnsi="Times New Roman"/>
          <w:sz w:val="24"/>
          <w:szCs w:val="24"/>
        </w:rPr>
        <w:t xml:space="preserve"> </w:t>
      </w:r>
      <w:r w:rsidRPr="009460AE">
        <w:rPr>
          <w:rFonts w:ascii="Times New Roman" w:hAnsi="Times New Roman"/>
          <w:sz w:val="24"/>
          <w:szCs w:val="24"/>
        </w:rPr>
        <w:t xml:space="preserve">(citations and internal quotations omitted); </w:t>
      </w:r>
      <w:r w:rsidRPr="009460AE">
        <w:rPr>
          <w:rFonts w:ascii="Times New Roman" w:hAnsi="Times New Roman"/>
          <w:sz w:val="24"/>
          <w:szCs w:val="24"/>
          <w:u w:val="single"/>
        </w:rPr>
        <w:t>Intravaia v. Rocky Point Union Free Sch. Dist.</w:t>
      </w:r>
      <w:r w:rsidRPr="009460AE">
        <w:rPr>
          <w:rFonts w:ascii="Times New Roman" w:hAnsi="Times New Roman"/>
          <w:sz w:val="24"/>
          <w:szCs w:val="24"/>
        </w:rPr>
        <w:t>, 919 F. Supp. 2d 285, 291 (E.D.N.Y. 2013)(Hurley, J.)</w:t>
      </w:r>
      <w:r>
        <w:rPr>
          <w:rFonts w:ascii="Times New Roman" w:hAnsi="Times New Roman"/>
          <w:sz w:val="24"/>
          <w:szCs w:val="24"/>
        </w:rPr>
        <w:t xml:space="preserve"> </w:t>
      </w:r>
      <w:r w:rsidRPr="009460AE">
        <w:rPr>
          <w:rFonts w:ascii="Times New Roman" w:hAnsi="Times New Roman"/>
          <w:sz w:val="24"/>
          <w:szCs w:val="24"/>
        </w:rPr>
        <w:t xml:space="preserve">(“Courts have noted that the purpose of the exhaustion rule is to channel disputes related to the education of disabled children into an administrative process that could apply administrators’ expertise in the area </w:t>
      </w:r>
      <w:r w:rsidR="00146071">
        <w:rPr>
          <w:rFonts w:ascii="Times New Roman" w:hAnsi="Times New Roman"/>
          <w:sz w:val="24"/>
          <w:szCs w:val="24"/>
        </w:rPr>
        <w:t>and promptly resolve</w:t>
      </w:r>
      <w:r w:rsidRPr="009460AE">
        <w:rPr>
          <w:rFonts w:ascii="Times New Roman" w:hAnsi="Times New Roman"/>
          <w:sz w:val="24"/>
          <w:szCs w:val="24"/>
        </w:rPr>
        <w:t xml:space="preserve"> grievances”)</w:t>
      </w:r>
      <w:r>
        <w:rPr>
          <w:rFonts w:ascii="Times New Roman" w:hAnsi="Times New Roman"/>
          <w:sz w:val="24"/>
          <w:szCs w:val="24"/>
        </w:rPr>
        <w:t xml:space="preserve"> </w:t>
      </w:r>
      <w:r w:rsidRPr="009460AE">
        <w:rPr>
          <w:rFonts w:ascii="Times New Roman" w:hAnsi="Times New Roman"/>
          <w:sz w:val="24"/>
          <w:szCs w:val="24"/>
        </w:rPr>
        <w:t xml:space="preserve">(citations and internal quotations omitted).   </w:t>
      </w:r>
    </w:p>
    <w:p w:rsidR="00B74266" w:rsidRDefault="0067692B" w:rsidP="0067692B">
      <w:pPr>
        <w:spacing w:after="0" w:line="480" w:lineRule="auto"/>
        <w:ind w:firstLine="720"/>
        <w:rPr>
          <w:rFonts w:ascii="Times New Roman" w:hAnsi="Times New Roman"/>
          <w:sz w:val="24"/>
          <w:szCs w:val="24"/>
        </w:rPr>
      </w:pPr>
      <w:r>
        <w:rPr>
          <w:rFonts w:ascii="Times New Roman" w:hAnsi="Times New Roman"/>
          <w:sz w:val="24"/>
          <w:szCs w:val="24"/>
        </w:rPr>
        <w:t xml:space="preserve">In New York, </w:t>
      </w:r>
      <w:r w:rsidRPr="009460AE">
        <w:rPr>
          <w:rFonts w:ascii="Times New Roman" w:hAnsi="Times New Roman"/>
          <w:sz w:val="24"/>
          <w:szCs w:val="24"/>
        </w:rPr>
        <w:t>the administrative review process</w:t>
      </w:r>
      <w:r>
        <w:rPr>
          <w:rFonts w:ascii="Times New Roman" w:hAnsi="Times New Roman"/>
          <w:sz w:val="24"/>
          <w:szCs w:val="24"/>
        </w:rPr>
        <w:t xml:space="preserve"> consists of two phases</w:t>
      </w:r>
      <w:r w:rsidRPr="009460AE">
        <w:rPr>
          <w:rFonts w:ascii="Times New Roman" w:hAnsi="Times New Roman"/>
          <w:sz w:val="24"/>
          <w:szCs w:val="24"/>
        </w:rPr>
        <w:t xml:space="preserve">:  (1) an initial hearing before an Independent Hearing Officer (“IHO”); and, if necessary (2) an appeal to a State Review Officer (“SRO”) for the New York State Education Department.  </w:t>
      </w:r>
      <w:r w:rsidRPr="009460AE">
        <w:rPr>
          <w:rFonts w:ascii="Times New Roman" w:hAnsi="Times New Roman"/>
          <w:sz w:val="24"/>
          <w:szCs w:val="24"/>
          <w:u w:val="single"/>
        </w:rPr>
        <w:t>See</w:t>
      </w:r>
      <w:r w:rsidRPr="009460AE">
        <w:rPr>
          <w:rFonts w:ascii="Times New Roman" w:hAnsi="Times New Roman"/>
          <w:sz w:val="24"/>
          <w:szCs w:val="24"/>
        </w:rPr>
        <w:t xml:space="preserve"> 20 U.S.C. </w:t>
      </w:r>
    </w:p>
    <w:p w:rsidR="0067692B" w:rsidRDefault="0067692B" w:rsidP="00B74266">
      <w:pPr>
        <w:spacing w:after="0" w:line="480" w:lineRule="auto"/>
        <w:rPr>
          <w:rFonts w:ascii="Times New Roman" w:hAnsi="Times New Roman"/>
          <w:sz w:val="24"/>
          <w:szCs w:val="24"/>
          <w:lang w:val="en-CA"/>
        </w:rPr>
      </w:pPr>
      <w:r w:rsidRPr="009460AE">
        <w:rPr>
          <w:rFonts w:ascii="Times New Roman" w:hAnsi="Times New Roman"/>
          <w:sz w:val="24"/>
          <w:szCs w:val="24"/>
        </w:rPr>
        <w:t>§§ 1415 (f)-(g); N.Y. Educ. Law</w:t>
      </w:r>
      <w:r>
        <w:rPr>
          <w:rFonts w:ascii="Times New Roman" w:hAnsi="Times New Roman"/>
          <w:sz w:val="24"/>
          <w:szCs w:val="24"/>
        </w:rPr>
        <w:t xml:space="preserve"> </w:t>
      </w:r>
      <w:r w:rsidRPr="009460AE">
        <w:rPr>
          <w:rFonts w:ascii="Times New Roman" w:hAnsi="Times New Roman"/>
          <w:sz w:val="24"/>
          <w:szCs w:val="24"/>
        </w:rPr>
        <w:t xml:space="preserve">§ 4404(1)-(2); 8 N.Y.C.R.R. §§ 200.5(j)-(k); </w:t>
      </w:r>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Pr>
          <w:rFonts w:ascii="Times New Roman" w:hAnsi="Times New Roman"/>
          <w:sz w:val="24"/>
          <w:szCs w:val="24"/>
          <w:u w:val="single"/>
        </w:rPr>
        <w:t>also</w:t>
      </w:r>
      <w:r w:rsidRPr="009460AE">
        <w:rPr>
          <w:rFonts w:ascii="Times New Roman" w:hAnsi="Times New Roman"/>
          <w:sz w:val="24"/>
          <w:szCs w:val="24"/>
        </w:rPr>
        <w:t xml:space="preserve"> </w:t>
      </w:r>
      <w:r w:rsidRPr="009460AE">
        <w:rPr>
          <w:rFonts w:ascii="Times New Roman" w:hAnsi="Times New Roman"/>
          <w:sz w:val="24"/>
          <w:szCs w:val="24"/>
          <w:u w:val="single"/>
        </w:rPr>
        <w:t>Intravaia</w:t>
      </w:r>
      <w:r w:rsidRPr="009460AE">
        <w:rPr>
          <w:rFonts w:ascii="Times New Roman" w:hAnsi="Times New Roman"/>
          <w:sz w:val="24"/>
          <w:szCs w:val="24"/>
        </w:rPr>
        <w:t>, 919 F. Supp. 2d at 291 (explaining the administrative review process</w:t>
      </w:r>
      <w:proofErr w:type="gramStart"/>
      <w:r w:rsidRPr="009460AE">
        <w:rPr>
          <w:rFonts w:ascii="Times New Roman" w:hAnsi="Times New Roman"/>
          <w:sz w:val="24"/>
          <w:szCs w:val="24"/>
        </w:rPr>
        <w:t>)(</w:t>
      </w:r>
      <w:proofErr w:type="gramEnd"/>
      <w:r w:rsidRPr="009460AE">
        <w:rPr>
          <w:rFonts w:ascii="Times New Roman" w:hAnsi="Times New Roman"/>
          <w:sz w:val="24"/>
          <w:szCs w:val="24"/>
        </w:rPr>
        <w:t>citations and internal quotations omitted).</w:t>
      </w:r>
      <w:r>
        <w:rPr>
          <w:rFonts w:ascii="Times New Roman" w:hAnsi="Times New Roman"/>
          <w:sz w:val="24"/>
          <w:szCs w:val="24"/>
        </w:rPr>
        <w:t xml:space="preserve">  </w:t>
      </w:r>
      <w:r w:rsidRPr="009460AE">
        <w:rPr>
          <w:rFonts w:ascii="Times New Roman" w:hAnsi="Times New Roman"/>
          <w:sz w:val="24"/>
          <w:szCs w:val="24"/>
          <w:lang w:val="en-CA"/>
        </w:rPr>
        <w:t xml:space="preserve">Defendants </w:t>
      </w:r>
      <w:r>
        <w:rPr>
          <w:rFonts w:ascii="Times New Roman" w:hAnsi="Times New Roman"/>
          <w:sz w:val="24"/>
          <w:szCs w:val="24"/>
          <w:lang w:val="en-CA"/>
        </w:rPr>
        <w:t>assert</w:t>
      </w:r>
      <w:r w:rsidRPr="009460AE">
        <w:rPr>
          <w:rFonts w:ascii="Times New Roman" w:hAnsi="Times New Roman"/>
          <w:sz w:val="24"/>
          <w:szCs w:val="24"/>
          <w:lang w:val="en-CA"/>
        </w:rPr>
        <w:t xml:space="preserve"> that Plaintiffs failed to exhaust their administrative remedies with </w:t>
      </w:r>
      <w:r>
        <w:rPr>
          <w:rFonts w:ascii="Times New Roman" w:hAnsi="Times New Roman"/>
          <w:sz w:val="24"/>
          <w:szCs w:val="24"/>
          <w:lang w:val="en-CA"/>
        </w:rPr>
        <w:t>respect</w:t>
      </w:r>
      <w:r w:rsidRPr="009460AE">
        <w:rPr>
          <w:rFonts w:ascii="Times New Roman" w:hAnsi="Times New Roman"/>
          <w:sz w:val="24"/>
          <w:szCs w:val="24"/>
          <w:lang w:val="en-CA"/>
        </w:rPr>
        <w:t xml:space="preserve"> to their </w:t>
      </w:r>
      <w:r>
        <w:rPr>
          <w:rFonts w:ascii="Times New Roman" w:hAnsi="Times New Roman"/>
          <w:sz w:val="24"/>
          <w:szCs w:val="24"/>
          <w:lang w:val="en-CA"/>
        </w:rPr>
        <w:t>Title II</w:t>
      </w:r>
      <w:r w:rsidRPr="009460AE">
        <w:rPr>
          <w:rFonts w:ascii="Times New Roman" w:hAnsi="Times New Roman"/>
          <w:sz w:val="24"/>
          <w:szCs w:val="24"/>
          <w:lang w:val="en-CA"/>
        </w:rPr>
        <w:t xml:space="preserve"> claim </w:t>
      </w:r>
      <w:r>
        <w:rPr>
          <w:rFonts w:ascii="Times New Roman" w:hAnsi="Times New Roman"/>
          <w:sz w:val="24"/>
          <w:szCs w:val="24"/>
          <w:lang w:val="en-CA"/>
        </w:rPr>
        <w:t>because Plaintiffs did not</w:t>
      </w:r>
      <w:r w:rsidRPr="009460AE">
        <w:rPr>
          <w:rFonts w:ascii="Times New Roman" w:hAnsi="Times New Roman"/>
          <w:sz w:val="24"/>
          <w:szCs w:val="24"/>
          <w:lang w:val="en-CA"/>
        </w:rPr>
        <w:t xml:space="preserve"> </w:t>
      </w:r>
      <w:r>
        <w:rPr>
          <w:rFonts w:ascii="Times New Roman" w:hAnsi="Times New Roman"/>
          <w:sz w:val="24"/>
          <w:szCs w:val="24"/>
          <w:lang w:val="en-CA"/>
        </w:rPr>
        <w:t xml:space="preserve">specifically reference in their administrative cross-appeal the </w:t>
      </w:r>
      <w:r w:rsidRPr="009460AE">
        <w:rPr>
          <w:rFonts w:ascii="Times New Roman" w:hAnsi="Times New Roman"/>
          <w:sz w:val="24"/>
          <w:szCs w:val="24"/>
          <w:lang w:val="en-CA"/>
        </w:rPr>
        <w:t xml:space="preserve">IHO’s </w:t>
      </w:r>
      <w:r>
        <w:rPr>
          <w:rFonts w:ascii="Times New Roman" w:hAnsi="Times New Roman"/>
          <w:sz w:val="24"/>
          <w:szCs w:val="24"/>
          <w:lang w:val="en-CA"/>
        </w:rPr>
        <w:t>one-sentence note</w:t>
      </w:r>
      <w:r w:rsidRPr="009460AE">
        <w:rPr>
          <w:rFonts w:ascii="Times New Roman" w:hAnsi="Times New Roman"/>
          <w:sz w:val="24"/>
          <w:szCs w:val="24"/>
          <w:lang w:val="en-CA"/>
        </w:rPr>
        <w:t xml:space="preserve"> that Defendants did not discriminate against Child or deny Child access to general education activities.  </w:t>
      </w:r>
      <w:r w:rsidRPr="009460AE">
        <w:rPr>
          <w:rFonts w:ascii="Times New Roman" w:hAnsi="Times New Roman"/>
          <w:sz w:val="24"/>
          <w:szCs w:val="24"/>
          <w:u w:val="single"/>
          <w:lang w:val="en-CA"/>
        </w:rPr>
        <w:t>See</w:t>
      </w:r>
      <w:r w:rsidRPr="009460AE">
        <w:rPr>
          <w:rFonts w:ascii="Times New Roman" w:hAnsi="Times New Roman"/>
          <w:sz w:val="24"/>
          <w:szCs w:val="24"/>
          <w:lang w:val="en-CA"/>
        </w:rPr>
        <w:t xml:space="preserve"> Defendants’ Brief at p. 11.  However, </w:t>
      </w:r>
      <w:r>
        <w:rPr>
          <w:rFonts w:ascii="Times New Roman" w:hAnsi="Times New Roman"/>
          <w:sz w:val="24"/>
          <w:szCs w:val="24"/>
          <w:lang w:val="en-CA"/>
        </w:rPr>
        <w:t>th</w:t>
      </w:r>
      <w:r w:rsidRPr="009460AE">
        <w:rPr>
          <w:rFonts w:ascii="Times New Roman" w:hAnsi="Times New Roman"/>
          <w:sz w:val="24"/>
          <w:szCs w:val="24"/>
          <w:lang w:val="en-CA"/>
        </w:rPr>
        <w:t xml:space="preserve">e </w:t>
      </w:r>
      <w:r w:rsidR="00C4711F">
        <w:rPr>
          <w:rFonts w:ascii="Times New Roman" w:hAnsi="Times New Roman"/>
          <w:sz w:val="24"/>
          <w:szCs w:val="24"/>
          <w:lang w:val="en-CA"/>
        </w:rPr>
        <w:t xml:space="preserve">record demonstrates that the </w:t>
      </w:r>
      <w:r w:rsidRPr="009460AE">
        <w:rPr>
          <w:rFonts w:ascii="Times New Roman" w:hAnsi="Times New Roman"/>
          <w:sz w:val="24"/>
          <w:szCs w:val="24"/>
          <w:lang w:val="en-CA"/>
        </w:rPr>
        <w:t xml:space="preserve">SRO considered </w:t>
      </w:r>
      <w:r>
        <w:rPr>
          <w:rFonts w:ascii="Times New Roman" w:hAnsi="Times New Roman"/>
          <w:sz w:val="24"/>
          <w:szCs w:val="24"/>
          <w:lang w:val="en-CA"/>
        </w:rPr>
        <w:t xml:space="preserve">and set aside </w:t>
      </w:r>
      <w:r w:rsidRPr="009460AE">
        <w:rPr>
          <w:rFonts w:ascii="Times New Roman" w:hAnsi="Times New Roman"/>
          <w:sz w:val="24"/>
          <w:szCs w:val="24"/>
          <w:lang w:val="en-CA"/>
        </w:rPr>
        <w:t xml:space="preserve">Plaintiffs’ </w:t>
      </w:r>
      <w:r w:rsidR="00827BC3">
        <w:rPr>
          <w:rFonts w:ascii="Times New Roman" w:hAnsi="Times New Roman"/>
          <w:sz w:val="24"/>
          <w:szCs w:val="24"/>
          <w:lang w:val="en-CA"/>
        </w:rPr>
        <w:t xml:space="preserve">service animal-related </w:t>
      </w:r>
      <w:r>
        <w:rPr>
          <w:rFonts w:ascii="Times New Roman" w:hAnsi="Times New Roman"/>
          <w:sz w:val="24"/>
          <w:szCs w:val="24"/>
          <w:lang w:val="en-CA"/>
        </w:rPr>
        <w:t>claim</w:t>
      </w:r>
      <w:r w:rsidR="00C4711F">
        <w:rPr>
          <w:rFonts w:ascii="Times New Roman" w:hAnsi="Times New Roman"/>
          <w:sz w:val="24"/>
          <w:szCs w:val="24"/>
          <w:lang w:val="en-CA"/>
        </w:rPr>
        <w:t xml:space="preserve">, noting </w:t>
      </w:r>
      <w:r w:rsidRPr="009460AE">
        <w:rPr>
          <w:rFonts w:ascii="Times New Roman" w:hAnsi="Times New Roman"/>
          <w:sz w:val="24"/>
          <w:szCs w:val="24"/>
          <w:lang w:val="en-CA"/>
        </w:rPr>
        <w:t xml:space="preserve">that Plaintiffs’ “cross-appeal about the district’s allowance of the assistance dog on school property rests on legal claims arising under the ADA and Section 504 but not under the IDEA.”  </w:t>
      </w:r>
      <w:r w:rsidRPr="009460AE">
        <w:rPr>
          <w:rFonts w:ascii="Times New Roman" w:hAnsi="Times New Roman"/>
          <w:sz w:val="24"/>
          <w:szCs w:val="24"/>
          <w:u w:val="single"/>
          <w:lang w:val="en-CA"/>
        </w:rPr>
        <w:t>See</w:t>
      </w:r>
      <w:r w:rsidRPr="009460AE">
        <w:rPr>
          <w:rFonts w:ascii="Times New Roman" w:hAnsi="Times New Roman"/>
          <w:sz w:val="24"/>
          <w:szCs w:val="24"/>
          <w:lang w:val="en-CA"/>
        </w:rPr>
        <w:t xml:space="preserve"> SRO decision attached as Exhibit B to Defendant’s Brief at p. 20.</w:t>
      </w:r>
      <w:r>
        <w:rPr>
          <w:rStyle w:val="FootnoteReference"/>
          <w:rFonts w:ascii="Times New Roman" w:hAnsi="Times New Roman"/>
          <w:sz w:val="24"/>
          <w:szCs w:val="24"/>
          <w:lang w:val="en-CA"/>
        </w:rPr>
        <w:footnoteReference w:id="10"/>
      </w:r>
      <w:r>
        <w:rPr>
          <w:rFonts w:ascii="Times New Roman" w:hAnsi="Times New Roman"/>
          <w:sz w:val="24"/>
          <w:szCs w:val="24"/>
          <w:lang w:val="en-CA"/>
        </w:rPr>
        <w:t xml:space="preserve">  Accordingly, Plaintiffs exhausted their administrative remedies with respect to their Title II claim because the parties placed that claim before the IHO and SRO.</w:t>
      </w:r>
      <w:r>
        <w:rPr>
          <w:rStyle w:val="FootnoteReference"/>
          <w:rFonts w:ascii="Times New Roman" w:hAnsi="Times New Roman"/>
          <w:sz w:val="24"/>
          <w:szCs w:val="24"/>
          <w:lang w:val="en-CA"/>
        </w:rPr>
        <w:footnoteReference w:id="11"/>
      </w:r>
      <w:r w:rsidRPr="009460AE">
        <w:rPr>
          <w:rFonts w:ascii="Times New Roman" w:hAnsi="Times New Roman"/>
          <w:sz w:val="24"/>
          <w:szCs w:val="24"/>
          <w:lang w:val="en-CA"/>
        </w:rPr>
        <w:t xml:space="preserve">  </w:t>
      </w:r>
    </w:p>
    <w:p w:rsidR="008F0ACC" w:rsidRDefault="008F0ACC" w:rsidP="00741E96">
      <w:pPr>
        <w:pStyle w:val="Heading1"/>
      </w:pPr>
      <w:bookmarkStart w:id="0" w:name="_GoBack"/>
      <w:bookmarkEnd w:id="0"/>
      <w:r w:rsidRPr="00B57A26">
        <w:t>CONCLUSION</w:t>
      </w:r>
    </w:p>
    <w:p w:rsidR="00741E96" w:rsidRDefault="00741E96" w:rsidP="006E0D5A">
      <w:pPr>
        <w:spacing w:after="0" w:line="480" w:lineRule="auto"/>
        <w:ind w:firstLine="720"/>
        <w:rPr>
          <w:rFonts w:ascii="Times New Roman" w:hAnsi="Times New Roman"/>
          <w:sz w:val="24"/>
          <w:szCs w:val="24"/>
        </w:rPr>
      </w:pPr>
    </w:p>
    <w:p w:rsidR="00E242A5" w:rsidRDefault="00983AEE" w:rsidP="006E0D5A">
      <w:pPr>
        <w:spacing w:after="0" w:line="480" w:lineRule="auto"/>
        <w:ind w:firstLine="720"/>
        <w:rPr>
          <w:rFonts w:ascii="Times New Roman" w:hAnsi="Times New Roman"/>
          <w:sz w:val="24"/>
          <w:szCs w:val="24"/>
        </w:rPr>
      </w:pPr>
      <w:r>
        <w:rPr>
          <w:rFonts w:ascii="Times New Roman" w:hAnsi="Times New Roman"/>
          <w:sz w:val="24"/>
          <w:szCs w:val="24"/>
        </w:rPr>
        <w:t xml:space="preserve">The United States respectfully </w:t>
      </w:r>
      <w:r w:rsidR="0012465C">
        <w:rPr>
          <w:rFonts w:ascii="Times New Roman" w:hAnsi="Times New Roman"/>
          <w:sz w:val="24"/>
          <w:szCs w:val="24"/>
        </w:rPr>
        <w:t xml:space="preserve">submits </w:t>
      </w:r>
      <w:r>
        <w:rPr>
          <w:rFonts w:ascii="Times New Roman" w:hAnsi="Times New Roman"/>
          <w:sz w:val="24"/>
          <w:szCs w:val="24"/>
        </w:rPr>
        <w:t xml:space="preserve">this Statement of Interest </w:t>
      </w:r>
      <w:r w:rsidR="0012465C">
        <w:rPr>
          <w:rFonts w:ascii="Times New Roman" w:hAnsi="Times New Roman"/>
          <w:sz w:val="24"/>
          <w:szCs w:val="24"/>
        </w:rPr>
        <w:t xml:space="preserve">for the Court’s consideration </w:t>
      </w:r>
      <w:r>
        <w:rPr>
          <w:rFonts w:ascii="Times New Roman" w:hAnsi="Times New Roman"/>
          <w:sz w:val="24"/>
          <w:szCs w:val="24"/>
        </w:rPr>
        <w:t xml:space="preserve">in deciding the pending Motion to Dismiss.  </w:t>
      </w:r>
      <w:r w:rsidR="00144E6C">
        <w:rPr>
          <w:rFonts w:ascii="Times New Roman" w:hAnsi="Times New Roman"/>
          <w:sz w:val="24"/>
          <w:szCs w:val="24"/>
        </w:rPr>
        <w:t>For the reasons discussed</w:t>
      </w:r>
      <w:r>
        <w:rPr>
          <w:rFonts w:ascii="Times New Roman" w:hAnsi="Times New Roman"/>
          <w:sz w:val="24"/>
          <w:szCs w:val="24"/>
        </w:rPr>
        <w:t xml:space="preserve"> </w:t>
      </w:r>
      <w:r w:rsidR="00144E6C" w:rsidRPr="003B114E">
        <w:rPr>
          <w:rFonts w:ascii="Times New Roman" w:hAnsi="Times New Roman"/>
          <w:sz w:val="24"/>
          <w:szCs w:val="24"/>
          <w:u w:val="single"/>
        </w:rPr>
        <w:t>supra</w:t>
      </w:r>
      <w:r>
        <w:rPr>
          <w:rFonts w:ascii="Times New Roman" w:hAnsi="Times New Roman"/>
          <w:sz w:val="24"/>
          <w:szCs w:val="24"/>
        </w:rPr>
        <w:t xml:space="preserve">, </w:t>
      </w:r>
      <w:r w:rsidR="00E242A5">
        <w:rPr>
          <w:rFonts w:ascii="Times New Roman" w:hAnsi="Times New Roman"/>
          <w:sz w:val="24"/>
          <w:szCs w:val="24"/>
        </w:rPr>
        <w:t>the Court should deny</w:t>
      </w:r>
      <w:r w:rsidR="00827BC3">
        <w:rPr>
          <w:rFonts w:ascii="Times New Roman" w:hAnsi="Times New Roman"/>
          <w:sz w:val="24"/>
          <w:szCs w:val="24"/>
        </w:rPr>
        <w:t xml:space="preserve"> Defendants’ motion</w:t>
      </w:r>
      <w:r w:rsidR="00E242A5">
        <w:rPr>
          <w:rFonts w:ascii="Times New Roman" w:hAnsi="Times New Roman"/>
          <w:sz w:val="24"/>
          <w:szCs w:val="24"/>
        </w:rPr>
        <w:t xml:space="preserve">. </w:t>
      </w:r>
    </w:p>
    <w:p w:rsidR="00B65F4F" w:rsidRPr="009460AE" w:rsidRDefault="00B65F4F" w:rsidP="00BD0A1C">
      <w:pPr>
        <w:pStyle w:val="ListParagraph"/>
        <w:tabs>
          <w:tab w:val="left" w:pos="0"/>
          <w:tab w:val="left" w:pos="720"/>
        </w:tabs>
        <w:spacing w:after="0" w:line="240" w:lineRule="auto"/>
        <w:ind w:left="0"/>
        <w:rPr>
          <w:rFonts w:ascii="Times New Roman" w:hAnsi="Times New Roman"/>
          <w:sz w:val="24"/>
          <w:szCs w:val="24"/>
        </w:rPr>
      </w:pPr>
      <w:r w:rsidRPr="009460AE">
        <w:rPr>
          <w:rFonts w:ascii="Times New Roman" w:hAnsi="Times New Roman"/>
          <w:sz w:val="24"/>
          <w:szCs w:val="24"/>
        </w:rPr>
        <w:t>Dated:  Brooklyn, New York</w:t>
      </w:r>
    </w:p>
    <w:p w:rsidR="00B65F4F" w:rsidRPr="009460AE" w:rsidRDefault="00EA5EF6" w:rsidP="00BD0A1C">
      <w:pPr>
        <w:spacing w:after="0" w:line="240" w:lineRule="auto"/>
        <w:ind w:firstLine="720"/>
        <w:rPr>
          <w:rFonts w:ascii="Times New Roman" w:hAnsi="Times New Roman"/>
          <w:sz w:val="24"/>
          <w:szCs w:val="24"/>
        </w:rPr>
      </w:pPr>
      <w:r w:rsidRPr="009460AE">
        <w:rPr>
          <w:rFonts w:ascii="Times New Roman" w:hAnsi="Times New Roman"/>
          <w:sz w:val="24"/>
          <w:szCs w:val="24"/>
        </w:rPr>
        <w:t xml:space="preserve">December </w:t>
      </w:r>
      <w:r w:rsidR="0042676A">
        <w:rPr>
          <w:rFonts w:ascii="Times New Roman" w:hAnsi="Times New Roman"/>
          <w:sz w:val="24"/>
          <w:szCs w:val="24"/>
        </w:rPr>
        <w:t>23</w:t>
      </w:r>
      <w:r w:rsidRPr="009460AE">
        <w:rPr>
          <w:rFonts w:ascii="Times New Roman" w:hAnsi="Times New Roman"/>
          <w:sz w:val="24"/>
          <w:szCs w:val="24"/>
        </w:rPr>
        <w:t>, 2015</w:t>
      </w:r>
    </w:p>
    <w:p w:rsidR="00B65F4F" w:rsidRPr="009460AE" w:rsidRDefault="00B65F4F" w:rsidP="00BD0A1C">
      <w:pPr>
        <w:spacing w:after="0" w:line="240" w:lineRule="auto"/>
        <w:rPr>
          <w:rFonts w:ascii="Times New Roman" w:hAnsi="Times New Roman"/>
          <w:sz w:val="24"/>
          <w:szCs w:val="24"/>
        </w:rPr>
      </w:pPr>
    </w:p>
    <w:p w:rsidR="00B65F4F" w:rsidRPr="009460AE" w:rsidRDefault="00B65F4F" w:rsidP="00BD0A1C">
      <w:pPr>
        <w:spacing w:after="0" w:line="240" w:lineRule="auto"/>
        <w:ind w:firstLine="4320"/>
        <w:rPr>
          <w:rFonts w:ascii="Times New Roman" w:hAnsi="Times New Roman"/>
          <w:sz w:val="24"/>
          <w:szCs w:val="24"/>
        </w:rPr>
      </w:pPr>
      <w:r w:rsidRPr="009460AE">
        <w:rPr>
          <w:rFonts w:ascii="Times New Roman" w:hAnsi="Times New Roman"/>
          <w:sz w:val="24"/>
          <w:szCs w:val="24"/>
        </w:rPr>
        <w:t>Respectfully submitted,</w:t>
      </w:r>
    </w:p>
    <w:p w:rsidR="00B65F4F" w:rsidRPr="009460AE" w:rsidRDefault="00B65F4F" w:rsidP="00BD0A1C">
      <w:pPr>
        <w:spacing w:after="0" w:line="240" w:lineRule="auto"/>
        <w:rPr>
          <w:rFonts w:ascii="Times New Roman" w:hAnsi="Times New Roman"/>
          <w:sz w:val="24"/>
          <w:szCs w:val="24"/>
        </w:rPr>
      </w:pPr>
    </w:p>
    <w:p w:rsidR="00B65F4F" w:rsidRPr="009460AE" w:rsidRDefault="00EA5EF6" w:rsidP="00BD0A1C">
      <w:pPr>
        <w:spacing w:after="0" w:line="240" w:lineRule="auto"/>
        <w:ind w:firstLine="4320"/>
        <w:rPr>
          <w:rFonts w:ascii="Times New Roman" w:hAnsi="Times New Roman"/>
          <w:sz w:val="24"/>
          <w:szCs w:val="24"/>
        </w:rPr>
      </w:pPr>
      <w:r w:rsidRPr="009460AE">
        <w:rPr>
          <w:rFonts w:ascii="Times New Roman" w:hAnsi="Times New Roman"/>
          <w:sz w:val="24"/>
          <w:szCs w:val="24"/>
        </w:rPr>
        <w:t>ROBERT L. CAPERS</w:t>
      </w:r>
    </w:p>
    <w:p w:rsidR="00B65F4F" w:rsidRPr="009460AE" w:rsidRDefault="00B65F4F" w:rsidP="00BD0A1C">
      <w:pPr>
        <w:spacing w:after="0" w:line="240" w:lineRule="auto"/>
        <w:ind w:firstLine="4320"/>
        <w:rPr>
          <w:rFonts w:ascii="Times New Roman" w:hAnsi="Times New Roman"/>
          <w:sz w:val="24"/>
          <w:szCs w:val="24"/>
        </w:rPr>
      </w:pPr>
      <w:r w:rsidRPr="009460AE">
        <w:rPr>
          <w:rFonts w:ascii="Times New Roman" w:hAnsi="Times New Roman"/>
          <w:sz w:val="24"/>
          <w:szCs w:val="24"/>
        </w:rPr>
        <w:t>United States Attorney</w:t>
      </w:r>
    </w:p>
    <w:p w:rsidR="00B65F4F" w:rsidRPr="009460AE" w:rsidRDefault="00B65F4F" w:rsidP="00BD0A1C">
      <w:pPr>
        <w:spacing w:after="0" w:line="240" w:lineRule="auto"/>
        <w:ind w:firstLine="4320"/>
        <w:rPr>
          <w:rFonts w:ascii="Times New Roman" w:hAnsi="Times New Roman"/>
          <w:sz w:val="24"/>
          <w:szCs w:val="24"/>
        </w:rPr>
      </w:pPr>
      <w:r w:rsidRPr="009460AE">
        <w:rPr>
          <w:rFonts w:ascii="Times New Roman" w:hAnsi="Times New Roman"/>
          <w:sz w:val="24"/>
          <w:szCs w:val="24"/>
        </w:rPr>
        <w:t>Eastern District of New York</w:t>
      </w:r>
    </w:p>
    <w:p w:rsidR="00B65F4F" w:rsidRPr="009460AE" w:rsidRDefault="00B65F4F" w:rsidP="00BD0A1C">
      <w:pPr>
        <w:spacing w:after="0" w:line="240" w:lineRule="auto"/>
        <w:ind w:firstLine="4320"/>
        <w:rPr>
          <w:rFonts w:ascii="Times New Roman" w:hAnsi="Times New Roman"/>
          <w:sz w:val="24"/>
          <w:szCs w:val="24"/>
        </w:rPr>
      </w:pPr>
      <w:r w:rsidRPr="009460AE">
        <w:rPr>
          <w:rFonts w:ascii="Times New Roman" w:hAnsi="Times New Roman"/>
          <w:sz w:val="24"/>
          <w:szCs w:val="24"/>
        </w:rPr>
        <w:t>271 Cadman Plaza East</w:t>
      </w:r>
    </w:p>
    <w:p w:rsidR="00B65F4F" w:rsidRPr="009460AE" w:rsidRDefault="00B65F4F" w:rsidP="00BD0A1C">
      <w:pPr>
        <w:spacing w:after="0" w:line="240" w:lineRule="auto"/>
        <w:ind w:firstLine="4320"/>
        <w:rPr>
          <w:rFonts w:ascii="Times New Roman" w:hAnsi="Times New Roman"/>
          <w:sz w:val="24"/>
          <w:szCs w:val="24"/>
        </w:rPr>
      </w:pPr>
      <w:r w:rsidRPr="009460AE">
        <w:rPr>
          <w:rFonts w:ascii="Times New Roman" w:hAnsi="Times New Roman"/>
          <w:sz w:val="24"/>
          <w:szCs w:val="24"/>
        </w:rPr>
        <w:t xml:space="preserve">Brooklyn, New York </w:t>
      </w:r>
    </w:p>
    <w:p w:rsidR="00B65F4F" w:rsidRPr="009460AE" w:rsidRDefault="00B65F4F" w:rsidP="00BD0A1C">
      <w:pPr>
        <w:spacing w:after="0" w:line="240" w:lineRule="auto"/>
        <w:rPr>
          <w:rFonts w:ascii="Times New Roman" w:hAnsi="Times New Roman"/>
          <w:sz w:val="24"/>
          <w:szCs w:val="24"/>
        </w:rPr>
      </w:pPr>
    </w:p>
    <w:p w:rsidR="00B65F4F" w:rsidRPr="009460AE" w:rsidRDefault="00B65F4F" w:rsidP="00BD0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B65F4F" w:rsidRPr="009460AE" w:rsidRDefault="00B65F4F" w:rsidP="00BD0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t>By:</w:t>
      </w:r>
      <w:r w:rsidRPr="009460AE">
        <w:rPr>
          <w:rFonts w:ascii="Times New Roman" w:hAnsi="Times New Roman"/>
          <w:sz w:val="24"/>
          <w:szCs w:val="24"/>
        </w:rPr>
        <w:tab/>
      </w:r>
      <w:r w:rsidR="00011538" w:rsidRPr="003B114E">
        <w:rPr>
          <w:rFonts w:ascii="Vladimir Script" w:hAnsi="Vladimir Script"/>
          <w:sz w:val="32"/>
          <w:szCs w:val="32"/>
          <w:u w:val="single"/>
        </w:rPr>
        <w:t>Kelly Horan Florio</w:t>
      </w:r>
      <w:r w:rsidR="004029C5">
        <w:rPr>
          <w:rFonts w:ascii="Times New Roman" w:hAnsi="Times New Roman"/>
          <w:sz w:val="24"/>
          <w:szCs w:val="24"/>
          <w:u w:val="single"/>
        </w:rPr>
        <w:t xml:space="preserve">  </w:t>
      </w:r>
      <w:r w:rsidRPr="004029C5">
        <w:rPr>
          <w:rFonts w:ascii="Times New Roman" w:hAnsi="Times New Roman"/>
          <w:sz w:val="24"/>
          <w:szCs w:val="24"/>
        </w:rPr>
        <w:t xml:space="preserve">              </w:t>
      </w:r>
    </w:p>
    <w:p w:rsidR="00B65F4F" w:rsidRPr="009460AE" w:rsidRDefault="00B65F4F" w:rsidP="00BD0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t>KELLY HORAN FLORIO</w:t>
      </w:r>
    </w:p>
    <w:p w:rsidR="00B65F4F" w:rsidRPr="009460AE" w:rsidRDefault="00B65F4F" w:rsidP="00BD0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t>Assistant United States Attorney</w:t>
      </w:r>
    </w:p>
    <w:p w:rsidR="00B65F4F" w:rsidRPr="009460AE" w:rsidRDefault="00B65F4F" w:rsidP="00BD0A1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ind w:firstLine="720"/>
        <w:rPr>
          <w:rFonts w:ascii="Times New Roman" w:hAnsi="Times New Roman"/>
          <w:sz w:val="24"/>
          <w:szCs w:val="24"/>
        </w:rPr>
      </w:pP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r>
      <w:r w:rsidRPr="009460AE">
        <w:rPr>
          <w:rFonts w:ascii="Times New Roman" w:hAnsi="Times New Roman"/>
          <w:sz w:val="24"/>
          <w:szCs w:val="24"/>
        </w:rPr>
        <w:tab/>
        <w:t>(718) 254-6007</w:t>
      </w:r>
    </w:p>
    <w:p w:rsidR="00B65F4F" w:rsidRPr="009460AE" w:rsidRDefault="00D470ED" w:rsidP="00BD0A1C">
      <w:pPr>
        <w:spacing w:after="0" w:line="240" w:lineRule="auto"/>
        <w:ind w:left="3600" w:firstLine="720"/>
        <w:rPr>
          <w:rFonts w:ascii="Times New Roman" w:hAnsi="Times New Roman"/>
          <w:sz w:val="24"/>
          <w:szCs w:val="24"/>
        </w:rPr>
      </w:pPr>
      <w:r w:rsidRPr="009460AE">
        <w:rPr>
          <w:rFonts w:ascii="Times New Roman" w:hAnsi="Times New Roman"/>
          <w:sz w:val="24"/>
          <w:szCs w:val="24"/>
        </w:rPr>
        <w:t>k</w:t>
      </w:r>
      <w:r w:rsidR="00B65F4F" w:rsidRPr="009460AE">
        <w:rPr>
          <w:rFonts w:ascii="Times New Roman" w:hAnsi="Times New Roman"/>
          <w:sz w:val="24"/>
          <w:szCs w:val="24"/>
        </w:rPr>
        <w:t>elly.horan@usdoj.gov</w:t>
      </w:r>
    </w:p>
    <w:p w:rsidR="00B65F4F" w:rsidRDefault="00B65F4F" w:rsidP="00903F65">
      <w:pPr>
        <w:pStyle w:val="ListParagraph"/>
        <w:tabs>
          <w:tab w:val="left" w:pos="0"/>
          <w:tab w:val="left" w:pos="720"/>
        </w:tabs>
        <w:spacing w:after="0" w:line="240" w:lineRule="auto"/>
        <w:ind w:left="0"/>
        <w:rPr>
          <w:rFonts w:ascii="Times New Roman" w:hAnsi="Times New Roman"/>
          <w:sz w:val="24"/>
          <w:szCs w:val="24"/>
        </w:rPr>
      </w:pPr>
    </w:p>
    <w:p w:rsidR="00204751" w:rsidRPr="009460AE" w:rsidRDefault="00204751" w:rsidP="00903F65">
      <w:pPr>
        <w:pStyle w:val="ListParagraph"/>
        <w:tabs>
          <w:tab w:val="left" w:pos="0"/>
          <w:tab w:val="left" w:pos="720"/>
        </w:tabs>
        <w:spacing w:after="0" w:line="240" w:lineRule="auto"/>
        <w:ind w:left="0"/>
        <w:rPr>
          <w:rFonts w:ascii="Times New Roman" w:hAnsi="Times New Roman"/>
          <w:sz w:val="24"/>
          <w:szCs w:val="24"/>
        </w:rPr>
      </w:pPr>
    </w:p>
    <w:sectPr w:rsidR="00204751" w:rsidRPr="009460AE" w:rsidSect="00CC12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B9" w:rsidRDefault="006A45B9" w:rsidP="0016706F">
      <w:pPr>
        <w:spacing w:after="0" w:line="240" w:lineRule="auto"/>
      </w:pPr>
      <w:r>
        <w:separator/>
      </w:r>
    </w:p>
  </w:endnote>
  <w:endnote w:type="continuationSeparator" w:id="0">
    <w:p w:rsidR="006A45B9" w:rsidRDefault="006A45B9" w:rsidP="00167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8C" w:rsidRDefault="00CA0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F8" w:rsidRPr="00CC1293" w:rsidRDefault="00926168">
    <w:pPr>
      <w:pStyle w:val="Footer"/>
      <w:jc w:val="center"/>
      <w:rPr>
        <w:rFonts w:ascii="Times New Roman" w:hAnsi="Times New Roman"/>
        <w:sz w:val="24"/>
        <w:szCs w:val="24"/>
      </w:rPr>
    </w:pPr>
    <w:r w:rsidRPr="00CC1293">
      <w:rPr>
        <w:rFonts w:ascii="Times New Roman" w:hAnsi="Times New Roman"/>
        <w:sz w:val="24"/>
        <w:szCs w:val="24"/>
      </w:rPr>
      <w:fldChar w:fldCharType="begin"/>
    </w:r>
    <w:r w:rsidR="002D02F8" w:rsidRPr="00CC1293">
      <w:rPr>
        <w:rFonts w:ascii="Times New Roman" w:hAnsi="Times New Roman"/>
        <w:sz w:val="24"/>
        <w:szCs w:val="24"/>
      </w:rPr>
      <w:instrText xml:space="preserve"> PAGE   \* MERGEFORMAT </w:instrText>
    </w:r>
    <w:r w:rsidRPr="00CC1293">
      <w:rPr>
        <w:rFonts w:ascii="Times New Roman" w:hAnsi="Times New Roman"/>
        <w:sz w:val="24"/>
        <w:szCs w:val="24"/>
      </w:rPr>
      <w:fldChar w:fldCharType="separate"/>
    </w:r>
    <w:r w:rsidR="00CA018C">
      <w:rPr>
        <w:rFonts w:ascii="Times New Roman" w:hAnsi="Times New Roman"/>
        <w:noProof/>
        <w:sz w:val="24"/>
        <w:szCs w:val="24"/>
      </w:rPr>
      <w:t>1</w:t>
    </w:r>
    <w:r w:rsidRPr="00CC1293">
      <w:rPr>
        <w:rFonts w:ascii="Times New Roman" w:hAnsi="Times New Roman"/>
        <w:noProof/>
        <w:sz w:val="24"/>
        <w:szCs w:val="24"/>
      </w:rPr>
      <w:fldChar w:fldCharType="end"/>
    </w:r>
  </w:p>
  <w:p w:rsidR="002D02F8" w:rsidRDefault="002D02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8C" w:rsidRDefault="00CA0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B9" w:rsidRDefault="006A45B9" w:rsidP="0016706F">
      <w:pPr>
        <w:spacing w:after="0" w:line="240" w:lineRule="auto"/>
      </w:pPr>
      <w:r>
        <w:separator/>
      </w:r>
    </w:p>
  </w:footnote>
  <w:footnote w:type="continuationSeparator" w:id="0">
    <w:p w:rsidR="006A45B9" w:rsidRDefault="006A45B9" w:rsidP="0016706F">
      <w:pPr>
        <w:spacing w:after="0" w:line="240" w:lineRule="auto"/>
      </w:pPr>
      <w:r>
        <w:continuationSeparator/>
      </w:r>
    </w:p>
  </w:footnote>
  <w:footnote w:id="1">
    <w:p w:rsidR="002D02F8" w:rsidRPr="006131F6" w:rsidRDefault="002D02F8" w:rsidP="004425BD">
      <w:pPr>
        <w:spacing w:line="240" w:lineRule="auto"/>
        <w:rPr>
          <w:rFonts w:ascii="Times New Roman" w:hAnsi="Times New Roman"/>
          <w:color w:val="000000"/>
        </w:rPr>
      </w:pPr>
      <w:r w:rsidRPr="006131F6">
        <w:rPr>
          <w:rStyle w:val="FootnoteReference"/>
          <w:rFonts w:ascii="Times New Roman" w:hAnsi="Times New Roman"/>
          <w:color w:val="000000"/>
          <w:sz w:val="24"/>
          <w:szCs w:val="24"/>
        </w:rPr>
        <w:footnoteRef/>
      </w:r>
      <w:r w:rsidRPr="006131F6">
        <w:rPr>
          <w:rFonts w:ascii="Times New Roman" w:hAnsi="Times New Roman"/>
          <w:color w:val="000000"/>
          <w:sz w:val="24"/>
          <w:szCs w:val="24"/>
        </w:rPr>
        <w:t xml:space="preserve"> </w:t>
      </w:r>
      <w:r w:rsidRPr="006131F6">
        <w:rPr>
          <w:rStyle w:val="FootnoteTextChar"/>
          <w:rFonts w:ascii="Times New Roman" w:hAnsi="Times New Roman"/>
        </w:rPr>
        <w:t>Under 28 U.S.C. § 517,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footnote>
  <w:footnote w:id="2">
    <w:p w:rsidR="002D02F8" w:rsidRPr="00F269E7" w:rsidRDefault="002D02F8" w:rsidP="00BB447A">
      <w:pPr>
        <w:pStyle w:val="FootnoteText"/>
        <w:spacing w:after="240"/>
        <w:rPr>
          <w:rFonts w:ascii="Times New Roman" w:hAnsi="Times New Roman"/>
          <w:i/>
          <w:sz w:val="24"/>
          <w:szCs w:val="24"/>
        </w:rPr>
      </w:pPr>
      <w:r w:rsidRPr="00F269E7">
        <w:rPr>
          <w:rStyle w:val="FootnoteReference"/>
          <w:rFonts w:ascii="Times New Roman" w:hAnsi="Times New Roman"/>
          <w:sz w:val="24"/>
          <w:szCs w:val="24"/>
        </w:rPr>
        <w:footnoteRef/>
      </w:r>
      <w:r w:rsidRPr="00F269E7">
        <w:rPr>
          <w:rFonts w:ascii="Times New Roman" w:hAnsi="Times New Roman"/>
          <w:sz w:val="24"/>
          <w:szCs w:val="24"/>
        </w:rPr>
        <w:t xml:space="preserve"> </w:t>
      </w:r>
      <w:r w:rsidRPr="00F269E7">
        <w:rPr>
          <w:rFonts w:ascii="Times New Roman" w:hAnsi="Times New Roman"/>
          <w:sz w:val="24"/>
          <w:szCs w:val="24"/>
          <w:u w:val="single"/>
        </w:rPr>
        <w:t>See</w:t>
      </w:r>
      <w:r w:rsidRPr="00F269E7">
        <w:rPr>
          <w:rFonts w:ascii="Times New Roman" w:hAnsi="Times New Roman"/>
          <w:i/>
          <w:sz w:val="24"/>
          <w:szCs w:val="24"/>
        </w:rPr>
        <w:t xml:space="preserve"> </w:t>
      </w:r>
      <w:r w:rsidRPr="00F269E7">
        <w:rPr>
          <w:rFonts w:ascii="Times New Roman" w:hAnsi="Times New Roman"/>
          <w:sz w:val="24"/>
          <w:szCs w:val="24"/>
          <w:u w:val="single"/>
        </w:rPr>
        <w:t>also</w:t>
      </w:r>
      <w:r w:rsidRPr="00F269E7">
        <w:rPr>
          <w:rFonts w:ascii="Times New Roman" w:hAnsi="Times New Roman"/>
          <w:i/>
          <w:sz w:val="24"/>
          <w:szCs w:val="24"/>
        </w:rPr>
        <w:t xml:space="preserve"> </w:t>
      </w:r>
      <w:r w:rsidRPr="00F269E7">
        <w:rPr>
          <w:rFonts w:ascii="Times New Roman" w:hAnsi="Times New Roman"/>
          <w:sz w:val="24"/>
          <w:szCs w:val="24"/>
        </w:rPr>
        <w:t xml:space="preserve">H.R. Rep. No. 101-485(II), at 106 (1990), </w:t>
      </w:r>
      <w:r w:rsidRPr="00F269E7">
        <w:rPr>
          <w:rFonts w:ascii="Times New Roman" w:hAnsi="Times New Roman"/>
          <w:sz w:val="24"/>
          <w:szCs w:val="24"/>
          <w:u w:val="single"/>
        </w:rPr>
        <w:t>as</w:t>
      </w:r>
      <w:r w:rsidRPr="00F269E7">
        <w:rPr>
          <w:rFonts w:ascii="Times New Roman" w:hAnsi="Times New Roman"/>
          <w:sz w:val="24"/>
          <w:szCs w:val="24"/>
        </w:rPr>
        <w:t xml:space="preserve"> </w:t>
      </w:r>
      <w:r w:rsidRPr="00F269E7">
        <w:rPr>
          <w:rFonts w:ascii="Times New Roman" w:hAnsi="Times New Roman"/>
          <w:sz w:val="24"/>
          <w:szCs w:val="24"/>
          <w:u w:val="single"/>
        </w:rPr>
        <w:t>reprinted</w:t>
      </w:r>
      <w:r w:rsidRPr="00F269E7">
        <w:rPr>
          <w:rFonts w:ascii="Times New Roman" w:hAnsi="Times New Roman"/>
          <w:sz w:val="24"/>
          <w:szCs w:val="24"/>
        </w:rPr>
        <w:t xml:space="preserve"> </w:t>
      </w:r>
      <w:r w:rsidRPr="00F269E7">
        <w:rPr>
          <w:rFonts w:ascii="Times New Roman" w:hAnsi="Times New Roman"/>
          <w:sz w:val="24"/>
          <w:szCs w:val="24"/>
          <w:u w:val="single"/>
        </w:rPr>
        <w:t>in</w:t>
      </w:r>
      <w:r w:rsidRPr="00F269E7">
        <w:rPr>
          <w:rFonts w:ascii="Times New Roman" w:hAnsi="Times New Roman"/>
          <w:i/>
          <w:sz w:val="24"/>
          <w:szCs w:val="24"/>
        </w:rPr>
        <w:t xml:space="preserve"> </w:t>
      </w:r>
      <w:r w:rsidRPr="00F269E7">
        <w:rPr>
          <w:rFonts w:ascii="Times New Roman" w:hAnsi="Times New Roman"/>
          <w:sz w:val="24"/>
          <w:szCs w:val="24"/>
        </w:rPr>
        <w:t>1990 U.S.C.C.A.N. 303, 389 (“Refusal to admit [a] dog . . . is tantamount to refusing to admit the person who is in need of the dog.”); 28 C.F.R. Pt. 36, app. C § 36.302 at 916 (July 1, 2014) (Congress intended that “individuals with disabilities are not separated from their service animals”).</w:t>
      </w:r>
    </w:p>
  </w:footnote>
  <w:footnote w:id="3">
    <w:p w:rsidR="002D02F8" w:rsidRPr="004425BD" w:rsidRDefault="002D02F8">
      <w:pPr>
        <w:pStyle w:val="FootnoteText"/>
        <w:rPr>
          <w:rFonts w:ascii="Times New Roman" w:hAnsi="Times New Roman"/>
          <w:sz w:val="24"/>
          <w:szCs w:val="24"/>
        </w:rPr>
      </w:pPr>
      <w:r>
        <w:rPr>
          <w:rStyle w:val="FootnoteReference"/>
        </w:rPr>
        <w:footnoteRef/>
      </w:r>
      <w:r>
        <w:t xml:space="preserve"> </w:t>
      </w:r>
      <w:r w:rsidRPr="004425BD">
        <w:rPr>
          <w:rFonts w:ascii="Times New Roman" w:hAnsi="Times New Roman"/>
          <w:sz w:val="24"/>
          <w:szCs w:val="24"/>
        </w:rPr>
        <w:t>Defendants here have not moved in the alternative for summary judgment and the United States will not address the summary judgment standard in this Statement of Interest.  If the Court chooses to consider the Exhibits attached to Defendants</w:t>
      </w:r>
      <w:r>
        <w:rPr>
          <w:rFonts w:ascii="Times New Roman" w:hAnsi="Times New Roman"/>
          <w:sz w:val="24"/>
          <w:szCs w:val="24"/>
        </w:rPr>
        <w:t>’</w:t>
      </w:r>
      <w:r w:rsidRPr="004425BD">
        <w:rPr>
          <w:rFonts w:ascii="Times New Roman" w:hAnsi="Times New Roman"/>
          <w:sz w:val="24"/>
          <w:szCs w:val="24"/>
        </w:rPr>
        <w:t xml:space="preserve"> motion to dismiss and convert the motion to one for summary judgment, “all parties must be given a reasonable opportunity to present all the material that is pertinent to the motion.”  Federal Rule of Civil Procedure 12(d). </w:t>
      </w:r>
    </w:p>
  </w:footnote>
  <w:footnote w:id="4">
    <w:p w:rsidR="002D02F8" w:rsidRPr="004425BD" w:rsidRDefault="002D02F8">
      <w:pPr>
        <w:pStyle w:val="FootnoteText"/>
        <w:rPr>
          <w:rFonts w:ascii="Times New Roman" w:hAnsi="Times New Roman"/>
          <w:sz w:val="24"/>
          <w:szCs w:val="24"/>
        </w:rPr>
      </w:pPr>
      <w:r>
        <w:rPr>
          <w:rStyle w:val="FootnoteReference"/>
        </w:rPr>
        <w:footnoteRef/>
      </w:r>
      <w:r>
        <w:t xml:space="preserve"> </w:t>
      </w:r>
      <w:r w:rsidRPr="004425BD">
        <w:rPr>
          <w:rFonts w:ascii="Times New Roman" w:hAnsi="Times New Roman"/>
          <w:sz w:val="24"/>
          <w:szCs w:val="24"/>
        </w:rPr>
        <w:t xml:space="preserve">In their Reply Memorandum of Law in Support of Defendants’ Motion to Dismiss (“Defendants’ Reply Brief”), Defendants dispute whether Child’s service animal meets the ADA regulation’s definition of “service animal.”  </w:t>
      </w:r>
      <w:r w:rsidRPr="004425BD">
        <w:rPr>
          <w:rFonts w:ascii="Times New Roman" w:hAnsi="Times New Roman"/>
          <w:sz w:val="24"/>
          <w:szCs w:val="24"/>
          <w:u w:val="single"/>
        </w:rPr>
        <w:t>See</w:t>
      </w:r>
      <w:r w:rsidRPr="004425BD">
        <w:rPr>
          <w:rFonts w:ascii="Times New Roman" w:hAnsi="Times New Roman"/>
          <w:sz w:val="24"/>
          <w:szCs w:val="24"/>
        </w:rPr>
        <w:t xml:space="preserve"> Defendant’s Reply Brief at pp. 2-4; see also 28 C.F.R. § 35.104 (“[</w:t>
      </w:r>
      <w:r w:rsidRPr="004425BD">
        <w:rPr>
          <w:rFonts w:ascii="Times New Roman" w:hAnsi="Times New Roman"/>
          <w:sz w:val="24"/>
          <w:szCs w:val="24"/>
          <w:u w:val="single"/>
        </w:rPr>
        <w:t>s]ervice animal</w:t>
      </w:r>
      <w:r w:rsidRPr="004425BD">
        <w:rPr>
          <w:rFonts w:ascii="Times New Roman" w:hAnsi="Times New Roman"/>
          <w:sz w:val="24"/>
          <w:szCs w:val="24"/>
        </w:rPr>
        <w:t xml:space="preserve"> means any dog that is individually trained to do work or perform tasks for the benefit of an individual with a disability . . .” ) (emphasis in original).  This argument </w:t>
      </w:r>
      <w:r>
        <w:rPr>
          <w:rFonts w:ascii="Times New Roman" w:hAnsi="Times New Roman"/>
          <w:sz w:val="24"/>
          <w:szCs w:val="24"/>
        </w:rPr>
        <w:t xml:space="preserve">at most </w:t>
      </w:r>
      <w:r w:rsidRPr="004425BD">
        <w:rPr>
          <w:rFonts w:ascii="Times New Roman" w:hAnsi="Times New Roman"/>
          <w:sz w:val="24"/>
          <w:szCs w:val="24"/>
        </w:rPr>
        <w:t>creates a</w:t>
      </w:r>
      <w:r>
        <w:rPr>
          <w:rFonts w:ascii="Times New Roman" w:hAnsi="Times New Roman"/>
          <w:sz w:val="24"/>
          <w:szCs w:val="24"/>
        </w:rPr>
        <w:t xml:space="preserve">n issue </w:t>
      </w:r>
      <w:r w:rsidRPr="004425BD">
        <w:rPr>
          <w:rFonts w:ascii="Times New Roman" w:hAnsi="Times New Roman"/>
          <w:sz w:val="24"/>
          <w:szCs w:val="24"/>
        </w:rPr>
        <w:t xml:space="preserve">of fact that </w:t>
      </w:r>
      <w:r>
        <w:rPr>
          <w:rFonts w:ascii="Times New Roman" w:hAnsi="Times New Roman"/>
          <w:sz w:val="24"/>
          <w:szCs w:val="24"/>
        </w:rPr>
        <w:t xml:space="preserve">requires </w:t>
      </w:r>
      <w:r w:rsidRPr="004425BD">
        <w:rPr>
          <w:rFonts w:ascii="Times New Roman" w:hAnsi="Times New Roman"/>
          <w:sz w:val="24"/>
          <w:szCs w:val="24"/>
        </w:rPr>
        <w:t>discovery</w:t>
      </w:r>
      <w:r>
        <w:rPr>
          <w:rFonts w:ascii="Times New Roman" w:hAnsi="Times New Roman"/>
          <w:sz w:val="24"/>
          <w:szCs w:val="24"/>
        </w:rPr>
        <w:t xml:space="preserve">.  </w:t>
      </w:r>
      <w:r w:rsidRPr="004425BD">
        <w:rPr>
          <w:rFonts w:ascii="Times New Roman" w:hAnsi="Times New Roman"/>
          <w:sz w:val="24"/>
          <w:szCs w:val="24"/>
        </w:rPr>
        <w:t>Plaintiffs</w:t>
      </w:r>
      <w:r>
        <w:rPr>
          <w:rFonts w:ascii="Times New Roman" w:hAnsi="Times New Roman"/>
          <w:sz w:val="24"/>
          <w:szCs w:val="24"/>
        </w:rPr>
        <w:t xml:space="preserve"> contradict </w:t>
      </w:r>
      <w:r w:rsidR="005247FB">
        <w:rPr>
          <w:rFonts w:ascii="Times New Roman" w:hAnsi="Times New Roman"/>
          <w:sz w:val="24"/>
          <w:szCs w:val="24"/>
        </w:rPr>
        <w:t xml:space="preserve">Defendants’ </w:t>
      </w:r>
      <w:r>
        <w:rPr>
          <w:rFonts w:ascii="Times New Roman" w:hAnsi="Times New Roman"/>
          <w:sz w:val="24"/>
          <w:szCs w:val="24"/>
        </w:rPr>
        <w:t xml:space="preserve">assertion in their </w:t>
      </w:r>
      <w:r w:rsidRPr="004425BD">
        <w:rPr>
          <w:rFonts w:ascii="Times New Roman" w:hAnsi="Times New Roman"/>
          <w:sz w:val="24"/>
          <w:szCs w:val="24"/>
        </w:rPr>
        <w:t>Complaint</w:t>
      </w:r>
      <w:r>
        <w:rPr>
          <w:rFonts w:ascii="Times New Roman" w:hAnsi="Times New Roman"/>
          <w:sz w:val="24"/>
          <w:szCs w:val="24"/>
        </w:rPr>
        <w:t>, stating</w:t>
      </w:r>
      <w:r w:rsidRPr="004425BD">
        <w:rPr>
          <w:rFonts w:ascii="Times New Roman" w:hAnsi="Times New Roman"/>
          <w:sz w:val="24"/>
          <w:szCs w:val="24"/>
        </w:rPr>
        <w:t xml:space="preserve"> that the service animal was individually trained to perform myriad tasks to assist Child.  </w:t>
      </w:r>
      <w:r w:rsidRPr="004425BD">
        <w:rPr>
          <w:rFonts w:ascii="Times New Roman" w:hAnsi="Times New Roman"/>
          <w:sz w:val="24"/>
          <w:szCs w:val="24"/>
          <w:u w:val="single"/>
        </w:rPr>
        <w:t>See</w:t>
      </w:r>
      <w:r w:rsidRPr="004425BD">
        <w:rPr>
          <w:rFonts w:ascii="Times New Roman" w:hAnsi="Times New Roman"/>
          <w:sz w:val="24"/>
          <w:szCs w:val="24"/>
        </w:rPr>
        <w:t xml:space="preserve"> </w:t>
      </w:r>
      <w:r w:rsidRPr="004425BD">
        <w:rPr>
          <w:rFonts w:ascii="Times New Roman" w:hAnsi="Times New Roman"/>
          <w:sz w:val="24"/>
          <w:szCs w:val="24"/>
          <w:u w:val="single"/>
        </w:rPr>
        <w:t>e.g.</w:t>
      </w:r>
      <w:r w:rsidRPr="004425BD">
        <w:rPr>
          <w:rFonts w:ascii="Times New Roman" w:hAnsi="Times New Roman"/>
          <w:sz w:val="24"/>
          <w:szCs w:val="24"/>
        </w:rPr>
        <w:t xml:space="preserve">, Complaint at ¶¶ 31-53.   </w:t>
      </w:r>
    </w:p>
  </w:footnote>
  <w:footnote w:id="5">
    <w:p w:rsidR="002D02F8" w:rsidRPr="003B114E" w:rsidRDefault="002D02F8" w:rsidP="00EA2A8B">
      <w:pPr>
        <w:pStyle w:val="FootnoteText"/>
        <w:rPr>
          <w:rFonts w:ascii="Times New Roman" w:hAnsi="Times New Roman"/>
          <w:sz w:val="24"/>
          <w:szCs w:val="24"/>
        </w:rPr>
      </w:pPr>
      <w:r w:rsidRPr="003B114E">
        <w:rPr>
          <w:rStyle w:val="FootnoteReference"/>
          <w:rFonts w:ascii="Times New Roman" w:hAnsi="Times New Roman"/>
          <w:sz w:val="24"/>
          <w:szCs w:val="24"/>
        </w:rPr>
        <w:footnoteRef/>
      </w:r>
      <w:r w:rsidRPr="003B114E">
        <w:rPr>
          <w:rFonts w:ascii="Times New Roman" w:hAnsi="Times New Roman"/>
          <w:sz w:val="24"/>
          <w:szCs w:val="24"/>
        </w:rPr>
        <w:t xml:space="preserve">  Of note, Defendants have not </w:t>
      </w:r>
      <w:r>
        <w:rPr>
          <w:rFonts w:ascii="Times New Roman" w:hAnsi="Times New Roman"/>
          <w:sz w:val="24"/>
          <w:szCs w:val="24"/>
        </w:rPr>
        <w:t>argued</w:t>
      </w:r>
      <w:r w:rsidRPr="003B114E">
        <w:rPr>
          <w:rFonts w:ascii="Times New Roman" w:hAnsi="Times New Roman"/>
          <w:sz w:val="24"/>
          <w:szCs w:val="24"/>
        </w:rPr>
        <w:t xml:space="preserve"> that permitting the service </w:t>
      </w:r>
      <w:r>
        <w:rPr>
          <w:rFonts w:ascii="Times New Roman" w:hAnsi="Times New Roman"/>
          <w:sz w:val="24"/>
          <w:szCs w:val="24"/>
        </w:rPr>
        <w:t>animal</w:t>
      </w:r>
      <w:r w:rsidRPr="003B114E">
        <w:rPr>
          <w:rFonts w:ascii="Times New Roman" w:hAnsi="Times New Roman"/>
          <w:sz w:val="24"/>
          <w:szCs w:val="24"/>
        </w:rPr>
        <w:t xml:space="preserve"> at school and school-related functions would require a fundamental alteration to the nature of the service, program, or activity.</w:t>
      </w:r>
      <w:r>
        <w:rPr>
          <w:rFonts w:ascii="Times New Roman" w:hAnsi="Times New Roman"/>
          <w:sz w:val="24"/>
          <w:szCs w:val="24"/>
        </w:rPr>
        <w:t xml:space="preserve">  </w:t>
      </w:r>
    </w:p>
  </w:footnote>
  <w:footnote w:id="6">
    <w:p w:rsidR="002D02F8" w:rsidRPr="00E87548" w:rsidRDefault="002D02F8" w:rsidP="00D669B6">
      <w:pPr>
        <w:pStyle w:val="FootnoteText"/>
        <w:rPr>
          <w:rFonts w:ascii="Times New Roman" w:hAnsi="Times New Roman"/>
          <w:sz w:val="24"/>
          <w:szCs w:val="24"/>
          <w:u w:val="single"/>
        </w:rPr>
      </w:pPr>
      <w:r>
        <w:rPr>
          <w:rStyle w:val="FootnoteReference"/>
        </w:rPr>
        <w:footnoteRef/>
      </w:r>
      <w:r>
        <w:t xml:space="preserve">  </w:t>
      </w:r>
      <w:r>
        <w:rPr>
          <w:rFonts w:ascii="Times New Roman" w:hAnsi="Times New Roman"/>
          <w:sz w:val="24"/>
          <w:szCs w:val="24"/>
        </w:rPr>
        <w:t xml:space="preserve">In a matter similarly involving a student’s request to use a service animal at school, the United States found that a school district violated </w:t>
      </w:r>
      <w:r w:rsidR="003D0586">
        <w:rPr>
          <w:rFonts w:ascii="Times New Roman" w:hAnsi="Times New Roman"/>
          <w:sz w:val="24"/>
          <w:szCs w:val="24"/>
        </w:rPr>
        <w:t>T</w:t>
      </w:r>
      <w:r>
        <w:rPr>
          <w:rFonts w:ascii="Times New Roman" w:hAnsi="Times New Roman"/>
          <w:sz w:val="24"/>
          <w:szCs w:val="24"/>
        </w:rPr>
        <w:t xml:space="preserve">itle II when it refused to permit school staff to provide some assistance to a student with a disability in handling her service animal.  </w:t>
      </w:r>
      <w:r w:rsidRPr="00E87548">
        <w:rPr>
          <w:rFonts w:ascii="Times New Roman" w:hAnsi="Times New Roman"/>
          <w:sz w:val="24"/>
          <w:szCs w:val="24"/>
          <w:u w:val="single"/>
        </w:rPr>
        <w:t>See</w:t>
      </w:r>
      <w:r>
        <w:rPr>
          <w:rFonts w:ascii="Times New Roman" w:hAnsi="Times New Roman"/>
          <w:sz w:val="24"/>
          <w:szCs w:val="24"/>
        </w:rPr>
        <w:t xml:space="preserve"> </w:t>
      </w:r>
      <w:r w:rsidRPr="00E87548">
        <w:rPr>
          <w:rFonts w:ascii="Times New Roman" w:hAnsi="Times New Roman"/>
          <w:sz w:val="24"/>
          <w:szCs w:val="24"/>
        </w:rPr>
        <w:t>www.ada.gov/briefs/gates-chili_lof.pdf  (last visited on December 21, 2015)</w:t>
      </w:r>
      <w:r>
        <w:rPr>
          <w:rFonts w:ascii="Times New Roman" w:hAnsi="Times New Roman"/>
          <w:sz w:val="24"/>
          <w:szCs w:val="24"/>
        </w:rPr>
        <w:t xml:space="preserve">.  </w:t>
      </w:r>
      <w:r w:rsidRPr="00E87548">
        <w:rPr>
          <w:rFonts w:ascii="Times New Roman" w:hAnsi="Times New Roman"/>
          <w:sz w:val="24"/>
          <w:szCs w:val="24"/>
        </w:rPr>
        <w:t xml:space="preserve">In that matter, the student was accompanied throughout the day by a 1:1 aide and a nurse, and the student’s parent requested that the aide or other school staff assist the student in handling her service animal by tethering and untethering the dog when needed and by voicing some commands for the student.  The United States found that the parent’s request was reasonable and that the school district’s refusal to provide the requested assistance – its refusal to reasonably modify its strict “hands off” policy with respect to the student’s service animal – constitutes discrimination under Title II. </w:t>
      </w:r>
      <w:r>
        <w:rPr>
          <w:rFonts w:ascii="Times New Roman" w:hAnsi="Times New Roman"/>
          <w:sz w:val="24"/>
          <w:szCs w:val="24"/>
        </w:rPr>
        <w:t xml:space="preserve"> </w:t>
      </w:r>
      <w:r w:rsidRPr="00E87548">
        <w:rPr>
          <w:rFonts w:ascii="Times New Roman" w:hAnsi="Times New Roman"/>
          <w:sz w:val="24"/>
          <w:szCs w:val="24"/>
          <w:u w:val="single"/>
        </w:rPr>
        <w:t>See</w:t>
      </w:r>
      <w:r>
        <w:rPr>
          <w:rFonts w:ascii="Times New Roman" w:hAnsi="Times New Roman"/>
          <w:sz w:val="24"/>
          <w:szCs w:val="24"/>
        </w:rPr>
        <w:t xml:space="preserve"> </w:t>
      </w:r>
      <w:r w:rsidRPr="00E87548">
        <w:rPr>
          <w:rFonts w:ascii="Times New Roman" w:hAnsi="Times New Roman"/>
          <w:sz w:val="24"/>
          <w:szCs w:val="24"/>
        </w:rPr>
        <w:t xml:space="preserve">www.ada.gov/briefs/gates-chili_lof.pdf </w:t>
      </w:r>
      <w:r w:rsidRPr="00E87548">
        <w:rPr>
          <w:rFonts w:ascii="Times New Roman" w:hAnsi="Times New Roman"/>
          <w:caps/>
          <w:sz w:val="24"/>
          <w:szCs w:val="24"/>
        </w:rPr>
        <w:t>.</w:t>
      </w:r>
    </w:p>
  </w:footnote>
  <w:footnote w:id="7">
    <w:p w:rsidR="002D02F8" w:rsidRDefault="002D02F8" w:rsidP="00A16F41">
      <w:pPr>
        <w:pStyle w:val="FootnoteText"/>
      </w:pPr>
      <w:r>
        <w:rPr>
          <w:rStyle w:val="FootnoteReference"/>
        </w:rPr>
        <w:footnoteRef/>
      </w:r>
      <w:r>
        <w:t xml:space="preserve"> </w:t>
      </w:r>
      <w:r>
        <w:rPr>
          <w:rFonts w:ascii="Times New Roman" w:hAnsi="Times New Roman"/>
          <w:sz w:val="24"/>
          <w:szCs w:val="24"/>
        </w:rPr>
        <w:t xml:space="preserve">At </w:t>
      </w:r>
      <w:r w:rsidRPr="00F90490">
        <w:rPr>
          <w:rFonts w:ascii="Times New Roman" w:hAnsi="Times New Roman"/>
          <w:sz w:val="24"/>
          <w:szCs w:val="24"/>
        </w:rPr>
        <w:t>Point I</w:t>
      </w:r>
      <w:r w:rsidR="00B14664">
        <w:rPr>
          <w:rFonts w:ascii="Times New Roman" w:hAnsi="Times New Roman"/>
          <w:sz w:val="24"/>
          <w:szCs w:val="24"/>
        </w:rPr>
        <w:t>II</w:t>
      </w:r>
      <w:r w:rsidRPr="00F90490">
        <w:rPr>
          <w:rFonts w:ascii="Times New Roman" w:hAnsi="Times New Roman"/>
          <w:sz w:val="24"/>
          <w:szCs w:val="24"/>
        </w:rPr>
        <w:t>,</w:t>
      </w:r>
      <w:r>
        <w:rPr>
          <w:rFonts w:ascii="Times New Roman" w:hAnsi="Times New Roman"/>
          <w:sz w:val="24"/>
          <w:szCs w:val="24"/>
        </w:rPr>
        <w:t xml:space="preserve"> </w:t>
      </w:r>
      <w:r w:rsidRPr="00F90490">
        <w:rPr>
          <w:rFonts w:ascii="Times New Roman" w:hAnsi="Times New Roman"/>
          <w:sz w:val="24"/>
          <w:szCs w:val="24"/>
          <w:u w:val="single"/>
        </w:rPr>
        <w:t>infra</w:t>
      </w:r>
      <w:r>
        <w:rPr>
          <w:rFonts w:ascii="Times New Roman" w:hAnsi="Times New Roman"/>
          <w:sz w:val="24"/>
          <w:szCs w:val="24"/>
        </w:rPr>
        <w:t xml:space="preserve">, the United States addresses Defendants’ argument that Plaintiffs failed to properly exhaust under this provision. </w:t>
      </w:r>
    </w:p>
  </w:footnote>
  <w:footnote w:id="8">
    <w:p w:rsidR="002D02F8" w:rsidRDefault="002D02F8">
      <w:pPr>
        <w:pStyle w:val="FootnoteText"/>
      </w:pPr>
      <w:r>
        <w:rPr>
          <w:rStyle w:val="FootnoteReference"/>
        </w:rPr>
        <w:footnoteRef/>
      </w:r>
      <w:r w:rsidRPr="009460AE" w:rsidDel="00132E87">
        <w:rPr>
          <w:rFonts w:ascii="Times New Roman" w:hAnsi="Times New Roman"/>
          <w:sz w:val="24"/>
          <w:szCs w:val="24"/>
        </w:rPr>
        <w:t xml:space="preserve">A central element of </w:t>
      </w:r>
      <w:r>
        <w:rPr>
          <w:rFonts w:ascii="Times New Roman" w:hAnsi="Times New Roman"/>
          <w:sz w:val="24"/>
          <w:szCs w:val="24"/>
        </w:rPr>
        <w:t xml:space="preserve">the </w:t>
      </w:r>
      <w:r w:rsidRPr="009460AE" w:rsidDel="00132E87">
        <w:rPr>
          <w:rFonts w:ascii="Times New Roman" w:hAnsi="Times New Roman"/>
          <w:sz w:val="24"/>
          <w:szCs w:val="24"/>
        </w:rPr>
        <w:t xml:space="preserve">IDEA, and the means to provide a FAPE, is the development </w:t>
      </w:r>
      <w:r w:rsidRPr="009460AE">
        <w:rPr>
          <w:rFonts w:ascii="Times New Roman" w:hAnsi="Times New Roman"/>
          <w:sz w:val="24"/>
          <w:szCs w:val="24"/>
        </w:rPr>
        <w:t xml:space="preserve">and implementation </w:t>
      </w:r>
      <w:r w:rsidRPr="009460AE" w:rsidDel="00132E87">
        <w:rPr>
          <w:rFonts w:ascii="Times New Roman" w:hAnsi="Times New Roman"/>
          <w:sz w:val="24"/>
          <w:szCs w:val="24"/>
        </w:rPr>
        <w:t xml:space="preserve">of an </w:t>
      </w:r>
      <w:r w:rsidRPr="009460AE">
        <w:rPr>
          <w:rFonts w:ascii="Times New Roman" w:hAnsi="Times New Roman"/>
          <w:sz w:val="24"/>
          <w:szCs w:val="24"/>
        </w:rPr>
        <w:t>I</w:t>
      </w:r>
      <w:r w:rsidRPr="009460AE" w:rsidDel="00132E87">
        <w:rPr>
          <w:rFonts w:ascii="Times New Roman" w:hAnsi="Times New Roman"/>
          <w:sz w:val="24"/>
          <w:szCs w:val="24"/>
        </w:rPr>
        <w:t xml:space="preserve">ndividualized </w:t>
      </w:r>
      <w:r w:rsidRPr="009460AE">
        <w:rPr>
          <w:rFonts w:ascii="Times New Roman" w:hAnsi="Times New Roman"/>
          <w:sz w:val="24"/>
          <w:szCs w:val="24"/>
        </w:rPr>
        <w:t>E</w:t>
      </w:r>
      <w:r w:rsidRPr="009460AE" w:rsidDel="00132E87">
        <w:rPr>
          <w:rFonts w:ascii="Times New Roman" w:hAnsi="Times New Roman"/>
          <w:sz w:val="24"/>
          <w:szCs w:val="24"/>
        </w:rPr>
        <w:t xml:space="preserve">ducation </w:t>
      </w:r>
      <w:r w:rsidRPr="009460AE">
        <w:rPr>
          <w:rFonts w:ascii="Times New Roman" w:hAnsi="Times New Roman"/>
          <w:sz w:val="24"/>
          <w:szCs w:val="24"/>
        </w:rPr>
        <w:t>P</w:t>
      </w:r>
      <w:r w:rsidRPr="009460AE" w:rsidDel="00132E87">
        <w:rPr>
          <w:rFonts w:ascii="Times New Roman" w:hAnsi="Times New Roman"/>
          <w:sz w:val="24"/>
          <w:szCs w:val="24"/>
        </w:rPr>
        <w:t>rogram (</w:t>
      </w:r>
      <w:r w:rsidRPr="009460AE">
        <w:rPr>
          <w:rFonts w:ascii="Times New Roman" w:hAnsi="Times New Roman"/>
          <w:sz w:val="24"/>
          <w:szCs w:val="24"/>
        </w:rPr>
        <w:t>“</w:t>
      </w:r>
      <w:r w:rsidRPr="009460AE" w:rsidDel="00132E87">
        <w:rPr>
          <w:rFonts w:ascii="Times New Roman" w:hAnsi="Times New Roman"/>
          <w:sz w:val="24"/>
          <w:szCs w:val="24"/>
        </w:rPr>
        <w:t>IEP</w:t>
      </w:r>
      <w:r w:rsidRPr="009460AE">
        <w:rPr>
          <w:rFonts w:ascii="Times New Roman" w:hAnsi="Times New Roman"/>
          <w:sz w:val="24"/>
          <w:szCs w:val="24"/>
        </w:rPr>
        <w:t>”</w:t>
      </w:r>
      <w:r w:rsidRPr="009460AE" w:rsidDel="00132E87">
        <w:rPr>
          <w:rFonts w:ascii="Times New Roman" w:hAnsi="Times New Roman"/>
          <w:sz w:val="24"/>
          <w:szCs w:val="24"/>
        </w:rPr>
        <w:t xml:space="preserve">) for each </w:t>
      </w:r>
      <w:r w:rsidRPr="009460AE">
        <w:rPr>
          <w:rFonts w:ascii="Times New Roman" w:hAnsi="Times New Roman"/>
          <w:sz w:val="24"/>
          <w:szCs w:val="24"/>
        </w:rPr>
        <w:t xml:space="preserve">eligible </w:t>
      </w:r>
      <w:r w:rsidRPr="009460AE" w:rsidDel="00132E87">
        <w:rPr>
          <w:rFonts w:ascii="Times New Roman" w:hAnsi="Times New Roman"/>
          <w:sz w:val="24"/>
          <w:szCs w:val="24"/>
        </w:rPr>
        <w:t xml:space="preserve">child with a disability. </w:t>
      </w:r>
      <w:r w:rsidRPr="009460AE">
        <w:rPr>
          <w:rFonts w:ascii="Times New Roman" w:hAnsi="Times New Roman"/>
          <w:sz w:val="24"/>
          <w:szCs w:val="24"/>
        </w:rPr>
        <w:t xml:space="preserve"> </w:t>
      </w:r>
      <w:r w:rsidRPr="009460AE">
        <w:rPr>
          <w:rFonts w:ascii="Times New Roman" w:hAnsi="Times New Roman"/>
          <w:sz w:val="24"/>
          <w:szCs w:val="24"/>
          <w:u w:val="single"/>
        </w:rPr>
        <w:t>See</w:t>
      </w:r>
      <w:r w:rsidRPr="009460AE">
        <w:rPr>
          <w:rFonts w:ascii="Times New Roman" w:hAnsi="Times New Roman"/>
          <w:sz w:val="24"/>
          <w:szCs w:val="24"/>
        </w:rPr>
        <w:t xml:space="preserve"> </w:t>
      </w:r>
      <w:r w:rsidRPr="009460AE" w:rsidDel="00132E87">
        <w:rPr>
          <w:rFonts w:ascii="Times New Roman" w:hAnsi="Times New Roman"/>
          <w:sz w:val="24"/>
          <w:szCs w:val="24"/>
        </w:rPr>
        <w:t xml:space="preserve">20 U.S.C. § 1414(d)(1)(A).  </w:t>
      </w:r>
      <w:r w:rsidRPr="009460AE">
        <w:rPr>
          <w:rFonts w:ascii="Times New Roman" w:hAnsi="Times New Roman"/>
          <w:sz w:val="24"/>
          <w:szCs w:val="24"/>
        </w:rPr>
        <w:t xml:space="preserve">The IEP must identify, among other things, the special education and related services that will address that child’s unique needs, including the child’s education and participation with children who do not have disabilities in the general education curriculum as well as in extracurricular and other nonacademic activities; the child’s present levels of academic achievement and functional performance; measurable annual goals; descriptions of progress measures and periodic reporting; and the child’s participation in regular or alternate State and districtwide assessments.  20 U.S.C. § 1414(d)(1)(A)(i).  </w:t>
      </w:r>
      <w:r>
        <w:t xml:space="preserve"> </w:t>
      </w:r>
    </w:p>
  </w:footnote>
  <w:footnote w:id="9">
    <w:p w:rsidR="002D02F8" w:rsidRDefault="002D02F8" w:rsidP="009869EF">
      <w:pPr>
        <w:pStyle w:val="FootnoteText"/>
        <w:rPr>
          <w:rFonts w:ascii="Times New Roman" w:hAnsi="Times New Roman"/>
          <w:sz w:val="24"/>
          <w:szCs w:val="24"/>
        </w:rPr>
      </w:pPr>
      <w:r w:rsidRPr="00EA5EF6">
        <w:rPr>
          <w:rStyle w:val="FootnoteReference"/>
          <w:rFonts w:ascii="Times New Roman" w:hAnsi="Times New Roman"/>
          <w:sz w:val="24"/>
          <w:szCs w:val="24"/>
        </w:rPr>
        <w:footnoteRef/>
      </w:r>
      <w:r w:rsidRPr="00EA5EF6">
        <w:rPr>
          <w:rFonts w:ascii="Times New Roman" w:hAnsi="Times New Roman"/>
          <w:sz w:val="24"/>
          <w:szCs w:val="24"/>
        </w:rPr>
        <w:t xml:space="preserve"> Defendants </w:t>
      </w:r>
      <w:r>
        <w:rPr>
          <w:rFonts w:ascii="Times New Roman" w:hAnsi="Times New Roman"/>
          <w:sz w:val="24"/>
          <w:szCs w:val="24"/>
        </w:rPr>
        <w:t xml:space="preserve">argue, as did the defendant school district in </w:t>
      </w:r>
      <w:r w:rsidRPr="00EA5EF6">
        <w:rPr>
          <w:rFonts w:ascii="Times New Roman" w:hAnsi="Times New Roman"/>
          <w:sz w:val="24"/>
          <w:szCs w:val="24"/>
          <w:u w:val="single"/>
        </w:rPr>
        <w:t>Tustin</w:t>
      </w:r>
      <w:r w:rsidRPr="00EA5EF6">
        <w:rPr>
          <w:rFonts w:ascii="Times New Roman" w:hAnsi="Times New Roman"/>
          <w:sz w:val="24"/>
          <w:szCs w:val="24"/>
        </w:rPr>
        <w:t xml:space="preserve">, </w:t>
      </w:r>
      <w:r w:rsidRPr="005A14BF">
        <w:rPr>
          <w:rFonts w:ascii="Times New Roman" w:hAnsi="Times New Roman"/>
          <w:sz w:val="24"/>
          <w:szCs w:val="24"/>
        </w:rPr>
        <w:t xml:space="preserve">that providing FAPE to Child under the IDEA precludes the possibility that a school district could discriminate against Child on the basis of his disability under </w:t>
      </w:r>
      <w:r>
        <w:rPr>
          <w:rFonts w:ascii="Times New Roman" w:hAnsi="Times New Roman"/>
          <w:sz w:val="24"/>
          <w:szCs w:val="24"/>
        </w:rPr>
        <w:t xml:space="preserve">Title II of </w:t>
      </w:r>
      <w:r w:rsidRPr="005A14BF">
        <w:rPr>
          <w:rFonts w:ascii="Times New Roman" w:hAnsi="Times New Roman"/>
          <w:sz w:val="24"/>
          <w:szCs w:val="24"/>
        </w:rPr>
        <w:t xml:space="preserve">the ADA. </w:t>
      </w:r>
      <w:r>
        <w:rPr>
          <w:rFonts w:ascii="Times New Roman" w:hAnsi="Times New Roman"/>
          <w:sz w:val="24"/>
          <w:szCs w:val="24"/>
        </w:rPr>
        <w:t xml:space="preserve"> Defendants rely upon</w:t>
      </w:r>
      <w:r w:rsidRPr="00EA5EF6">
        <w:rPr>
          <w:rFonts w:ascii="Times New Roman" w:hAnsi="Times New Roman"/>
          <w:sz w:val="24"/>
          <w:szCs w:val="24"/>
        </w:rPr>
        <w:t xml:space="preserve"> </w:t>
      </w:r>
      <w:r w:rsidRPr="005A14BF">
        <w:rPr>
          <w:rFonts w:ascii="Times New Roman" w:hAnsi="Times New Roman"/>
          <w:sz w:val="24"/>
          <w:szCs w:val="24"/>
          <w:u w:val="single"/>
        </w:rPr>
        <w:t>Dzugas-Smith v. Southhold School District</w:t>
      </w:r>
      <w:r w:rsidRPr="005A14BF">
        <w:rPr>
          <w:rFonts w:ascii="Times New Roman" w:hAnsi="Times New Roman"/>
          <w:sz w:val="24"/>
          <w:szCs w:val="24"/>
        </w:rPr>
        <w:t xml:space="preserve">, </w:t>
      </w:r>
      <w:r>
        <w:rPr>
          <w:rFonts w:ascii="Times New Roman" w:hAnsi="Times New Roman"/>
          <w:sz w:val="24"/>
          <w:szCs w:val="24"/>
        </w:rPr>
        <w:t xml:space="preserve">CV-08-1319, </w:t>
      </w:r>
      <w:r w:rsidRPr="005A14BF">
        <w:rPr>
          <w:rFonts w:ascii="Times New Roman" w:hAnsi="Times New Roman"/>
          <w:sz w:val="24"/>
          <w:szCs w:val="24"/>
        </w:rPr>
        <w:t>2012 U.S. Dist. LEXIS 70773 (May 9, 2012)</w:t>
      </w:r>
      <w:r>
        <w:rPr>
          <w:rFonts w:ascii="Times New Roman" w:hAnsi="Times New Roman"/>
          <w:sz w:val="24"/>
          <w:szCs w:val="24"/>
        </w:rPr>
        <w:t xml:space="preserve"> </w:t>
      </w:r>
      <w:r w:rsidRPr="005A14BF">
        <w:rPr>
          <w:rFonts w:ascii="Times New Roman" w:hAnsi="Times New Roman"/>
          <w:sz w:val="24"/>
          <w:szCs w:val="24"/>
        </w:rPr>
        <w:t>(Feuerstein, J.) to support th</w:t>
      </w:r>
      <w:r>
        <w:rPr>
          <w:rFonts w:ascii="Times New Roman" w:hAnsi="Times New Roman"/>
          <w:sz w:val="24"/>
          <w:szCs w:val="24"/>
        </w:rPr>
        <w:t>at</w:t>
      </w:r>
      <w:r w:rsidRPr="005A14BF">
        <w:rPr>
          <w:rFonts w:ascii="Times New Roman" w:hAnsi="Times New Roman"/>
          <w:sz w:val="24"/>
          <w:szCs w:val="24"/>
        </w:rPr>
        <w:t xml:space="preserve"> proposition</w:t>
      </w:r>
      <w:r>
        <w:rPr>
          <w:rFonts w:ascii="Times New Roman" w:hAnsi="Times New Roman"/>
          <w:sz w:val="24"/>
          <w:szCs w:val="24"/>
        </w:rPr>
        <w:t xml:space="preserve">. </w:t>
      </w:r>
      <w:r w:rsidRPr="005A14BF">
        <w:rPr>
          <w:rFonts w:ascii="Times New Roman" w:hAnsi="Times New Roman"/>
          <w:sz w:val="24"/>
          <w:szCs w:val="24"/>
        </w:rPr>
        <w:t xml:space="preserve"> </w:t>
      </w:r>
      <w:r w:rsidRPr="005A14BF">
        <w:rPr>
          <w:rFonts w:ascii="Times New Roman" w:hAnsi="Times New Roman"/>
          <w:sz w:val="24"/>
          <w:szCs w:val="24"/>
          <w:u w:val="single"/>
        </w:rPr>
        <w:t>See</w:t>
      </w:r>
      <w:r w:rsidRPr="005A14BF">
        <w:rPr>
          <w:rFonts w:ascii="Times New Roman" w:hAnsi="Times New Roman"/>
          <w:sz w:val="24"/>
          <w:szCs w:val="24"/>
        </w:rPr>
        <w:t xml:space="preserve"> </w:t>
      </w:r>
      <w:r w:rsidRPr="001F4F43">
        <w:rPr>
          <w:rFonts w:ascii="Times New Roman" w:hAnsi="Times New Roman"/>
          <w:sz w:val="24"/>
          <w:szCs w:val="24"/>
        </w:rPr>
        <w:t xml:space="preserve">Memorandum in Support of Defendants’ Motion to Dismiss </w:t>
      </w:r>
      <w:r w:rsidRPr="005A14BF">
        <w:rPr>
          <w:rFonts w:ascii="Times New Roman" w:hAnsi="Times New Roman"/>
          <w:sz w:val="24"/>
          <w:szCs w:val="24"/>
        </w:rPr>
        <w:t xml:space="preserve">at p. 18.  However, </w:t>
      </w:r>
      <w:r w:rsidRPr="005A14BF">
        <w:rPr>
          <w:rFonts w:ascii="Times New Roman" w:hAnsi="Times New Roman"/>
          <w:sz w:val="24"/>
          <w:szCs w:val="24"/>
          <w:u w:val="single"/>
        </w:rPr>
        <w:t>Dzugas-Smith</w:t>
      </w:r>
      <w:r w:rsidRPr="005A14BF">
        <w:rPr>
          <w:rFonts w:ascii="Times New Roman" w:hAnsi="Times New Roman"/>
          <w:sz w:val="24"/>
          <w:szCs w:val="24"/>
        </w:rPr>
        <w:t xml:space="preserve"> does not support </w:t>
      </w:r>
      <w:r>
        <w:rPr>
          <w:rFonts w:ascii="Times New Roman" w:hAnsi="Times New Roman"/>
          <w:sz w:val="24"/>
          <w:szCs w:val="24"/>
        </w:rPr>
        <w:t>D</w:t>
      </w:r>
      <w:r w:rsidRPr="005A14BF">
        <w:rPr>
          <w:rFonts w:ascii="Times New Roman" w:hAnsi="Times New Roman"/>
          <w:sz w:val="24"/>
          <w:szCs w:val="24"/>
        </w:rPr>
        <w:t>efendants’ position</w:t>
      </w:r>
      <w:r>
        <w:rPr>
          <w:rFonts w:ascii="Times New Roman" w:hAnsi="Times New Roman"/>
          <w:sz w:val="24"/>
          <w:szCs w:val="24"/>
        </w:rPr>
        <w:t>.</w:t>
      </w:r>
      <w:r w:rsidRPr="005A14BF">
        <w:rPr>
          <w:rFonts w:ascii="Times New Roman" w:hAnsi="Times New Roman"/>
          <w:sz w:val="24"/>
          <w:szCs w:val="24"/>
        </w:rPr>
        <w:t xml:space="preserve">  In </w:t>
      </w:r>
      <w:r w:rsidRPr="005A14BF">
        <w:rPr>
          <w:rFonts w:ascii="Times New Roman" w:hAnsi="Times New Roman"/>
          <w:sz w:val="24"/>
          <w:szCs w:val="24"/>
          <w:u w:val="single"/>
        </w:rPr>
        <w:t>Dzugas-Smith</w:t>
      </w:r>
      <w:r w:rsidRPr="005A14BF">
        <w:rPr>
          <w:rFonts w:ascii="Times New Roman" w:hAnsi="Times New Roman"/>
          <w:sz w:val="24"/>
          <w:szCs w:val="24"/>
        </w:rPr>
        <w:t xml:space="preserve">, the court dismissed plaintiffs’ ADA claim because </w:t>
      </w:r>
      <w:r>
        <w:rPr>
          <w:rFonts w:ascii="Times New Roman" w:hAnsi="Times New Roman"/>
          <w:sz w:val="24"/>
          <w:szCs w:val="24"/>
        </w:rPr>
        <w:t>the plaintiffs</w:t>
      </w:r>
      <w:r w:rsidRPr="005A14BF">
        <w:rPr>
          <w:rFonts w:ascii="Times New Roman" w:hAnsi="Times New Roman"/>
          <w:sz w:val="24"/>
          <w:szCs w:val="24"/>
        </w:rPr>
        <w:t xml:space="preserve"> failed to sufficiently plead the necessary elements of an ADA claim and instead relied on conclusory assertions of FAPE denial, not because the provision of FAPE precludes discrimination under the ADA.  </w:t>
      </w:r>
      <w:r w:rsidRPr="005A14BF">
        <w:rPr>
          <w:rFonts w:ascii="Times New Roman" w:hAnsi="Times New Roman"/>
          <w:sz w:val="24"/>
          <w:szCs w:val="24"/>
          <w:u w:val="single"/>
        </w:rPr>
        <w:t>See</w:t>
      </w:r>
      <w:r w:rsidRPr="005A14BF">
        <w:rPr>
          <w:rFonts w:ascii="Times New Roman" w:hAnsi="Times New Roman"/>
          <w:sz w:val="24"/>
          <w:szCs w:val="24"/>
        </w:rPr>
        <w:t xml:space="preserve"> </w:t>
      </w:r>
      <w:r w:rsidRPr="005A14BF">
        <w:rPr>
          <w:rFonts w:ascii="Times New Roman" w:hAnsi="Times New Roman"/>
          <w:sz w:val="24"/>
          <w:szCs w:val="24"/>
          <w:u w:val="single"/>
        </w:rPr>
        <w:t>id.</w:t>
      </w:r>
      <w:r w:rsidRPr="005A14BF">
        <w:rPr>
          <w:rFonts w:ascii="Times New Roman" w:hAnsi="Times New Roman"/>
          <w:sz w:val="24"/>
          <w:szCs w:val="24"/>
        </w:rPr>
        <w:t xml:space="preserve"> at *53-58.</w:t>
      </w:r>
    </w:p>
    <w:p w:rsidR="002D02F8" w:rsidRPr="005A14BF" w:rsidRDefault="002D02F8" w:rsidP="009869EF">
      <w:pPr>
        <w:pStyle w:val="FootnoteText"/>
        <w:rPr>
          <w:rFonts w:ascii="Times New Roman" w:hAnsi="Times New Roman"/>
          <w:sz w:val="24"/>
          <w:szCs w:val="24"/>
        </w:rPr>
      </w:pPr>
    </w:p>
  </w:footnote>
  <w:footnote w:id="10">
    <w:p w:rsidR="002D02F8" w:rsidRDefault="002D02F8" w:rsidP="00C23351">
      <w:pPr>
        <w:pStyle w:val="FootnoteText"/>
        <w:rPr>
          <w:rFonts w:ascii="Times New Roman" w:hAnsi="Times New Roman"/>
          <w:sz w:val="24"/>
          <w:szCs w:val="24"/>
        </w:rPr>
      </w:pPr>
      <w:r w:rsidRPr="00F269E7">
        <w:rPr>
          <w:rStyle w:val="FootnoteReference"/>
          <w:rFonts w:ascii="Times New Roman" w:hAnsi="Times New Roman"/>
          <w:sz w:val="24"/>
          <w:szCs w:val="24"/>
        </w:rPr>
        <w:footnoteRef/>
      </w:r>
      <w:r w:rsidRPr="00F269E7">
        <w:rPr>
          <w:rFonts w:ascii="Times New Roman" w:hAnsi="Times New Roman"/>
          <w:sz w:val="24"/>
          <w:szCs w:val="24"/>
        </w:rPr>
        <w:t xml:space="preserve"> </w:t>
      </w:r>
      <w:r>
        <w:t xml:space="preserve">  </w:t>
      </w:r>
      <w:r w:rsidRPr="0089626C">
        <w:rPr>
          <w:rFonts w:ascii="Times New Roman" w:hAnsi="Times New Roman"/>
          <w:sz w:val="24"/>
          <w:szCs w:val="24"/>
        </w:rPr>
        <w:t>The United States interprets 42 U.S.C. § 1415(</w:t>
      </w:r>
      <w:r w:rsidRPr="00C31E19">
        <w:rPr>
          <w:rFonts w:ascii="Times New Roman" w:hAnsi="Times New Roman"/>
          <w:i/>
          <w:sz w:val="24"/>
          <w:szCs w:val="24"/>
        </w:rPr>
        <w:t>l</w:t>
      </w:r>
      <w:r w:rsidRPr="0089626C">
        <w:rPr>
          <w:rFonts w:ascii="Times New Roman" w:hAnsi="Times New Roman"/>
          <w:sz w:val="24"/>
          <w:szCs w:val="24"/>
        </w:rPr>
        <w:t>) to require only that Plaintiffs place the relief sought (</w:t>
      </w:r>
      <w:r>
        <w:rPr>
          <w:rFonts w:ascii="Times New Roman" w:hAnsi="Times New Roman"/>
          <w:sz w:val="24"/>
          <w:szCs w:val="24"/>
        </w:rPr>
        <w:t xml:space="preserve">some assistance with the </w:t>
      </w:r>
      <w:r w:rsidRPr="0089626C">
        <w:rPr>
          <w:rFonts w:ascii="Times New Roman" w:hAnsi="Times New Roman"/>
          <w:sz w:val="24"/>
          <w:szCs w:val="24"/>
        </w:rPr>
        <w:t>use of a service dog) before the administrative reviewers to exhaust their administrative remedies, not that Plaintiffs need to specifically articulate that they are alleging an ADA claim.  However, even if § 1415(</w:t>
      </w:r>
      <w:r w:rsidRPr="00C31E19">
        <w:rPr>
          <w:rFonts w:ascii="Times New Roman" w:hAnsi="Times New Roman"/>
          <w:i/>
          <w:sz w:val="24"/>
          <w:szCs w:val="24"/>
        </w:rPr>
        <w:t>l</w:t>
      </w:r>
      <w:r w:rsidRPr="0089626C">
        <w:rPr>
          <w:rFonts w:ascii="Times New Roman" w:hAnsi="Times New Roman"/>
          <w:sz w:val="24"/>
          <w:szCs w:val="24"/>
        </w:rPr>
        <w:t>) did require Plaintiffs to identify their claim as brought under the ADA in order to exhaust it, the administrative record appears to indicate that Plaintiffs did so.</w:t>
      </w:r>
    </w:p>
    <w:p w:rsidR="002D02F8" w:rsidRPr="0089626C" w:rsidRDefault="002D02F8" w:rsidP="0067692B">
      <w:pPr>
        <w:pStyle w:val="FootnoteText"/>
        <w:rPr>
          <w:rFonts w:ascii="Times New Roman" w:hAnsi="Times New Roman"/>
          <w:sz w:val="24"/>
          <w:szCs w:val="24"/>
        </w:rPr>
      </w:pPr>
    </w:p>
  </w:footnote>
  <w:footnote w:id="11">
    <w:p w:rsidR="002D02F8" w:rsidRDefault="002D02F8" w:rsidP="0067692B">
      <w:pPr>
        <w:pStyle w:val="FootnoteText"/>
      </w:pPr>
      <w:r w:rsidRPr="00983AEE">
        <w:rPr>
          <w:rStyle w:val="FootnoteReference"/>
          <w:rFonts w:ascii="Times New Roman" w:hAnsi="Times New Roman"/>
          <w:sz w:val="24"/>
          <w:szCs w:val="24"/>
        </w:rPr>
        <w:footnoteRef/>
      </w:r>
      <w:r>
        <w:t xml:space="preserve"> </w:t>
      </w:r>
      <w:proofErr w:type="gramStart"/>
      <w:r w:rsidRPr="009460AE">
        <w:rPr>
          <w:rFonts w:ascii="Times New Roman" w:hAnsi="Times New Roman"/>
          <w:sz w:val="24"/>
          <w:szCs w:val="24"/>
          <w:lang w:val="en-CA"/>
        </w:rPr>
        <w:t>Defendants’</w:t>
      </w:r>
      <w:r>
        <w:rPr>
          <w:rFonts w:ascii="Times New Roman" w:hAnsi="Times New Roman"/>
          <w:sz w:val="24"/>
          <w:szCs w:val="24"/>
          <w:lang w:val="en-CA"/>
        </w:rPr>
        <w:t xml:space="preserve"> </w:t>
      </w:r>
      <w:r w:rsidRPr="009460AE">
        <w:rPr>
          <w:rFonts w:ascii="Times New Roman" w:hAnsi="Times New Roman"/>
          <w:sz w:val="24"/>
          <w:szCs w:val="24"/>
          <w:lang w:val="en-CA"/>
        </w:rPr>
        <w:t xml:space="preserve">reliance on the cases of </w:t>
      </w:r>
      <w:r w:rsidRPr="009460AE">
        <w:rPr>
          <w:rFonts w:ascii="Times New Roman" w:hAnsi="Times New Roman"/>
          <w:sz w:val="24"/>
          <w:szCs w:val="24"/>
          <w:u w:val="single"/>
          <w:lang w:val="en-CA"/>
        </w:rPr>
        <w:t>M.A. v.</w:t>
      </w:r>
      <w:proofErr w:type="gramEnd"/>
      <w:r w:rsidRPr="009460AE">
        <w:rPr>
          <w:rFonts w:ascii="Times New Roman" w:hAnsi="Times New Roman"/>
          <w:sz w:val="24"/>
          <w:szCs w:val="24"/>
          <w:u w:val="single"/>
          <w:lang w:val="en-CA"/>
        </w:rPr>
        <w:t xml:space="preserve"> New York Department of Education</w:t>
      </w:r>
      <w:r w:rsidRPr="009460AE">
        <w:rPr>
          <w:rFonts w:ascii="Times New Roman" w:hAnsi="Times New Roman"/>
          <w:sz w:val="24"/>
          <w:szCs w:val="24"/>
          <w:lang w:val="en-CA"/>
        </w:rPr>
        <w:t xml:space="preserve">, 1 F. Supp. 3d 125 (S.D.N.Y. 2014) and </w:t>
      </w:r>
      <w:r w:rsidRPr="009460AE">
        <w:rPr>
          <w:rFonts w:ascii="Times New Roman" w:hAnsi="Times New Roman"/>
          <w:sz w:val="24"/>
          <w:szCs w:val="24"/>
          <w:u w:val="single"/>
          <w:lang w:val="en-CA"/>
        </w:rPr>
        <w:t>P. v. Greenwich Board of Education</w:t>
      </w:r>
      <w:r w:rsidRPr="009460AE">
        <w:rPr>
          <w:rFonts w:ascii="Times New Roman" w:hAnsi="Times New Roman"/>
          <w:sz w:val="24"/>
          <w:szCs w:val="24"/>
          <w:lang w:val="en-CA"/>
        </w:rPr>
        <w:t>, 929 F. Supp. 2d 40 (D.Conn. 2013) to support the</w:t>
      </w:r>
      <w:r>
        <w:rPr>
          <w:rFonts w:ascii="Times New Roman" w:hAnsi="Times New Roman"/>
          <w:sz w:val="24"/>
          <w:szCs w:val="24"/>
          <w:lang w:val="en-CA"/>
        </w:rPr>
        <w:t>ir</w:t>
      </w:r>
      <w:r w:rsidRPr="009460AE">
        <w:rPr>
          <w:rFonts w:ascii="Times New Roman" w:hAnsi="Times New Roman"/>
          <w:sz w:val="24"/>
          <w:szCs w:val="24"/>
          <w:lang w:val="en-CA"/>
        </w:rPr>
        <w:t xml:space="preserve"> position that the ADA claims here </w:t>
      </w:r>
      <w:r>
        <w:rPr>
          <w:rFonts w:ascii="Times New Roman" w:hAnsi="Times New Roman"/>
          <w:sz w:val="24"/>
          <w:szCs w:val="24"/>
          <w:lang w:val="en-CA"/>
        </w:rPr>
        <w:t>were not exhausted administratively</w:t>
      </w:r>
      <w:r w:rsidRPr="009460AE">
        <w:rPr>
          <w:rFonts w:ascii="Times New Roman" w:hAnsi="Times New Roman"/>
          <w:sz w:val="24"/>
          <w:szCs w:val="24"/>
          <w:lang w:val="en-CA"/>
        </w:rPr>
        <w:t xml:space="preserve"> is misplaced.  </w:t>
      </w:r>
      <w:r>
        <w:rPr>
          <w:rFonts w:ascii="Times New Roman" w:hAnsi="Times New Roman"/>
          <w:sz w:val="24"/>
          <w:szCs w:val="24"/>
          <w:lang w:val="en-CA"/>
        </w:rPr>
        <w:t>B</w:t>
      </w:r>
      <w:r w:rsidRPr="009460AE">
        <w:rPr>
          <w:rFonts w:ascii="Times New Roman" w:hAnsi="Times New Roman"/>
          <w:sz w:val="24"/>
          <w:szCs w:val="24"/>
          <w:lang w:val="en-CA"/>
        </w:rPr>
        <w:t xml:space="preserve">oth of those cases involved situations where the actual claims at issue were either not presented or not reasserted during the administrative review process.  In this case, the SRO’s decision </w:t>
      </w:r>
      <w:r>
        <w:rPr>
          <w:rFonts w:ascii="Times New Roman" w:hAnsi="Times New Roman"/>
          <w:sz w:val="24"/>
          <w:szCs w:val="24"/>
          <w:lang w:val="en-CA"/>
        </w:rPr>
        <w:t>suggests</w:t>
      </w:r>
      <w:r w:rsidRPr="009460AE">
        <w:rPr>
          <w:rFonts w:ascii="Times New Roman" w:hAnsi="Times New Roman"/>
          <w:sz w:val="24"/>
          <w:szCs w:val="24"/>
          <w:lang w:val="en-CA"/>
        </w:rPr>
        <w:t xml:space="preserve"> that both levels of the administrative process addressed the ADA claims at issue.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8C" w:rsidRDefault="00CA0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8C" w:rsidRDefault="00CA0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8C" w:rsidRDefault="00CA0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A31"/>
    <w:multiLevelType w:val="hybridMultilevel"/>
    <w:tmpl w:val="F98E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1A62AC"/>
    <w:multiLevelType w:val="hybridMultilevel"/>
    <w:tmpl w:val="2D323BDA"/>
    <w:lvl w:ilvl="0" w:tplc="2D6CE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125146"/>
    <w:multiLevelType w:val="hybridMultilevel"/>
    <w:tmpl w:val="A9D4C07A"/>
    <w:lvl w:ilvl="0" w:tplc="A6B885A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E7B32CE"/>
    <w:multiLevelType w:val="hybridMultilevel"/>
    <w:tmpl w:val="B6F43818"/>
    <w:lvl w:ilvl="0" w:tplc="A9EC6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3561F"/>
    <w:multiLevelType w:val="hybridMultilevel"/>
    <w:tmpl w:val="1200D7A2"/>
    <w:lvl w:ilvl="0" w:tplc="B4F23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C238A"/>
    <w:multiLevelType w:val="hybridMultilevel"/>
    <w:tmpl w:val="3A42574C"/>
    <w:lvl w:ilvl="0" w:tplc="950C5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D613EF"/>
    <w:multiLevelType w:val="hybridMultilevel"/>
    <w:tmpl w:val="828CA164"/>
    <w:lvl w:ilvl="0" w:tplc="5D143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95C17"/>
    <w:multiLevelType w:val="hybridMultilevel"/>
    <w:tmpl w:val="D52A6C4C"/>
    <w:lvl w:ilvl="0" w:tplc="8766F69E">
      <w:start w:val="1"/>
      <w:numFmt w:val="decimal"/>
      <w:lvlText w:val="%1."/>
      <w:lvlJc w:val="left"/>
      <w:pPr>
        <w:ind w:left="2160" w:hanging="72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BA15C9"/>
    <w:multiLevelType w:val="hybridMultilevel"/>
    <w:tmpl w:val="21B68EB4"/>
    <w:lvl w:ilvl="0" w:tplc="1D86E5DE">
      <w:start w:val="1"/>
      <w:numFmt w:val="decimal"/>
      <w:lvlText w:val="(%1)"/>
      <w:lvlJc w:val="left"/>
      <w:pPr>
        <w:ind w:left="2505" w:hanging="10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8A319D"/>
    <w:multiLevelType w:val="hybridMultilevel"/>
    <w:tmpl w:val="C590DA58"/>
    <w:lvl w:ilvl="0" w:tplc="FEAC98EA">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9903DC"/>
    <w:multiLevelType w:val="hybridMultilevel"/>
    <w:tmpl w:val="54FE00C8"/>
    <w:lvl w:ilvl="0" w:tplc="82BC0A52">
      <w:start w:val="1"/>
      <w:numFmt w:val="decimal"/>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nsid w:val="3AF5183C"/>
    <w:multiLevelType w:val="hybridMultilevel"/>
    <w:tmpl w:val="30B63F10"/>
    <w:lvl w:ilvl="0" w:tplc="0FC20C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DA75FD1"/>
    <w:multiLevelType w:val="hybridMultilevel"/>
    <w:tmpl w:val="6B16A260"/>
    <w:lvl w:ilvl="0" w:tplc="DDA4762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EF5805"/>
    <w:multiLevelType w:val="hybridMultilevel"/>
    <w:tmpl w:val="51442680"/>
    <w:lvl w:ilvl="0" w:tplc="F4E81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256C04"/>
    <w:multiLevelType w:val="hybridMultilevel"/>
    <w:tmpl w:val="F684D3C6"/>
    <w:lvl w:ilvl="0" w:tplc="3C723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8B773D"/>
    <w:multiLevelType w:val="hybridMultilevel"/>
    <w:tmpl w:val="F162EC8C"/>
    <w:lvl w:ilvl="0" w:tplc="FB28C206">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F9F279E"/>
    <w:multiLevelType w:val="hybridMultilevel"/>
    <w:tmpl w:val="EEB645C4"/>
    <w:lvl w:ilvl="0" w:tplc="595C9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8E2AC3"/>
    <w:multiLevelType w:val="hybridMultilevel"/>
    <w:tmpl w:val="DCE005A2"/>
    <w:lvl w:ilvl="0" w:tplc="7A686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BB12F83"/>
    <w:multiLevelType w:val="hybridMultilevel"/>
    <w:tmpl w:val="958A4268"/>
    <w:lvl w:ilvl="0" w:tplc="385A2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3E62F7"/>
    <w:multiLevelType w:val="hybridMultilevel"/>
    <w:tmpl w:val="FA0AE524"/>
    <w:lvl w:ilvl="0" w:tplc="B3ECE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915247"/>
    <w:multiLevelType w:val="hybridMultilevel"/>
    <w:tmpl w:val="2D323BDA"/>
    <w:lvl w:ilvl="0" w:tplc="2D6CE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7320CE"/>
    <w:multiLevelType w:val="hybridMultilevel"/>
    <w:tmpl w:val="73A2AFDA"/>
    <w:lvl w:ilvl="0" w:tplc="8F3C7D5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8"/>
  </w:num>
  <w:num w:numId="3">
    <w:abstractNumId w:val="5"/>
  </w:num>
  <w:num w:numId="4">
    <w:abstractNumId w:val="2"/>
  </w:num>
  <w:num w:numId="5">
    <w:abstractNumId w:val="6"/>
  </w:num>
  <w:num w:numId="6">
    <w:abstractNumId w:val="3"/>
  </w:num>
  <w:num w:numId="7">
    <w:abstractNumId w:val="13"/>
  </w:num>
  <w:num w:numId="8">
    <w:abstractNumId w:val="10"/>
  </w:num>
  <w:num w:numId="9">
    <w:abstractNumId w:val="12"/>
  </w:num>
  <w:num w:numId="10">
    <w:abstractNumId w:val="17"/>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5"/>
  </w:num>
  <w:num w:numId="16">
    <w:abstractNumId w:val="11"/>
  </w:num>
  <w:num w:numId="17">
    <w:abstractNumId w:val="21"/>
  </w:num>
  <w:num w:numId="18">
    <w:abstractNumId w:val="14"/>
  </w:num>
  <w:num w:numId="19">
    <w:abstractNumId w:val="20"/>
  </w:num>
  <w:num w:numId="20">
    <w:abstractNumId w:val="1"/>
  </w:num>
  <w:num w:numId="21">
    <w:abstractNumId w:val="19"/>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Eve L. (CRT)">
    <w15:presenceInfo w15:providerId="AD" w15:userId="S-1-5-21-671366142-1315730118-1538882281-378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grammar="clean"/>
  <w:stylePaneFormatFilter w:val="1024"/>
  <w:defaultTabStop w:val="720"/>
  <w:characterSpacingControl w:val="doNotCompress"/>
  <w:hdrShapeDefaults>
    <o:shapedefaults v:ext="edit" spidmax="12289"/>
  </w:hdrShapeDefaults>
  <w:footnotePr>
    <w:footnote w:id="-1"/>
    <w:footnote w:id="0"/>
  </w:footnotePr>
  <w:endnotePr>
    <w:endnote w:id="-1"/>
    <w:endnote w:id="0"/>
  </w:endnotePr>
  <w:compat/>
  <w:docVars>
    <w:docVar w:name="_CITRUS_JURISDICTION" w:val="Bluebook"/>
    <w:docVar w:name="CITRUS_DOC_GUID" w:val="{560CFA10-01B1-4F5E-859C-83F15D54ADFD}"/>
  </w:docVars>
  <w:rsids>
    <w:rsidRoot w:val="00D22D2E"/>
    <w:rsid w:val="0000458D"/>
    <w:rsid w:val="00005B4A"/>
    <w:rsid w:val="00007D5A"/>
    <w:rsid w:val="000113BD"/>
    <w:rsid w:val="00011538"/>
    <w:rsid w:val="00014E6D"/>
    <w:rsid w:val="00016C2E"/>
    <w:rsid w:val="00017600"/>
    <w:rsid w:val="00020AF4"/>
    <w:rsid w:val="000253BF"/>
    <w:rsid w:val="00032B37"/>
    <w:rsid w:val="00036003"/>
    <w:rsid w:val="000378D8"/>
    <w:rsid w:val="00043866"/>
    <w:rsid w:val="00052CF9"/>
    <w:rsid w:val="000530E0"/>
    <w:rsid w:val="0006067F"/>
    <w:rsid w:val="00061B7B"/>
    <w:rsid w:val="0006517F"/>
    <w:rsid w:val="00067AC0"/>
    <w:rsid w:val="0008003F"/>
    <w:rsid w:val="00081C56"/>
    <w:rsid w:val="00083898"/>
    <w:rsid w:val="000849C8"/>
    <w:rsid w:val="00090F2E"/>
    <w:rsid w:val="00093777"/>
    <w:rsid w:val="00097063"/>
    <w:rsid w:val="0009748C"/>
    <w:rsid w:val="000A0DFD"/>
    <w:rsid w:val="000A29BD"/>
    <w:rsid w:val="000A2A54"/>
    <w:rsid w:val="000A2FA2"/>
    <w:rsid w:val="000A4285"/>
    <w:rsid w:val="000A51C7"/>
    <w:rsid w:val="000A650A"/>
    <w:rsid w:val="000A65EE"/>
    <w:rsid w:val="000A718D"/>
    <w:rsid w:val="000B0244"/>
    <w:rsid w:val="000B4757"/>
    <w:rsid w:val="000B6454"/>
    <w:rsid w:val="000B74CE"/>
    <w:rsid w:val="000C0967"/>
    <w:rsid w:val="000C24C0"/>
    <w:rsid w:val="000C64E8"/>
    <w:rsid w:val="000C6692"/>
    <w:rsid w:val="000D1CD3"/>
    <w:rsid w:val="000D2F90"/>
    <w:rsid w:val="000D5EF6"/>
    <w:rsid w:val="000E2A25"/>
    <w:rsid w:val="000E3AFD"/>
    <w:rsid w:val="000E5531"/>
    <w:rsid w:val="000F1250"/>
    <w:rsid w:val="000F2245"/>
    <w:rsid w:val="000F405A"/>
    <w:rsid w:val="00105196"/>
    <w:rsid w:val="00106630"/>
    <w:rsid w:val="00110B1E"/>
    <w:rsid w:val="00111161"/>
    <w:rsid w:val="00112242"/>
    <w:rsid w:val="00113020"/>
    <w:rsid w:val="0011428C"/>
    <w:rsid w:val="00124349"/>
    <w:rsid w:val="0012465C"/>
    <w:rsid w:val="00125503"/>
    <w:rsid w:val="00125CFA"/>
    <w:rsid w:val="00125D18"/>
    <w:rsid w:val="00127397"/>
    <w:rsid w:val="00130DAE"/>
    <w:rsid w:val="00132C3B"/>
    <w:rsid w:val="00134EE0"/>
    <w:rsid w:val="0013559D"/>
    <w:rsid w:val="00144E6C"/>
    <w:rsid w:val="00146071"/>
    <w:rsid w:val="0014617B"/>
    <w:rsid w:val="001461A5"/>
    <w:rsid w:val="00146728"/>
    <w:rsid w:val="00147600"/>
    <w:rsid w:val="001531D2"/>
    <w:rsid w:val="00154115"/>
    <w:rsid w:val="00156331"/>
    <w:rsid w:val="00156BCB"/>
    <w:rsid w:val="001603DD"/>
    <w:rsid w:val="0016706F"/>
    <w:rsid w:val="00170149"/>
    <w:rsid w:val="001709EF"/>
    <w:rsid w:val="001711E2"/>
    <w:rsid w:val="001713CA"/>
    <w:rsid w:val="0017172B"/>
    <w:rsid w:val="0017189D"/>
    <w:rsid w:val="0017599B"/>
    <w:rsid w:val="00176760"/>
    <w:rsid w:val="00185936"/>
    <w:rsid w:val="00186335"/>
    <w:rsid w:val="001870CC"/>
    <w:rsid w:val="00187793"/>
    <w:rsid w:val="00192CAD"/>
    <w:rsid w:val="00194CD0"/>
    <w:rsid w:val="001966BA"/>
    <w:rsid w:val="001A1506"/>
    <w:rsid w:val="001A2F54"/>
    <w:rsid w:val="001B04CF"/>
    <w:rsid w:val="001B1901"/>
    <w:rsid w:val="001B19AD"/>
    <w:rsid w:val="001B2C31"/>
    <w:rsid w:val="001C138E"/>
    <w:rsid w:val="001C304F"/>
    <w:rsid w:val="001C4DEB"/>
    <w:rsid w:val="001C4F37"/>
    <w:rsid w:val="001D1F9D"/>
    <w:rsid w:val="001D4B15"/>
    <w:rsid w:val="001D590C"/>
    <w:rsid w:val="001D5DAB"/>
    <w:rsid w:val="001D72E4"/>
    <w:rsid w:val="001E072C"/>
    <w:rsid w:val="001E11E1"/>
    <w:rsid w:val="001E1420"/>
    <w:rsid w:val="001E22F9"/>
    <w:rsid w:val="001E2C2B"/>
    <w:rsid w:val="001E5E2A"/>
    <w:rsid w:val="001E7E09"/>
    <w:rsid w:val="001F0AE4"/>
    <w:rsid w:val="001F291A"/>
    <w:rsid w:val="001F3895"/>
    <w:rsid w:val="001F4F43"/>
    <w:rsid w:val="001F6C14"/>
    <w:rsid w:val="001F74F1"/>
    <w:rsid w:val="002010CE"/>
    <w:rsid w:val="0020155C"/>
    <w:rsid w:val="00201B55"/>
    <w:rsid w:val="002021A4"/>
    <w:rsid w:val="0020265F"/>
    <w:rsid w:val="00203A49"/>
    <w:rsid w:val="00204751"/>
    <w:rsid w:val="00206AD9"/>
    <w:rsid w:val="0021039D"/>
    <w:rsid w:val="002106B2"/>
    <w:rsid w:val="00214A27"/>
    <w:rsid w:val="0021660F"/>
    <w:rsid w:val="00220C68"/>
    <w:rsid w:val="00222632"/>
    <w:rsid w:val="0022359D"/>
    <w:rsid w:val="00226D7C"/>
    <w:rsid w:val="0024204A"/>
    <w:rsid w:val="00246F8E"/>
    <w:rsid w:val="00247464"/>
    <w:rsid w:val="00247D2B"/>
    <w:rsid w:val="002502F2"/>
    <w:rsid w:val="00254F5A"/>
    <w:rsid w:val="00254FA9"/>
    <w:rsid w:val="00257326"/>
    <w:rsid w:val="002618B3"/>
    <w:rsid w:val="00261AC4"/>
    <w:rsid w:val="0026280F"/>
    <w:rsid w:val="00264322"/>
    <w:rsid w:val="002745AE"/>
    <w:rsid w:val="002746F2"/>
    <w:rsid w:val="0027639C"/>
    <w:rsid w:val="00282C57"/>
    <w:rsid w:val="00284B0B"/>
    <w:rsid w:val="002875BB"/>
    <w:rsid w:val="002910ED"/>
    <w:rsid w:val="00292251"/>
    <w:rsid w:val="002941A4"/>
    <w:rsid w:val="002956DD"/>
    <w:rsid w:val="00297CA3"/>
    <w:rsid w:val="002A168C"/>
    <w:rsid w:val="002A49C8"/>
    <w:rsid w:val="002A4B92"/>
    <w:rsid w:val="002B1D11"/>
    <w:rsid w:val="002B3358"/>
    <w:rsid w:val="002B3646"/>
    <w:rsid w:val="002B4785"/>
    <w:rsid w:val="002B625D"/>
    <w:rsid w:val="002C0692"/>
    <w:rsid w:val="002C4B44"/>
    <w:rsid w:val="002C6913"/>
    <w:rsid w:val="002C72AC"/>
    <w:rsid w:val="002D02F8"/>
    <w:rsid w:val="002D1B19"/>
    <w:rsid w:val="002D4A23"/>
    <w:rsid w:val="002D4C5F"/>
    <w:rsid w:val="002D6B5D"/>
    <w:rsid w:val="002D7EA2"/>
    <w:rsid w:val="002E4205"/>
    <w:rsid w:val="002E6FC6"/>
    <w:rsid w:val="002E70AA"/>
    <w:rsid w:val="002F027F"/>
    <w:rsid w:val="002F18D5"/>
    <w:rsid w:val="002F3686"/>
    <w:rsid w:val="002F3882"/>
    <w:rsid w:val="002F5D87"/>
    <w:rsid w:val="00300251"/>
    <w:rsid w:val="00301063"/>
    <w:rsid w:val="00305AA1"/>
    <w:rsid w:val="00306D09"/>
    <w:rsid w:val="003076F6"/>
    <w:rsid w:val="00307DEA"/>
    <w:rsid w:val="00312673"/>
    <w:rsid w:val="0031330B"/>
    <w:rsid w:val="00315320"/>
    <w:rsid w:val="003210EA"/>
    <w:rsid w:val="003234E2"/>
    <w:rsid w:val="0032384A"/>
    <w:rsid w:val="003245D0"/>
    <w:rsid w:val="00326089"/>
    <w:rsid w:val="0032775E"/>
    <w:rsid w:val="003306EF"/>
    <w:rsid w:val="00331E5A"/>
    <w:rsid w:val="0033249B"/>
    <w:rsid w:val="00334592"/>
    <w:rsid w:val="00336395"/>
    <w:rsid w:val="003368B9"/>
    <w:rsid w:val="003377F9"/>
    <w:rsid w:val="003429FA"/>
    <w:rsid w:val="0035064E"/>
    <w:rsid w:val="00351987"/>
    <w:rsid w:val="00352A8F"/>
    <w:rsid w:val="0035622E"/>
    <w:rsid w:val="00357C1B"/>
    <w:rsid w:val="00362F35"/>
    <w:rsid w:val="0036416C"/>
    <w:rsid w:val="003648CE"/>
    <w:rsid w:val="003654B8"/>
    <w:rsid w:val="003656E3"/>
    <w:rsid w:val="00366278"/>
    <w:rsid w:val="00366C0C"/>
    <w:rsid w:val="003670C2"/>
    <w:rsid w:val="0036793B"/>
    <w:rsid w:val="00370FCB"/>
    <w:rsid w:val="003727C1"/>
    <w:rsid w:val="003736E6"/>
    <w:rsid w:val="003761C9"/>
    <w:rsid w:val="0037639E"/>
    <w:rsid w:val="003864F6"/>
    <w:rsid w:val="00386B60"/>
    <w:rsid w:val="0039165D"/>
    <w:rsid w:val="00393784"/>
    <w:rsid w:val="0039505A"/>
    <w:rsid w:val="003A28D1"/>
    <w:rsid w:val="003A3EAE"/>
    <w:rsid w:val="003A74DE"/>
    <w:rsid w:val="003B114E"/>
    <w:rsid w:val="003B4039"/>
    <w:rsid w:val="003B6E27"/>
    <w:rsid w:val="003B798B"/>
    <w:rsid w:val="003D0586"/>
    <w:rsid w:val="003D3132"/>
    <w:rsid w:val="003D414D"/>
    <w:rsid w:val="003D4D58"/>
    <w:rsid w:val="003E04FB"/>
    <w:rsid w:val="003E6DFB"/>
    <w:rsid w:val="003F2FF2"/>
    <w:rsid w:val="003F3557"/>
    <w:rsid w:val="003F4F04"/>
    <w:rsid w:val="003F54C8"/>
    <w:rsid w:val="003F5F45"/>
    <w:rsid w:val="003F65EC"/>
    <w:rsid w:val="003F6CE3"/>
    <w:rsid w:val="004029C5"/>
    <w:rsid w:val="00403C24"/>
    <w:rsid w:val="0040658B"/>
    <w:rsid w:val="00407BB3"/>
    <w:rsid w:val="00407C3A"/>
    <w:rsid w:val="00410673"/>
    <w:rsid w:val="00410D1C"/>
    <w:rsid w:val="00411A8C"/>
    <w:rsid w:val="00411A9F"/>
    <w:rsid w:val="00411C22"/>
    <w:rsid w:val="00413C4A"/>
    <w:rsid w:val="004244CB"/>
    <w:rsid w:val="0042676A"/>
    <w:rsid w:val="00433264"/>
    <w:rsid w:val="00441C86"/>
    <w:rsid w:val="004425BD"/>
    <w:rsid w:val="0044651F"/>
    <w:rsid w:val="00451E64"/>
    <w:rsid w:val="0045308B"/>
    <w:rsid w:val="00453C4A"/>
    <w:rsid w:val="00454EBD"/>
    <w:rsid w:val="00457067"/>
    <w:rsid w:val="00461B5F"/>
    <w:rsid w:val="004621A2"/>
    <w:rsid w:val="0046312D"/>
    <w:rsid w:val="00464F6F"/>
    <w:rsid w:val="00470020"/>
    <w:rsid w:val="004720F7"/>
    <w:rsid w:val="004722FC"/>
    <w:rsid w:val="00472C0D"/>
    <w:rsid w:val="00473106"/>
    <w:rsid w:val="00476DCB"/>
    <w:rsid w:val="004779CC"/>
    <w:rsid w:val="004816BC"/>
    <w:rsid w:val="00481FAC"/>
    <w:rsid w:val="00483F1C"/>
    <w:rsid w:val="004871E9"/>
    <w:rsid w:val="004917BB"/>
    <w:rsid w:val="00492ECF"/>
    <w:rsid w:val="00497E36"/>
    <w:rsid w:val="004A01DE"/>
    <w:rsid w:val="004A1A03"/>
    <w:rsid w:val="004A1D5C"/>
    <w:rsid w:val="004A2506"/>
    <w:rsid w:val="004A2F93"/>
    <w:rsid w:val="004A521D"/>
    <w:rsid w:val="004B277C"/>
    <w:rsid w:val="004B49A5"/>
    <w:rsid w:val="004C10AA"/>
    <w:rsid w:val="004C13CC"/>
    <w:rsid w:val="004C169B"/>
    <w:rsid w:val="004C248A"/>
    <w:rsid w:val="004C3009"/>
    <w:rsid w:val="004C3511"/>
    <w:rsid w:val="004C39D0"/>
    <w:rsid w:val="004C6643"/>
    <w:rsid w:val="004C6830"/>
    <w:rsid w:val="004D34A5"/>
    <w:rsid w:val="004D5D3C"/>
    <w:rsid w:val="004D65D7"/>
    <w:rsid w:val="004D67BA"/>
    <w:rsid w:val="004D6931"/>
    <w:rsid w:val="004E255B"/>
    <w:rsid w:val="004E4313"/>
    <w:rsid w:val="004E6F9D"/>
    <w:rsid w:val="004F1982"/>
    <w:rsid w:val="004F4BB7"/>
    <w:rsid w:val="0050098C"/>
    <w:rsid w:val="0050254D"/>
    <w:rsid w:val="005033DA"/>
    <w:rsid w:val="005043E5"/>
    <w:rsid w:val="0051165C"/>
    <w:rsid w:val="0051247A"/>
    <w:rsid w:val="00514C0E"/>
    <w:rsid w:val="005171F2"/>
    <w:rsid w:val="00520BF2"/>
    <w:rsid w:val="0052175B"/>
    <w:rsid w:val="0052341C"/>
    <w:rsid w:val="005246CA"/>
    <w:rsid w:val="005247FB"/>
    <w:rsid w:val="0052480A"/>
    <w:rsid w:val="00527AE7"/>
    <w:rsid w:val="00531351"/>
    <w:rsid w:val="005332B4"/>
    <w:rsid w:val="005340CE"/>
    <w:rsid w:val="0053535C"/>
    <w:rsid w:val="005375EF"/>
    <w:rsid w:val="005448C8"/>
    <w:rsid w:val="005462FA"/>
    <w:rsid w:val="00553729"/>
    <w:rsid w:val="005553DC"/>
    <w:rsid w:val="0056088B"/>
    <w:rsid w:val="005611A8"/>
    <w:rsid w:val="00565303"/>
    <w:rsid w:val="005671CD"/>
    <w:rsid w:val="00567E03"/>
    <w:rsid w:val="00572468"/>
    <w:rsid w:val="00574A7D"/>
    <w:rsid w:val="00576165"/>
    <w:rsid w:val="0057773B"/>
    <w:rsid w:val="005810A9"/>
    <w:rsid w:val="00581152"/>
    <w:rsid w:val="00581559"/>
    <w:rsid w:val="005854F5"/>
    <w:rsid w:val="00585AD0"/>
    <w:rsid w:val="00590F64"/>
    <w:rsid w:val="0059495E"/>
    <w:rsid w:val="00596563"/>
    <w:rsid w:val="00596C22"/>
    <w:rsid w:val="0059714E"/>
    <w:rsid w:val="00597A4C"/>
    <w:rsid w:val="00597C4F"/>
    <w:rsid w:val="005A108D"/>
    <w:rsid w:val="005A14BF"/>
    <w:rsid w:val="005A3684"/>
    <w:rsid w:val="005A46CB"/>
    <w:rsid w:val="005A5515"/>
    <w:rsid w:val="005A7F43"/>
    <w:rsid w:val="005B0AA4"/>
    <w:rsid w:val="005B15D3"/>
    <w:rsid w:val="005B2522"/>
    <w:rsid w:val="005B2780"/>
    <w:rsid w:val="005B64E1"/>
    <w:rsid w:val="005C0166"/>
    <w:rsid w:val="005C0852"/>
    <w:rsid w:val="005C10CE"/>
    <w:rsid w:val="005C18D0"/>
    <w:rsid w:val="005C2E75"/>
    <w:rsid w:val="005C3D03"/>
    <w:rsid w:val="005C468B"/>
    <w:rsid w:val="005C67F1"/>
    <w:rsid w:val="005D1CA8"/>
    <w:rsid w:val="005D2192"/>
    <w:rsid w:val="005D6B83"/>
    <w:rsid w:val="005E0C9F"/>
    <w:rsid w:val="005E18EA"/>
    <w:rsid w:val="005E7B74"/>
    <w:rsid w:val="005F169C"/>
    <w:rsid w:val="005F4296"/>
    <w:rsid w:val="005F576D"/>
    <w:rsid w:val="006011D5"/>
    <w:rsid w:val="006018F7"/>
    <w:rsid w:val="006079A6"/>
    <w:rsid w:val="0061002D"/>
    <w:rsid w:val="00610A9A"/>
    <w:rsid w:val="00611B5C"/>
    <w:rsid w:val="006131F6"/>
    <w:rsid w:val="00614A52"/>
    <w:rsid w:val="00614CE7"/>
    <w:rsid w:val="00617B45"/>
    <w:rsid w:val="00617D67"/>
    <w:rsid w:val="006205C8"/>
    <w:rsid w:val="006206E4"/>
    <w:rsid w:val="0062193D"/>
    <w:rsid w:val="00622C73"/>
    <w:rsid w:val="00623547"/>
    <w:rsid w:val="00623696"/>
    <w:rsid w:val="00623A9C"/>
    <w:rsid w:val="00623FF3"/>
    <w:rsid w:val="00627E56"/>
    <w:rsid w:val="00627F2B"/>
    <w:rsid w:val="006304B9"/>
    <w:rsid w:val="00641A54"/>
    <w:rsid w:val="0064404B"/>
    <w:rsid w:val="00644759"/>
    <w:rsid w:val="0064749B"/>
    <w:rsid w:val="006475B8"/>
    <w:rsid w:val="00650E8D"/>
    <w:rsid w:val="00653959"/>
    <w:rsid w:val="00655388"/>
    <w:rsid w:val="00656A95"/>
    <w:rsid w:val="00657826"/>
    <w:rsid w:val="006578A8"/>
    <w:rsid w:val="00657A1F"/>
    <w:rsid w:val="00661354"/>
    <w:rsid w:val="00661651"/>
    <w:rsid w:val="00662632"/>
    <w:rsid w:val="00663561"/>
    <w:rsid w:val="00665FDF"/>
    <w:rsid w:val="006671C3"/>
    <w:rsid w:val="00670225"/>
    <w:rsid w:val="00671415"/>
    <w:rsid w:val="00671D19"/>
    <w:rsid w:val="00674128"/>
    <w:rsid w:val="00675AEF"/>
    <w:rsid w:val="0067692B"/>
    <w:rsid w:val="00677C81"/>
    <w:rsid w:val="00680F12"/>
    <w:rsid w:val="00681581"/>
    <w:rsid w:val="00681ABD"/>
    <w:rsid w:val="00681F56"/>
    <w:rsid w:val="00682F2D"/>
    <w:rsid w:val="00684C5C"/>
    <w:rsid w:val="00686B5F"/>
    <w:rsid w:val="00693574"/>
    <w:rsid w:val="00694AEB"/>
    <w:rsid w:val="00695E37"/>
    <w:rsid w:val="006966B4"/>
    <w:rsid w:val="006A45B9"/>
    <w:rsid w:val="006A5C78"/>
    <w:rsid w:val="006A79F0"/>
    <w:rsid w:val="006B03AF"/>
    <w:rsid w:val="006B0693"/>
    <w:rsid w:val="006B130B"/>
    <w:rsid w:val="006B3C27"/>
    <w:rsid w:val="006B58C9"/>
    <w:rsid w:val="006B6D45"/>
    <w:rsid w:val="006B7E41"/>
    <w:rsid w:val="006C3780"/>
    <w:rsid w:val="006C4F50"/>
    <w:rsid w:val="006C5141"/>
    <w:rsid w:val="006C68A7"/>
    <w:rsid w:val="006C7EC2"/>
    <w:rsid w:val="006D4807"/>
    <w:rsid w:val="006D642F"/>
    <w:rsid w:val="006D68D2"/>
    <w:rsid w:val="006D7DC2"/>
    <w:rsid w:val="006E0D5A"/>
    <w:rsid w:val="006E4801"/>
    <w:rsid w:val="006E6ACF"/>
    <w:rsid w:val="006E7911"/>
    <w:rsid w:val="006F0DFB"/>
    <w:rsid w:val="006F22A4"/>
    <w:rsid w:val="006F4769"/>
    <w:rsid w:val="007003CC"/>
    <w:rsid w:val="00701B1C"/>
    <w:rsid w:val="007030E2"/>
    <w:rsid w:val="0070537B"/>
    <w:rsid w:val="00705E66"/>
    <w:rsid w:val="00706189"/>
    <w:rsid w:val="00710013"/>
    <w:rsid w:val="00710AD5"/>
    <w:rsid w:val="007118EE"/>
    <w:rsid w:val="007127C6"/>
    <w:rsid w:val="007133FA"/>
    <w:rsid w:val="007139BC"/>
    <w:rsid w:val="0071633B"/>
    <w:rsid w:val="00725343"/>
    <w:rsid w:val="0073093D"/>
    <w:rsid w:val="007331CC"/>
    <w:rsid w:val="0073423B"/>
    <w:rsid w:val="007342EB"/>
    <w:rsid w:val="00735C46"/>
    <w:rsid w:val="0073616B"/>
    <w:rsid w:val="00736341"/>
    <w:rsid w:val="00741E96"/>
    <w:rsid w:val="007425CA"/>
    <w:rsid w:val="00742C31"/>
    <w:rsid w:val="007445C9"/>
    <w:rsid w:val="00745403"/>
    <w:rsid w:val="0074602C"/>
    <w:rsid w:val="00746A62"/>
    <w:rsid w:val="00747598"/>
    <w:rsid w:val="00751192"/>
    <w:rsid w:val="00752FD2"/>
    <w:rsid w:val="00753AAB"/>
    <w:rsid w:val="0075688E"/>
    <w:rsid w:val="00756EFE"/>
    <w:rsid w:val="007623D7"/>
    <w:rsid w:val="00763255"/>
    <w:rsid w:val="00765D6B"/>
    <w:rsid w:val="007661C3"/>
    <w:rsid w:val="007709BA"/>
    <w:rsid w:val="00771FF8"/>
    <w:rsid w:val="00772B29"/>
    <w:rsid w:val="00776A7A"/>
    <w:rsid w:val="007776F9"/>
    <w:rsid w:val="00786109"/>
    <w:rsid w:val="00793720"/>
    <w:rsid w:val="00793E58"/>
    <w:rsid w:val="00794AFE"/>
    <w:rsid w:val="0079604C"/>
    <w:rsid w:val="0079667E"/>
    <w:rsid w:val="007A4B5C"/>
    <w:rsid w:val="007B08D8"/>
    <w:rsid w:val="007B1C21"/>
    <w:rsid w:val="007C0843"/>
    <w:rsid w:val="007C2CDB"/>
    <w:rsid w:val="007C301B"/>
    <w:rsid w:val="007C54F4"/>
    <w:rsid w:val="007D150D"/>
    <w:rsid w:val="007D1BBB"/>
    <w:rsid w:val="007D3E44"/>
    <w:rsid w:val="007D4064"/>
    <w:rsid w:val="007D46BF"/>
    <w:rsid w:val="007D57A7"/>
    <w:rsid w:val="007D70F8"/>
    <w:rsid w:val="007D7123"/>
    <w:rsid w:val="007D7475"/>
    <w:rsid w:val="007E2ED2"/>
    <w:rsid w:val="007E6826"/>
    <w:rsid w:val="007E6F6C"/>
    <w:rsid w:val="007F0275"/>
    <w:rsid w:val="007F1049"/>
    <w:rsid w:val="007F32BB"/>
    <w:rsid w:val="007F6228"/>
    <w:rsid w:val="008017CF"/>
    <w:rsid w:val="0080180D"/>
    <w:rsid w:val="00803A32"/>
    <w:rsid w:val="00804B49"/>
    <w:rsid w:val="00814AD5"/>
    <w:rsid w:val="008151A7"/>
    <w:rsid w:val="00817643"/>
    <w:rsid w:val="00820E10"/>
    <w:rsid w:val="00820F51"/>
    <w:rsid w:val="0082286C"/>
    <w:rsid w:val="00827A44"/>
    <w:rsid w:val="00827BC3"/>
    <w:rsid w:val="0083281B"/>
    <w:rsid w:val="00833B6C"/>
    <w:rsid w:val="00836FA5"/>
    <w:rsid w:val="0084210D"/>
    <w:rsid w:val="00844021"/>
    <w:rsid w:val="0084702E"/>
    <w:rsid w:val="0085331D"/>
    <w:rsid w:val="008548CB"/>
    <w:rsid w:val="00857618"/>
    <w:rsid w:val="008577BF"/>
    <w:rsid w:val="00857CDF"/>
    <w:rsid w:val="00860167"/>
    <w:rsid w:val="0086179C"/>
    <w:rsid w:val="008619EA"/>
    <w:rsid w:val="0086238E"/>
    <w:rsid w:val="00865CCF"/>
    <w:rsid w:val="00867237"/>
    <w:rsid w:val="008707AA"/>
    <w:rsid w:val="00870DBB"/>
    <w:rsid w:val="0087109D"/>
    <w:rsid w:val="00872A8B"/>
    <w:rsid w:val="00876E6C"/>
    <w:rsid w:val="00877137"/>
    <w:rsid w:val="00880F5B"/>
    <w:rsid w:val="00882B8D"/>
    <w:rsid w:val="00883CA0"/>
    <w:rsid w:val="00885CDA"/>
    <w:rsid w:val="008869D1"/>
    <w:rsid w:val="00887C71"/>
    <w:rsid w:val="00887EE1"/>
    <w:rsid w:val="00893BEC"/>
    <w:rsid w:val="00894099"/>
    <w:rsid w:val="0089626C"/>
    <w:rsid w:val="008973AC"/>
    <w:rsid w:val="008A0348"/>
    <w:rsid w:val="008A2D1A"/>
    <w:rsid w:val="008A3C6E"/>
    <w:rsid w:val="008A3CB7"/>
    <w:rsid w:val="008A412B"/>
    <w:rsid w:val="008A4283"/>
    <w:rsid w:val="008A5770"/>
    <w:rsid w:val="008A5A30"/>
    <w:rsid w:val="008A7724"/>
    <w:rsid w:val="008B08CB"/>
    <w:rsid w:val="008B19A2"/>
    <w:rsid w:val="008B3528"/>
    <w:rsid w:val="008C1FD2"/>
    <w:rsid w:val="008C27F8"/>
    <w:rsid w:val="008C76C5"/>
    <w:rsid w:val="008D21F2"/>
    <w:rsid w:val="008D425F"/>
    <w:rsid w:val="008D7255"/>
    <w:rsid w:val="008D732B"/>
    <w:rsid w:val="008D7840"/>
    <w:rsid w:val="008E27D2"/>
    <w:rsid w:val="008E2B17"/>
    <w:rsid w:val="008E31FD"/>
    <w:rsid w:val="008E3FF3"/>
    <w:rsid w:val="008E435A"/>
    <w:rsid w:val="008E4682"/>
    <w:rsid w:val="008E7AFC"/>
    <w:rsid w:val="008F0937"/>
    <w:rsid w:val="008F0ACC"/>
    <w:rsid w:val="008F1D4F"/>
    <w:rsid w:val="008F440D"/>
    <w:rsid w:val="008F7500"/>
    <w:rsid w:val="00901737"/>
    <w:rsid w:val="00901B49"/>
    <w:rsid w:val="00903F65"/>
    <w:rsid w:val="009049B6"/>
    <w:rsid w:val="00906B2E"/>
    <w:rsid w:val="00915A58"/>
    <w:rsid w:val="00916110"/>
    <w:rsid w:val="00917E5F"/>
    <w:rsid w:val="00920485"/>
    <w:rsid w:val="0092418A"/>
    <w:rsid w:val="0092438B"/>
    <w:rsid w:val="0092462A"/>
    <w:rsid w:val="00926168"/>
    <w:rsid w:val="00932414"/>
    <w:rsid w:val="009348EF"/>
    <w:rsid w:val="0093504E"/>
    <w:rsid w:val="00935110"/>
    <w:rsid w:val="009353FA"/>
    <w:rsid w:val="00935EC4"/>
    <w:rsid w:val="00940521"/>
    <w:rsid w:val="0094060F"/>
    <w:rsid w:val="00941F5D"/>
    <w:rsid w:val="00946044"/>
    <w:rsid w:val="009460AE"/>
    <w:rsid w:val="009478A4"/>
    <w:rsid w:val="00947F6D"/>
    <w:rsid w:val="0095020E"/>
    <w:rsid w:val="00953D33"/>
    <w:rsid w:val="0095402B"/>
    <w:rsid w:val="009574AC"/>
    <w:rsid w:val="00960082"/>
    <w:rsid w:val="00961B31"/>
    <w:rsid w:val="00962D28"/>
    <w:rsid w:val="00965ED7"/>
    <w:rsid w:val="00967724"/>
    <w:rsid w:val="00970956"/>
    <w:rsid w:val="00970E34"/>
    <w:rsid w:val="00972C93"/>
    <w:rsid w:val="0097390D"/>
    <w:rsid w:val="00975C46"/>
    <w:rsid w:val="009769DF"/>
    <w:rsid w:val="009769F8"/>
    <w:rsid w:val="00982883"/>
    <w:rsid w:val="00983AEE"/>
    <w:rsid w:val="009869EF"/>
    <w:rsid w:val="009904C3"/>
    <w:rsid w:val="009938D8"/>
    <w:rsid w:val="00994739"/>
    <w:rsid w:val="00997401"/>
    <w:rsid w:val="0099767B"/>
    <w:rsid w:val="009A129B"/>
    <w:rsid w:val="009A18CA"/>
    <w:rsid w:val="009A408F"/>
    <w:rsid w:val="009A6E1D"/>
    <w:rsid w:val="009B0930"/>
    <w:rsid w:val="009B0E4D"/>
    <w:rsid w:val="009B211F"/>
    <w:rsid w:val="009B23C9"/>
    <w:rsid w:val="009B7378"/>
    <w:rsid w:val="009B744B"/>
    <w:rsid w:val="009C1FD4"/>
    <w:rsid w:val="009C2DC4"/>
    <w:rsid w:val="009C305B"/>
    <w:rsid w:val="009C4A0E"/>
    <w:rsid w:val="009C51E5"/>
    <w:rsid w:val="009C62C0"/>
    <w:rsid w:val="009C7256"/>
    <w:rsid w:val="009D3B2E"/>
    <w:rsid w:val="009D3D62"/>
    <w:rsid w:val="009D404A"/>
    <w:rsid w:val="009D6639"/>
    <w:rsid w:val="009D727C"/>
    <w:rsid w:val="009E08C3"/>
    <w:rsid w:val="009E6782"/>
    <w:rsid w:val="009E7BF6"/>
    <w:rsid w:val="009E7FB4"/>
    <w:rsid w:val="009F4FC8"/>
    <w:rsid w:val="009F6627"/>
    <w:rsid w:val="009F783E"/>
    <w:rsid w:val="00A01D39"/>
    <w:rsid w:val="00A0388A"/>
    <w:rsid w:val="00A0411E"/>
    <w:rsid w:val="00A05AC8"/>
    <w:rsid w:val="00A10751"/>
    <w:rsid w:val="00A10C43"/>
    <w:rsid w:val="00A16F41"/>
    <w:rsid w:val="00A20645"/>
    <w:rsid w:val="00A249D6"/>
    <w:rsid w:val="00A252C4"/>
    <w:rsid w:val="00A276C8"/>
    <w:rsid w:val="00A31A29"/>
    <w:rsid w:val="00A31C91"/>
    <w:rsid w:val="00A323D0"/>
    <w:rsid w:val="00A33CBB"/>
    <w:rsid w:val="00A364AB"/>
    <w:rsid w:val="00A4404D"/>
    <w:rsid w:val="00A44ABB"/>
    <w:rsid w:val="00A44DA7"/>
    <w:rsid w:val="00A45EE0"/>
    <w:rsid w:val="00A5037F"/>
    <w:rsid w:val="00A509E4"/>
    <w:rsid w:val="00A52756"/>
    <w:rsid w:val="00A52B6D"/>
    <w:rsid w:val="00A55094"/>
    <w:rsid w:val="00A55477"/>
    <w:rsid w:val="00A57ACE"/>
    <w:rsid w:val="00A612BF"/>
    <w:rsid w:val="00A624D8"/>
    <w:rsid w:val="00A62895"/>
    <w:rsid w:val="00A656E4"/>
    <w:rsid w:val="00A66357"/>
    <w:rsid w:val="00A67972"/>
    <w:rsid w:val="00A724D3"/>
    <w:rsid w:val="00A77EE4"/>
    <w:rsid w:val="00A81322"/>
    <w:rsid w:val="00A81AD5"/>
    <w:rsid w:val="00A8274D"/>
    <w:rsid w:val="00A847AA"/>
    <w:rsid w:val="00A84DDD"/>
    <w:rsid w:val="00A878AB"/>
    <w:rsid w:val="00A911C9"/>
    <w:rsid w:val="00A95F7D"/>
    <w:rsid w:val="00A966A5"/>
    <w:rsid w:val="00AA1BB5"/>
    <w:rsid w:val="00AA4CB2"/>
    <w:rsid w:val="00AA577A"/>
    <w:rsid w:val="00AA78EF"/>
    <w:rsid w:val="00AB0217"/>
    <w:rsid w:val="00AB1731"/>
    <w:rsid w:val="00AB3ABB"/>
    <w:rsid w:val="00AB4699"/>
    <w:rsid w:val="00AB6232"/>
    <w:rsid w:val="00AB73F4"/>
    <w:rsid w:val="00AC083E"/>
    <w:rsid w:val="00AC0D07"/>
    <w:rsid w:val="00AC20A5"/>
    <w:rsid w:val="00AC270B"/>
    <w:rsid w:val="00AC2EC9"/>
    <w:rsid w:val="00AC7226"/>
    <w:rsid w:val="00AD0680"/>
    <w:rsid w:val="00AD1AE2"/>
    <w:rsid w:val="00AD603A"/>
    <w:rsid w:val="00AE02F8"/>
    <w:rsid w:val="00AE37B6"/>
    <w:rsid w:val="00AE58E7"/>
    <w:rsid w:val="00AF2318"/>
    <w:rsid w:val="00AF4D79"/>
    <w:rsid w:val="00AF4E3F"/>
    <w:rsid w:val="00AF5238"/>
    <w:rsid w:val="00AF6B81"/>
    <w:rsid w:val="00AF6DE3"/>
    <w:rsid w:val="00B005DD"/>
    <w:rsid w:val="00B00BF9"/>
    <w:rsid w:val="00B01BA0"/>
    <w:rsid w:val="00B04767"/>
    <w:rsid w:val="00B04F80"/>
    <w:rsid w:val="00B0538A"/>
    <w:rsid w:val="00B05A54"/>
    <w:rsid w:val="00B14664"/>
    <w:rsid w:val="00B14F2B"/>
    <w:rsid w:val="00B1571E"/>
    <w:rsid w:val="00B1687D"/>
    <w:rsid w:val="00B2157C"/>
    <w:rsid w:val="00B21854"/>
    <w:rsid w:val="00B2275F"/>
    <w:rsid w:val="00B2285F"/>
    <w:rsid w:val="00B23700"/>
    <w:rsid w:val="00B23C0C"/>
    <w:rsid w:val="00B25B48"/>
    <w:rsid w:val="00B261BA"/>
    <w:rsid w:val="00B26BFD"/>
    <w:rsid w:val="00B325E8"/>
    <w:rsid w:val="00B35DDB"/>
    <w:rsid w:val="00B40530"/>
    <w:rsid w:val="00B40CD2"/>
    <w:rsid w:val="00B41E30"/>
    <w:rsid w:val="00B41F7E"/>
    <w:rsid w:val="00B4635D"/>
    <w:rsid w:val="00B50618"/>
    <w:rsid w:val="00B50920"/>
    <w:rsid w:val="00B52580"/>
    <w:rsid w:val="00B55F35"/>
    <w:rsid w:val="00B56DA7"/>
    <w:rsid w:val="00B56F60"/>
    <w:rsid w:val="00B57A26"/>
    <w:rsid w:val="00B63346"/>
    <w:rsid w:val="00B6379D"/>
    <w:rsid w:val="00B65F4F"/>
    <w:rsid w:val="00B67560"/>
    <w:rsid w:val="00B74266"/>
    <w:rsid w:val="00B80926"/>
    <w:rsid w:val="00B84D32"/>
    <w:rsid w:val="00B85EA3"/>
    <w:rsid w:val="00B8645A"/>
    <w:rsid w:val="00B8668E"/>
    <w:rsid w:val="00B90CE6"/>
    <w:rsid w:val="00B91270"/>
    <w:rsid w:val="00B91D3F"/>
    <w:rsid w:val="00B960A4"/>
    <w:rsid w:val="00B962C4"/>
    <w:rsid w:val="00B96397"/>
    <w:rsid w:val="00BA22FB"/>
    <w:rsid w:val="00BA4A01"/>
    <w:rsid w:val="00BA713C"/>
    <w:rsid w:val="00BB0E8D"/>
    <w:rsid w:val="00BB447A"/>
    <w:rsid w:val="00BB4AE2"/>
    <w:rsid w:val="00BB52C8"/>
    <w:rsid w:val="00BB6939"/>
    <w:rsid w:val="00BB7794"/>
    <w:rsid w:val="00BC04A9"/>
    <w:rsid w:val="00BC090A"/>
    <w:rsid w:val="00BC29A6"/>
    <w:rsid w:val="00BC3D9B"/>
    <w:rsid w:val="00BC619B"/>
    <w:rsid w:val="00BC7069"/>
    <w:rsid w:val="00BD0A1C"/>
    <w:rsid w:val="00BD18CB"/>
    <w:rsid w:val="00BD27D5"/>
    <w:rsid w:val="00BD79C5"/>
    <w:rsid w:val="00BE2223"/>
    <w:rsid w:val="00BE4C08"/>
    <w:rsid w:val="00BE6D15"/>
    <w:rsid w:val="00BE727C"/>
    <w:rsid w:val="00BF2AE4"/>
    <w:rsid w:val="00BF3FA6"/>
    <w:rsid w:val="00C02FF2"/>
    <w:rsid w:val="00C03E75"/>
    <w:rsid w:val="00C04FC6"/>
    <w:rsid w:val="00C050B2"/>
    <w:rsid w:val="00C0684F"/>
    <w:rsid w:val="00C147D7"/>
    <w:rsid w:val="00C20297"/>
    <w:rsid w:val="00C22D27"/>
    <w:rsid w:val="00C23351"/>
    <w:rsid w:val="00C250A6"/>
    <w:rsid w:val="00C26B46"/>
    <w:rsid w:val="00C30A67"/>
    <w:rsid w:val="00C31E19"/>
    <w:rsid w:val="00C347B9"/>
    <w:rsid w:val="00C35C58"/>
    <w:rsid w:val="00C37E41"/>
    <w:rsid w:val="00C435A9"/>
    <w:rsid w:val="00C4683D"/>
    <w:rsid w:val="00C4711F"/>
    <w:rsid w:val="00C50E3B"/>
    <w:rsid w:val="00C51FEF"/>
    <w:rsid w:val="00C525A7"/>
    <w:rsid w:val="00C5350D"/>
    <w:rsid w:val="00C5441E"/>
    <w:rsid w:val="00C54675"/>
    <w:rsid w:val="00C55110"/>
    <w:rsid w:val="00C56194"/>
    <w:rsid w:val="00C57196"/>
    <w:rsid w:val="00C61F8B"/>
    <w:rsid w:val="00C64D10"/>
    <w:rsid w:val="00C66567"/>
    <w:rsid w:val="00C7321C"/>
    <w:rsid w:val="00C74976"/>
    <w:rsid w:val="00C77323"/>
    <w:rsid w:val="00C773B6"/>
    <w:rsid w:val="00C81816"/>
    <w:rsid w:val="00C81C31"/>
    <w:rsid w:val="00C91C2C"/>
    <w:rsid w:val="00C938C7"/>
    <w:rsid w:val="00C94971"/>
    <w:rsid w:val="00C94B4D"/>
    <w:rsid w:val="00C95AA2"/>
    <w:rsid w:val="00C963F5"/>
    <w:rsid w:val="00CA018C"/>
    <w:rsid w:val="00CA1FDB"/>
    <w:rsid w:val="00CA2172"/>
    <w:rsid w:val="00CB33E5"/>
    <w:rsid w:val="00CB60AD"/>
    <w:rsid w:val="00CB610C"/>
    <w:rsid w:val="00CB70BB"/>
    <w:rsid w:val="00CC0308"/>
    <w:rsid w:val="00CC0CBF"/>
    <w:rsid w:val="00CC1293"/>
    <w:rsid w:val="00CC2FB7"/>
    <w:rsid w:val="00CC5773"/>
    <w:rsid w:val="00CD2134"/>
    <w:rsid w:val="00CD7FF6"/>
    <w:rsid w:val="00CE2F83"/>
    <w:rsid w:val="00CE3284"/>
    <w:rsid w:val="00CE3285"/>
    <w:rsid w:val="00CE3562"/>
    <w:rsid w:val="00CE664E"/>
    <w:rsid w:val="00CF07E3"/>
    <w:rsid w:val="00CF0C70"/>
    <w:rsid w:val="00CF3199"/>
    <w:rsid w:val="00CF34AF"/>
    <w:rsid w:val="00CF4DC4"/>
    <w:rsid w:val="00CF4EBD"/>
    <w:rsid w:val="00CF5272"/>
    <w:rsid w:val="00CF7933"/>
    <w:rsid w:val="00D00630"/>
    <w:rsid w:val="00D03008"/>
    <w:rsid w:val="00D0329D"/>
    <w:rsid w:val="00D049E8"/>
    <w:rsid w:val="00D05077"/>
    <w:rsid w:val="00D0676E"/>
    <w:rsid w:val="00D10666"/>
    <w:rsid w:val="00D12BB0"/>
    <w:rsid w:val="00D16266"/>
    <w:rsid w:val="00D16CBE"/>
    <w:rsid w:val="00D17B8B"/>
    <w:rsid w:val="00D22D2E"/>
    <w:rsid w:val="00D25080"/>
    <w:rsid w:val="00D273C8"/>
    <w:rsid w:val="00D30150"/>
    <w:rsid w:val="00D359FF"/>
    <w:rsid w:val="00D3604E"/>
    <w:rsid w:val="00D37D59"/>
    <w:rsid w:val="00D44D4A"/>
    <w:rsid w:val="00D470ED"/>
    <w:rsid w:val="00D479C4"/>
    <w:rsid w:val="00D47BD1"/>
    <w:rsid w:val="00D515E1"/>
    <w:rsid w:val="00D51666"/>
    <w:rsid w:val="00D560F1"/>
    <w:rsid w:val="00D60054"/>
    <w:rsid w:val="00D6025A"/>
    <w:rsid w:val="00D64B64"/>
    <w:rsid w:val="00D65F2E"/>
    <w:rsid w:val="00D669B6"/>
    <w:rsid w:val="00D66F05"/>
    <w:rsid w:val="00D673C2"/>
    <w:rsid w:val="00D71499"/>
    <w:rsid w:val="00D72B3A"/>
    <w:rsid w:val="00D7462A"/>
    <w:rsid w:val="00D74B9B"/>
    <w:rsid w:val="00D75B35"/>
    <w:rsid w:val="00D83D3A"/>
    <w:rsid w:val="00D83F5B"/>
    <w:rsid w:val="00D85E97"/>
    <w:rsid w:val="00D87A67"/>
    <w:rsid w:val="00D94A4D"/>
    <w:rsid w:val="00D970E2"/>
    <w:rsid w:val="00DA17B1"/>
    <w:rsid w:val="00DA1949"/>
    <w:rsid w:val="00DA1E21"/>
    <w:rsid w:val="00DA36E8"/>
    <w:rsid w:val="00DA39FE"/>
    <w:rsid w:val="00DA5FB6"/>
    <w:rsid w:val="00DB0A78"/>
    <w:rsid w:val="00DB0C0B"/>
    <w:rsid w:val="00DB6F08"/>
    <w:rsid w:val="00DC096A"/>
    <w:rsid w:val="00DC11FB"/>
    <w:rsid w:val="00DC1407"/>
    <w:rsid w:val="00DC308B"/>
    <w:rsid w:val="00DC478E"/>
    <w:rsid w:val="00DC6668"/>
    <w:rsid w:val="00DC7A7C"/>
    <w:rsid w:val="00DD09C8"/>
    <w:rsid w:val="00DD1F65"/>
    <w:rsid w:val="00DD3706"/>
    <w:rsid w:val="00DD56C0"/>
    <w:rsid w:val="00DD6DF0"/>
    <w:rsid w:val="00DE085E"/>
    <w:rsid w:val="00DE2F01"/>
    <w:rsid w:val="00DE4040"/>
    <w:rsid w:val="00DE5267"/>
    <w:rsid w:val="00DE537D"/>
    <w:rsid w:val="00DE61B3"/>
    <w:rsid w:val="00DF0896"/>
    <w:rsid w:val="00DF1260"/>
    <w:rsid w:val="00DF2796"/>
    <w:rsid w:val="00DF5627"/>
    <w:rsid w:val="00DF5657"/>
    <w:rsid w:val="00DF6F87"/>
    <w:rsid w:val="00E006A1"/>
    <w:rsid w:val="00E03551"/>
    <w:rsid w:val="00E04AA5"/>
    <w:rsid w:val="00E0529D"/>
    <w:rsid w:val="00E06750"/>
    <w:rsid w:val="00E071AA"/>
    <w:rsid w:val="00E07C51"/>
    <w:rsid w:val="00E11EA1"/>
    <w:rsid w:val="00E1497A"/>
    <w:rsid w:val="00E242A5"/>
    <w:rsid w:val="00E2729B"/>
    <w:rsid w:val="00E310EF"/>
    <w:rsid w:val="00E31AC6"/>
    <w:rsid w:val="00E33E4B"/>
    <w:rsid w:val="00E374DC"/>
    <w:rsid w:val="00E427EC"/>
    <w:rsid w:val="00E43595"/>
    <w:rsid w:val="00E45568"/>
    <w:rsid w:val="00E47332"/>
    <w:rsid w:val="00E475D9"/>
    <w:rsid w:val="00E50344"/>
    <w:rsid w:val="00E511F4"/>
    <w:rsid w:val="00E51D90"/>
    <w:rsid w:val="00E527E8"/>
    <w:rsid w:val="00E5559F"/>
    <w:rsid w:val="00E57287"/>
    <w:rsid w:val="00E611FD"/>
    <w:rsid w:val="00E6201A"/>
    <w:rsid w:val="00E627C6"/>
    <w:rsid w:val="00E62F7F"/>
    <w:rsid w:val="00E722F0"/>
    <w:rsid w:val="00E73362"/>
    <w:rsid w:val="00E743C1"/>
    <w:rsid w:val="00E74582"/>
    <w:rsid w:val="00E75D60"/>
    <w:rsid w:val="00E83342"/>
    <w:rsid w:val="00E87548"/>
    <w:rsid w:val="00E90AD0"/>
    <w:rsid w:val="00E90B17"/>
    <w:rsid w:val="00E9460E"/>
    <w:rsid w:val="00E95266"/>
    <w:rsid w:val="00E966DC"/>
    <w:rsid w:val="00E975E8"/>
    <w:rsid w:val="00E97706"/>
    <w:rsid w:val="00EA0E8C"/>
    <w:rsid w:val="00EA0FB1"/>
    <w:rsid w:val="00EA2A8B"/>
    <w:rsid w:val="00EA2E2B"/>
    <w:rsid w:val="00EA2FD7"/>
    <w:rsid w:val="00EA5EF6"/>
    <w:rsid w:val="00EA6061"/>
    <w:rsid w:val="00EB345F"/>
    <w:rsid w:val="00EB3D6D"/>
    <w:rsid w:val="00EB4064"/>
    <w:rsid w:val="00EC3FCE"/>
    <w:rsid w:val="00EC59AC"/>
    <w:rsid w:val="00EC69E7"/>
    <w:rsid w:val="00EC7DD1"/>
    <w:rsid w:val="00ED0CEA"/>
    <w:rsid w:val="00ED0E14"/>
    <w:rsid w:val="00ED1456"/>
    <w:rsid w:val="00ED5701"/>
    <w:rsid w:val="00ED5898"/>
    <w:rsid w:val="00ED6A6A"/>
    <w:rsid w:val="00ED7DE7"/>
    <w:rsid w:val="00EE1651"/>
    <w:rsid w:val="00EE1B75"/>
    <w:rsid w:val="00EE36D9"/>
    <w:rsid w:val="00EE400E"/>
    <w:rsid w:val="00EE53F3"/>
    <w:rsid w:val="00EE5505"/>
    <w:rsid w:val="00EE589B"/>
    <w:rsid w:val="00EF3530"/>
    <w:rsid w:val="00EF5619"/>
    <w:rsid w:val="00EF616C"/>
    <w:rsid w:val="00F0058D"/>
    <w:rsid w:val="00F035FF"/>
    <w:rsid w:val="00F06068"/>
    <w:rsid w:val="00F061CE"/>
    <w:rsid w:val="00F073D3"/>
    <w:rsid w:val="00F13071"/>
    <w:rsid w:val="00F17B55"/>
    <w:rsid w:val="00F204A9"/>
    <w:rsid w:val="00F20F19"/>
    <w:rsid w:val="00F250DD"/>
    <w:rsid w:val="00F251FD"/>
    <w:rsid w:val="00F269E7"/>
    <w:rsid w:val="00F26A20"/>
    <w:rsid w:val="00F30627"/>
    <w:rsid w:val="00F30E4F"/>
    <w:rsid w:val="00F335F4"/>
    <w:rsid w:val="00F35883"/>
    <w:rsid w:val="00F35C83"/>
    <w:rsid w:val="00F401BB"/>
    <w:rsid w:val="00F41003"/>
    <w:rsid w:val="00F41904"/>
    <w:rsid w:val="00F45812"/>
    <w:rsid w:val="00F45AB5"/>
    <w:rsid w:val="00F479D2"/>
    <w:rsid w:val="00F512B2"/>
    <w:rsid w:val="00F51915"/>
    <w:rsid w:val="00F520AA"/>
    <w:rsid w:val="00F52B64"/>
    <w:rsid w:val="00F549DA"/>
    <w:rsid w:val="00F5651D"/>
    <w:rsid w:val="00F57320"/>
    <w:rsid w:val="00F60C4A"/>
    <w:rsid w:val="00F6367D"/>
    <w:rsid w:val="00F66924"/>
    <w:rsid w:val="00F6722C"/>
    <w:rsid w:val="00F7078D"/>
    <w:rsid w:val="00F755F1"/>
    <w:rsid w:val="00F76752"/>
    <w:rsid w:val="00F801A6"/>
    <w:rsid w:val="00F80378"/>
    <w:rsid w:val="00F811D9"/>
    <w:rsid w:val="00F813FC"/>
    <w:rsid w:val="00F8210C"/>
    <w:rsid w:val="00F82F39"/>
    <w:rsid w:val="00F85F75"/>
    <w:rsid w:val="00F87DC4"/>
    <w:rsid w:val="00F90490"/>
    <w:rsid w:val="00F91C40"/>
    <w:rsid w:val="00F92F77"/>
    <w:rsid w:val="00F971F0"/>
    <w:rsid w:val="00F9785C"/>
    <w:rsid w:val="00F97A78"/>
    <w:rsid w:val="00FA0607"/>
    <w:rsid w:val="00FA130E"/>
    <w:rsid w:val="00FA1DC3"/>
    <w:rsid w:val="00FA2C2D"/>
    <w:rsid w:val="00FA36BB"/>
    <w:rsid w:val="00FA41A4"/>
    <w:rsid w:val="00FA42CF"/>
    <w:rsid w:val="00FA43E0"/>
    <w:rsid w:val="00FA4420"/>
    <w:rsid w:val="00FA470F"/>
    <w:rsid w:val="00FA62A9"/>
    <w:rsid w:val="00FB26C6"/>
    <w:rsid w:val="00FC1040"/>
    <w:rsid w:val="00FC17AC"/>
    <w:rsid w:val="00FC3DE9"/>
    <w:rsid w:val="00FC54ED"/>
    <w:rsid w:val="00FC634E"/>
    <w:rsid w:val="00FC73CC"/>
    <w:rsid w:val="00FC7777"/>
    <w:rsid w:val="00FD1493"/>
    <w:rsid w:val="00FE161B"/>
    <w:rsid w:val="00FE1A1D"/>
    <w:rsid w:val="00FE2BC6"/>
    <w:rsid w:val="00FE2EE7"/>
    <w:rsid w:val="00FE6346"/>
    <w:rsid w:val="00FF1A65"/>
    <w:rsid w:val="00FF3A91"/>
    <w:rsid w:val="00FF4EB3"/>
    <w:rsid w:val="00FF71B5"/>
    <w:rsid w:val="00FF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2C"/>
    <w:pPr>
      <w:spacing w:after="200" w:line="276" w:lineRule="auto"/>
    </w:pPr>
    <w:rPr>
      <w:sz w:val="22"/>
      <w:szCs w:val="22"/>
    </w:rPr>
  </w:style>
  <w:style w:type="paragraph" w:styleId="Heading1">
    <w:name w:val="heading 1"/>
    <w:basedOn w:val="Normal"/>
    <w:next w:val="Normal"/>
    <w:link w:val="Heading1Char"/>
    <w:uiPriority w:val="99"/>
    <w:qFormat/>
    <w:rsid w:val="00741E96"/>
    <w:pPr>
      <w:spacing w:after="0"/>
      <w:jc w:val="center"/>
      <w:outlineLvl w:val="0"/>
    </w:pPr>
    <w:rPr>
      <w:rFonts w:ascii="Times New Roman" w:hAnsi="Times New Roman"/>
      <w:b/>
      <w:sz w:val="24"/>
      <w:szCs w:val="24"/>
      <w:u w:val="single"/>
    </w:rPr>
  </w:style>
  <w:style w:type="paragraph" w:styleId="Heading2">
    <w:name w:val="heading 2"/>
    <w:basedOn w:val="Normal"/>
    <w:next w:val="Normal"/>
    <w:link w:val="Heading2Char"/>
    <w:uiPriority w:val="9"/>
    <w:unhideWhenUsed/>
    <w:qFormat/>
    <w:rsid w:val="00741E96"/>
    <w:pPr>
      <w:spacing w:after="0" w:line="480" w:lineRule="auto"/>
      <w:jc w:val="center"/>
      <w:outlineLvl w:val="1"/>
    </w:pPr>
    <w:rPr>
      <w:rFonts w:ascii="Times New Roman" w:hAnsi="Times New Roman"/>
      <w:b/>
      <w:sz w:val="24"/>
      <w:szCs w:val="24"/>
      <w:u w:val="single"/>
      <w:lang w:val="en-CA"/>
    </w:rPr>
  </w:style>
  <w:style w:type="paragraph" w:styleId="Heading3">
    <w:name w:val="heading 3"/>
    <w:basedOn w:val="Normal"/>
    <w:next w:val="Normal"/>
    <w:link w:val="Heading3Char"/>
    <w:uiPriority w:val="9"/>
    <w:semiHidden/>
    <w:unhideWhenUsed/>
    <w:qFormat/>
    <w:rsid w:val="008F0ACC"/>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0D1CD3"/>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41E96"/>
    <w:rPr>
      <w:rFonts w:ascii="Times New Roman" w:hAnsi="Times New Roman"/>
      <w:b/>
      <w:sz w:val="24"/>
      <w:szCs w:val="24"/>
      <w:u w:val="single"/>
    </w:rPr>
  </w:style>
  <w:style w:type="paragraph" w:styleId="ListParagraph">
    <w:name w:val="List Paragraph"/>
    <w:basedOn w:val="Normal"/>
    <w:uiPriority w:val="34"/>
    <w:qFormat/>
    <w:rsid w:val="00882B8D"/>
    <w:pPr>
      <w:ind w:left="720"/>
      <w:contextualSpacing/>
    </w:pPr>
  </w:style>
  <w:style w:type="character" w:styleId="Hyperlink">
    <w:name w:val="Hyperlink"/>
    <w:uiPriority w:val="99"/>
    <w:unhideWhenUsed/>
    <w:rsid w:val="00C51FEF"/>
    <w:rPr>
      <w:color w:val="0000FF"/>
      <w:u w:val="single"/>
    </w:rPr>
  </w:style>
  <w:style w:type="character" w:styleId="FollowedHyperlink">
    <w:name w:val="FollowedHyperlink"/>
    <w:uiPriority w:val="99"/>
    <w:semiHidden/>
    <w:unhideWhenUsed/>
    <w:rsid w:val="0016706F"/>
    <w:rPr>
      <w:color w:val="800080"/>
      <w:u w:val="single"/>
    </w:rPr>
  </w:style>
  <w:style w:type="paragraph" w:styleId="FootnoteText">
    <w:name w:val="footnote text"/>
    <w:aliases w:val="ft,Footnote Text Char Char Char Char Char Char Char Char Char Char Char Char Char Char Char Char Char,Footnote Text Char Char Char Char Char Char Char Char Char Char Char Char Char Char Char Char Char Char Char Char,fn,ALTS FOOTNOTE"/>
    <w:basedOn w:val="Normal"/>
    <w:link w:val="FootnoteTextChar"/>
    <w:uiPriority w:val="99"/>
    <w:unhideWhenUsed/>
    <w:rsid w:val="00CE3285"/>
    <w:pPr>
      <w:spacing w:after="0" w:line="240" w:lineRule="auto"/>
    </w:pPr>
    <w:rPr>
      <w:sz w:val="20"/>
      <w:szCs w:val="20"/>
    </w:rPr>
  </w:style>
  <w:style w:type="character" w:customStyle="1" w:styleId="FootnoteTextChar">
    <w:name w:val="Footnote Text Char"/>
    <w:aliases w:val="ft Char,Footnote Text Char Char Char Char Char Char Char Char Char Char Char Char Char Char Char Char Char Char,Footnote Text Char Char Char Char Char Char Char Char Char Char Char Char Char Char Char Char Char Char Char Char Char"/>
    <w:link w:val="FootnoteText"/>
    <w:uiPriority w:val="99"/>
    <w:rsid w:val="00CE3285"/>
    <w:rPr>
      <w:sz w:val="20"/>
      <w:szCs w:val="20"/>
    </w:rPr>
  </w:style>
  <w:style w:type="character" w:styleId="FootnoteReference">
    <w:name w:val="footnote reference"/>
    <w:aliases w:val="fr,12,Style 19,Style 16,Style 35"/>
    <w:uiPriority w:val="99"/>
    <w:unhideWhenUsed/>
    <w:rsid w:val="00CE3285"/>
    <w:rPr>
      <w:vertAlign w:val="superscript"/>
    </w:rPr>
  </w:style>
  <w:style w:type="paragraph" w:styleId="BodyText">
    <w:name w:val="Body Text"/>
    <w:basedOn w:val="Normal"/>
    <w:link w:val="BodyTextChar"/>
    <w:uiPriority w:val="99"/>
    <w:rsid w:val="00146728"/>
    <w:pPr>
      <w:widowControl w:val="0"/>
      <w:autoSpaceDE w:val="0"/>
      <w:autoSpaceDN w:val="0"/>
      <w:adjustRightInd w:val="0"/>
      <w:spacing w:after="0" w:line="480" w:lineRule="auto"/>
      <w:jc w:val="both"/>
    </w:pPr>
    <w:rPr>
      <w:rFonts w:ascii="Times New Roman" w:hAnsi="Times New Roman"/>
      <w:sz w:val="24"/>
      <w:szCs w:val="24"/>
    </w:rPr>
  </w:style>
  <w:style w:type="character" w:customStyle="1" w:styleId="BodyTextChar">
    <w:name w:val="Body Text Char"/>
    <w:link w:val="BodyText"/>
    <w:uiPriority w:val="99"/>
    <w:rsid w:val="00146728"/>
    <w:rPr>
      <w:rFonts w:ascii="Times New Roman" w:hAnsi="Times New Roman" w:cs="Times New Roman"/>
      <w:sz w:val="24"/>
      <w:szCs w:val="24"/>
    </w:rPr>
  </w:style>
  <w:style w:type="paragraph" w:styleId="Header">
    <w:name w:val="header"/>
    <w:basedOn w:val="Normal"/>
    <w:link w:val="HeaderChar"/>
    <w:uiPriority w:val="99"/>
    <w:unhideWhenUsed/>
    <w:rsid w:val="0061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45"/>
  </w:style>
  <w:style w:type="paragraph" w:styleId="Footer">
    <w:name w:val="footer"/>
    <w:basedOn w:val="Normal"/>
    <w:link w:val="FooterChar"/>
    <w:uiPriority w:val="99"/>
    <w:unhideWhenUsed/>
    <w:rsid w:val="0061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45"/>
  </w:style>
  <w:style w:type="paragraph" w:styleId="BalloonText">
    <w:name w:val="Balloon Text"/>
    <w:basedOn w:val="Normal"/>
    <w:link w:val="BalloonTextChar"/>
    <w:uiPriority w:val="99"/>
    <w:semiHidden/>
    <w:unhideWhenUsed/>
    <w:rsid w:val="008B19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19A2"/>
    <w:rPr>
      <w:rFonts w:ascii="Tahoma" w:hAnsi="Tahoma" w:cs="Tahoma"/>
      <w:sz w:val="16"/>
      <w:szCs w:val="16"/>
    </w:rPr>
  </w:style>
  <w:style w:type="paragraph" w:styleId="TOCHeading">
    <w:name w:val="TOC Heading"/>
    <w:basedOn w:val="Heading1"/>
    <w:next w:val="Normal"/>
    <w:uiPriority w:val="39"/>
    <w:semiHidden/>
    <w:unhideWhenUsed/>
    <w:qFormat/>
    <w:rsid w:val="00AB0217"/>
    <w:pPr>
      <w:keepNext/>
      <w:keepLines/>
      <w:spacing w:before="480"/>
      <w:jc w:val="left"/>
      <w:outlineLvl w:val="9"/>
    </w:pPr>
    <w:rPr>
      <w:rFonts w:ascii="Cambria" w:eastAsia="MS Gothic" w:hAnsi="Cambria"/>
      <w:color w:val="365F91"/>
      <w:sz w:val="28"/>
      <w:szCs w:val="28"/>
      <w:u w:val="none"/>
      <w:lang w:eastAsia="ja-JP"/>
    </w:rPr>
  </w:style>
  <w:style w:type="paragraph" w:styleId="TOC1">
    <w:name w:val="toc 1"/>
    <w:basedOn w:val="Normal"/>
    <w:next w:val="Normal"/>
    <w:autoRedefine/>
    <w:uiPriority w:val="39"/>
    <w:unhideWhenUsed/>
    <w:rsid w:val="00AB0217"/>
  </w:style>
  <w:style w:type="character" w:styleId="CommentReference">
    <w:name w:val="annotation reference"/>
    <w:uiPriority w:val="99"/>
    <w:semiHidden/>
    <w:unhideWhenUsed/>
    <w:rsid w:val="00DC6668"/>
    <w:rPr>
      <w:sz w:val="16"/>
      <w:szCs w:val="16"/>
    </w:rPr>
  </w:style>
  <w:style w:type="paragraph" w:styleId="CommentText">
    <w:name w:val="annotation text"/>
    <w:basedOn w:val="Normal"/>
    <w:link w:val="CommentTextChar"/>
    <w:uiPriority w:val="99"/>
    <w:semiHidden/>
    <w:unhideWhenUsed/>
    <w:rsid w:val="00DC6668"/>
    <w:rPr>
      <w:sz w:val="20"/>
      <w:szCs w:val="20"/>
    </w:rPr>
  </w:style>
  <w:style w:type="character" w:customStyle="1" w:styleId="CommentTextChar">
    <w:name w:val="Comment Text Char"/>
    <w:basedOn w:val="DefaultParagraphFont"/>
    <w:link w:val="CommentText"/>
    <w:uiPriority w:val="99"/>
    <w:semiHidden/>
    <w:rsid w:val="00DC6668"/>
  </w:style>
  <w:style w:type="paragraph" w:styleId="CommentSubject">
    <w:name w:val="annotation subject"/>
    <w:basedOn w:val="CommentText"/>
    <w:next w:val="CommentText"/>
    <w:link w:val="CommentSubjectChar"/>
    <w:uiPriority w:val="99"/>
    <w:semiHidden/>
    <w:unhideWhenUsed/>
    <w:rsid w:val="00DC6668"/>
    <w:rPr>
      <w:b/>
      <w:bCs/>
    </w:rPr>
  </w:style>
  <w:style w:type="character" w:customStyle="1" w:styleId="CommentSubjectChar">
    <w:name w:val="Comment Subject Char"/>
    <w:link w:val="CommentSubject"/>
    <w:uiPriority w:val="99"/>
    <w:semiHidden/>
    <w:rsid w:val="00DC6668"/>
    <w:rPr>
      <w:b/>
      <w:bCs/>
    </w:rPr>
  </w:style>
  <w:style w:type="character" w:styleId="Strong">
    <w:name w:val="Strong"/>
    <w:uiPriority w:val="22"/>
    <w:qFormat/>
    <w:rsid w:val="003377F9"/>
    <w:rPr>
      <w:b/>
      <w:bCs/>
    </w:rPr>
  </w:style>
  <w:style w:type="character" w:customStyle="1" w:styleId="Heading6Char">
    <w:name w:val="Heading 6 Char"/>
    <w:link w:val="Heading6"/>
    <w:uiPriority w:val="9"/>
    <w:semiHidden/>
    <w:rsid w:val="000D1CD3"/>
    <w:rPr>
      <w:rFonts w:ascii="Calibri" w:eastAsia="Times New Roman" w:hAnsi="Calibri" w:cs="Times New Roman"/>
      <w:b/>
      <w:bCs/>
      <w:sz w:val="22"/>
      <w:szCs w:val="22"/>
    </w:rPr>
  </w:style>
  <w:style w:type="character" w:customStyle="1" w:styleId="listitemlarge">
    <w:name w:val="listitemlarge"/>
    <w:rsid w:val="000D1CD3"/>
  </w:style>
  <w:style w:type="character" w:customStyle="1" w:styleId="Heading3Char">
    <w:name w:val="Heading 3 Char"/>
    <w:link w:val="Heading3"/>
    <w:uiPriority w:val="9"/>
    <w:semiHidden/>
    <w:rsid w:val="008F0ACC"/>
    <w:rPr>
      <w:rFonts w:ascii="Cambria" w:eastAsia="Times New Roman" w:hAnsi="Cambria" w:cs="Times New Roman"/>
      <w:b/>
      <w:bCs/>
      <w:sz w:val="26"/>
      <w:szCs w:val="26"/>
    </w:rPr>
  </w:style>
  <w:style w:type="paragraph" w:styleId="Revision">
    <w:name w:val="Revision"/>
    <w:hidden/>
    <w:uiPriority w:val="99"/>
    <w:semiHidden/>
    <w:rsid w:val="00BB4AE2"/>
    <w:rPr>
      <w:sz w:val="22"/>
      <w:szCs w:val="22"/>
    </w:rPr>
  </w:style>
  <w:style w:type="paragraph" w:customStyle="1" w:styleId="BriefText">
    <w:name w:val="Brief Text"/>
    <w:basedOn w:val="NormalWeb"/>
    <w:link w:val="BriefTextChar1"/>
    <w:qFormat/>
    <w:rsid w:val="00BA22FB"/>
    <w:pPr>
      <w:spacing w:after="0" w:line="480" w:lineRule="auto"/>
      <w:ind w:firstLine="720"/>
    </w:pPr>
    <w:rPr>
      <w:rFonts w:eastAsia="Calibri"/>
    </w:rPr>
  </w:style>
  <w:style w:type="character" w:customStyle="1" w:styleId="BriefTextChar1">
    <w:name w:val="Brief Text Char1"/>
    <w:basedOn w:val="DefaultParagraphFont"/>
    <w:link w:val="BriefText"/>
    <w:rsid w:val="00BA22FB"/>
    <w:rPr>
      <w:rFonts w:ascii="Times New Roman" w:eastAsia="Calibri" w:hAnsi="Times New Roman"/>
      <w:sz w:val="24"/>
      <w:szCs w:val="24"/>
    </w:rPr>
  </w:style>
  <w:style w:type="paragraph" w:styleId="NormalWeb">
    <w:name w:val="Normal (Web)"/>
    <w:basedOn w:val="Normal"/>
    <w:uiPriority w:val="99"/>
    <w:semiHidden/>
    <w:unhideWhenUsed/>
    <w:rsid w:val="00BA22FB"/>
    <w:rPr>
      <w:rFonts w:ascii="Times New Roman" w:hAnsi="Times New Roman"/>
      <w:sz w:val="24"/>
      <w:szCs w:val="24"/>
    </w:rPr>
  </w:style>
  <w:style w:type="paragraph" w:customStyle="1" w:styleId="Default">
    <w:name w:val="Default"/>
    <w:rsid w:val="0045308B"/>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8C1FD2"/>
    <w:rPr>
      <w:i/>
      <w:iCs/>
    </w:rPr>
  </w:style>
  <w:style w:type="paragraph" w:styleId="EndnoteText">
    <w:name w:val="endnote text"/>
    <w:basedOn w:val="Normal"/>
    <w:link w:val="EndnoteTextChar"/>
    <w:uiPriority w:val="99"/>
    <w:semiHidden/>
    <w:unhideWhenUsed/>
    <w:rsid w:val="00771F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FF8"/>
  </w:style>
  <w:style w:type="character" w:styleId="EndnoteReference">
    <w:name w:val="endnote reference"/>
    <w:basedOn w:val="DefaultParagraphFont"/>
    <w:uiPriority w:val="99"/>
    <w:semiHidden/>
    <w:unhideWhenUsed/>
    <w:rsid w:val="00771FF8"/>
    <w:rPr>
      <w:vertAlign w:val="superscript"/>
    </w:rPr>
  </w:style>
  <w:style w:type="paragraph" w:styleId="Title">
    <w:name w:val="Title"/>
    <w:basedOn w:val="Normal"/>
    <w:next w:val="Normal"/>
    <w:link w:val="TitleChar"/>
    <w:uiPriority w:val="10"/>
    <w:qFormat/>
    <w:rsid w:val="00741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uiPriority w:val="10"/>
    <w:rsid w:val="00741E96"/>
    <w:rPr>
      <w:rFonts w:ascii="Times New Roman" w:hAnsi="Times New Roman"/>
      <w:b/>
      <w:sz w:val="24"/>
      <w:szCs w:val="24"/>
    </w:rPr>
  </w:style>
  <w:style w:type="character" w:customStyle="1" w:styleId="Heading2Char">
    <w:name w:val="Heading 2 Char"/>
    <w:basedOn w:val="DefaultParagraphFont"/>
    <w:link w:val="Heading2"/>
    <w:uiPriority w:val="9"/>
    <w:rsid w:val="00741E96"/>
    <w:rPr>
      <w:rFonts w:ascii="Times New Roman" w:hAnsi="Times New Roman"/>
      <w:b/>
      <w:sz w:val="24"/>
      <w:szCs w:val="24"/>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02236">
      <w:bodyDiv w:val="1"/>
      <w:marLeft w:val="0"/>
      <w:marRight w:val="0"/>
      <w:marTop w:val="0"/>
      <w:marBottom w:val="0"/>
      <w:divBdr>
        <w:top w:val="none" w:sz="0" w:space="0" w:color="auto"/>
        <w:left w:val="none" w:sz="0" w:space="0" w:color="auto"/>
        <w:bottom w:val="none" w:sz="0" w:space="0" w:color="auto"/>
        <w:right w:val="none" w:sz="0" w:space="0" w:color="auto"/>
      </w:divBdr>
    </w:div>
    <w:div w:id="158279335">
      <w:bodyDiv w:val="1"/>
      <w:marLeft w:val="720"/>
      <w:marRight w:val="720"/>
      <w:marTop w:val="720"/>
      <w:marBottom w:val="720"/>
      <w:divBdr>
        <w:top w:val="none" w:sz="0" w:space="0" w:color="auto"/>
        <w:left w:val="none" w:sz="0" w:space="0" w:color="auto"/>
        <w:bottom w:val="none" w:sz="0" w:space="0" w:color="auto"/>
        <w:right w:val="none" w:sz="0" w:space="0" w:color="auto"/>
      </w:divBdr>
      <w:divsChild>
        <w:div w:id="344215214">
          <w:marLeft w:val="0"/>
          <w:marRight w:val="0"/>
          <w:marTop w:val="0"/>
          <w:marBottom w:val="0"/>
          <w:divBdr>
            <w:top w:val="none" w:sz="0" w:space="0" w:color="auto"/>
            <w:left w:val="none" w:sz="0" w:space="0" w:color="auto"/>
            <w:bottom w:val="none" w:sz="0" w:space="0" w:color="auto"/>
            <w:right w:val="none" w:sz="0" w:space="0" w:color="auto"/>
          </w:divBdr>
        </w:div>
      </w:divsChild>
    </w:div>
    <w:div w:id="197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8344747">
          <w:marLeft w:val="0"/>
          <w:marRight w:val="0"/>
          <w:marTop w:val="0"/>
          <w:marBottom w:val="0"/>
          <w:divBdr>
            <w:top w:val="none" w:sz="0" w:space="0" w:color="auto"/>
            <w:left w:val="none" w:sz="0" w:space="0" w:color="auto"/>
            <w:bottom w:val="none" w:sz="0" w:space="0" w:color="auto"/>
            <w:right w:val="none" w:sz="0" w:space="0" w:color="auto"/>
          </w:divBdr>
          <w:divsChild>
            <w:div w:id="1645037351">
              <w:marLeft w:val="0"/>
              <w:marRight w:val="0"/>
              <w:marTop w:val="0"/>
              <w:marBottom w:val="0"/>
              <w:divBdr>
                <w:top w:val="none" w:sz="0" w:space="0" w:color="auto"/>
                <w:left w:val="none" w:sz="0" w:space="0" w:color="auto"/>
                <w:bottom w:val="none" w:sz="0" w:space="0" w:color="auto"/>
                <w:right w:val="none" w:sz="0" w:space="0" w:color="auto"/>
              </w:divBdr>
              <w:divsChild>
                <w:div w:id="1230383213">
                  <w:marLeft w:val="0"/>
                  <w:marRight w:val="0"/>
                  <w:marTop w:val="0"/>
                  <w:marBottom w:val="0"/>
                  <w:divBdr>
                    <w:top w:val="none" w:sz="0" w:space="0" w:color="auto"/>
                    <w:left w:val="none" w:sz="0" w:space="0" w:color="auto"/>
                    <w:bottom w:val="none" w:sz="0" w:space="0" w:color="auto"/>
                    <w:right w:val="none" w:sz="0" w:space="0" w:color="auto"/>
                  </w:divBdr>
                  <w:divsChild>
                    <w:div w:id="78546384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9037">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507742937">
          <w:marLeft w:val="0"/>
          <w:marRight w:val="0"/>
          <w:marTop w:val="0"/>
          <w:marBottom w:val="0"/>
          <w:divBdr>
            <w:top w:val="none" w:sz="0" w:space="0" w:color="auto"/>
            <w:left w:val="none" w:sz="0" w:space="0" w:color="auto"/>
            <w:bottom w:val="none" w:sz="0" w:space="0" w:color="auto"/>
            <w:right w:val="none" w:sz="0" w:space="0" w:color="auto"/>
          </w:divBdr>
        </w:div>
      </w:divsChild>
    </w:div>
    <w:div w:id="493034052">
      <w:bodyDiv w:val="1"/>
      <w:marLeft w:val="0"/>
      <w:marRight w:val="0"/>
      <w:marTop w:val="0"/>
      <w:marBottom w:val="0"/>
      <w:divBdr>
        <w:top w:val="none" w:sz="0" w:space="0" w:color="auto"/>
        <w:left w:val="none" w:sz="0" w:space="0" w:color="auto"/>
        <w:bottom w:val="none" w:sz="0" w:space="0" w:color="auto"/>
        <w:right w:val="none" w:sz="0" w:space="0" w:color="auto"/>
      </w:divBdr>
    </w:div>
    <w:div w:id="826867819">
      <w:bodyDiv w:val="1"/>
      <w:marLeft w:val="0"/>
      <w:marRight w:val="0"/>
      <w:marTop w:val="0"/>
      <w:marBottom w:val="0"/>
      <w:divBdr>
        <w:top w:val="none" w:sz="0" w:space="0" w:color="auto"/>
        <w:left w:val="none" w:sz="0" w:space="0" w:color="auto"/>
        <w:bottom w:val="none" w:sz="0" w:space="0" w:color="auto"/>
        <w:right w:val="none" w:sz="0" w:space="0" w:color="auto"/>
      </w:divBdr>
    </w:div>
    <w:div w:id="1104494393">
      <w:bodyDiv w:val="1"/>
      <w:marLeft w:val="0"/>
      <w:marRight w:val="0"/>
      <w:marTop w:val="0"/>
      <w:marBottom w:val="0"/>
      <w:divBdr>
        <w:top w:val="none" w:sz="0" w:space="0" w:color="auto"/>
        <w:left w:val="none" w:sz="0" w:space="0" w:color="auto"/>
        <w:bottom w:val="none" w:sz="0" w:space="0" w:color="auto"/>
        <w:right w:val="none" w:sz="0" w:space="0" w:color="auto"/>
      </w:divBdr>
    </w:div>
    <w:div w:id="1121533196">
      <w:bodyDiv w:val="1"/>
      <w:marLeft w:val="0"/>
      <w:marRight w:val="0"/>
      <w:marTop w:val="0"/>
      <w:marBottom w:val="0"/>
      <w:divBdr>
        <w:top w:val="none" w:sz="0" w:space="0" w:color="auto"/>
        <w:left w:val="none" w:sz="0" w:space="0" w:color="auto"/>
        <w:bottom w:val="none" w:sz="0" w:space="0" w:color="auto"/>
        <w:right w:val="none" w:sz="0" w:space="0" w:color="auto"/>
      </w:divBdr>
    </w:div>
    <w:div w:id="1520773072">
      <w:bodyDiv w:val="1"/>
      <w:marLeft w:val="0"/>
      <w:marRight w:val="0"/>
      <w:marTop w:val="0"/>
      <w:marBottom w:val="0"/>
      <w:divBdr>
        <w:top w:val="none" w:sz="0" w:space="0" w:color="auto"/>
        <w:left w:val="none" w:sz="0" w:space="0" w:color="auto"/>
        <w:bottom w:val="none" w:sz="0" w:space="0" w:color="auto"/>
        <w:right w:val="none" w:sz="0" w:space="0" w:color="auto"/>
      </w:divBdr>
    </w:div>
    <w:div w:id="19571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0AE-CDF1-4EB3-8C39-701258B5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4235</Words>
  <Characters>24142</Characters>
  <Application>Microsoft Office Word</Application>
  <DocSecurity>0</DocSecurity>
  <Lines>201</Lines>
  <Paragraphs>56</Paragraphs>
  <ScaleCrop>false</ScaleCrop>
  <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2016-01-05T20:21:00Z</dcterms:created>
  <dcterms:modified xsi:type="dcterms:W3CDTF">2016-01-05T20:21:00Z</dcterms:modified>
</cp:coreProperties>
</file>