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72" w:rsidRPr="00013F2D" w:rsidRDefault="00302172" w:rsidP="00302172">
      <w:pPr>
        <w:widowControl/>
        <w:spacing w:line="235" w:lineRule="exact"/>
        <w:jc w:val="center"/>
        <w:outlineLvl w:val="0"/>
        <w:rPr>
          <w:b/>
        </w:rPr>
      </w:pPr>
      <w:r w:rsidRPr="00013F2D">
        <w:rPr>
          <w:b/>
        </w:rPr>
        <w:t>UNITED STATES DISTRICT COURT</w:t>
      </w:r>
    </w:p>
    <w:p w:rsidR="00302172" w:rsidRPr="00013F2D" w:rsidRDefault="00302172" w:rsidP="00302172">
      <w:pPr>
        <w:widowControl/>
        <w:spacing w:line="235" w:lineRule="exact"/>
        <w:jc w:val="center"/>
        <w:rPr>
          <w:b/>
        </w:rPr>
      </w:pPr>
      <w:r w:rsidRPr="00013F2D">
        <w:rPr>
          <w:b/>
        </w:rPr>
        <w:t>EASTERN DISTRICT OF VIRGINIA</w:t>
      </w:r>
      <w:r w:rsidRPr="00013F2D">
        <w:rPr>
          <w:b/>
        </w:rPr>
        <w:br/>
        <w:t>Richmond Division</w:t>
      </w:r>
    </w:p>
    <w:p w:rsidR="00302172" w:rsidRPr="00013F2D" w:rsidRDefault="00302172" w:rsidP="00302172">
      <w:pPr>
        <w:widowControl/>
        <w:spacing w:line="235" w:lineRule="exact"/>
        <w:jc w:val="center"/>
      </w:pPr>
    </w:p>
    <w:p w:rsidR="00302172" w:rsidRPr="00013F2D" w:rsidRDefault="00302172" w:rsidP="00302172">
      <w:pPr>
        <w:sectPr w:rsidR="00302172" w:rsidRPr="00013F2D" w:rsidSect="00C23C10">
          <w:footerReference w:type="default" r:id="rId8"/>
          <w:pgSz w:w="12240" w:h="15840"/>
          <w:pgMar w:top="1440" w:right="1440" w:bottom="1440" w:left="1440" w:header="720" w:footer="720" w:gutter="0"/>
          <w:cols w:space="720"/>
          <w:docGrid w:linePitch="360"/>
        </w:sectPr>
      </w:pPr>
    </w:p>
    <w:p w:rsidR="00302172" w:rsidRPr="00013F2D" w:rsidRDefault="00302172" w:rsidP="00302172"/>
    <w:p w:rsidR="00302172" w:rsidRPr="00013F2D" w:rsidRDefault="00302172" w:rsidP="00302172">
      <w:pPr>
        <w:pStyle w:val="Title"/>
      </w:pPr>
      <w:r w:rsidRPr="00013F2D">
        <w:t>UNITED STATES OF AMERICA,</w:t>
      </w:r>
    </w:p>
    <w:p w:rsidR="00302172" w:rsidRPr="00013F2D" w:rsidRDefault="00302172" w:rsidP="00302172">
      <w:pPr>
        <w:pStyle w:val="Title"/>
      </w:pPr>
      <w:r w:rsidRPr="00013F2D">
        <w:tab/>
        <w:t>Plaintiff,</w:t>
      </w:r>
    </w:p>
    <w:p w:rsidR="00302172" w:rsidRPr="00013F2D" w:rsidRDefault="00302172" w:rsidP="00302172">
      <w:pPr>
        <w:pStyle w:val="Title"/>
      </w:pPr>
    </w:p>
    <w:p w:rsidR="00302172" w:rsidRPr="00013F2D" w:rsidRDefault="00302172" w:rsidP="00302172">
      <w:pPr>
        <w:pStyle w:val="Title"/>
        <w:ind w:firstLine="720"/>
      </w:pPr>
      <w:r w:rsidRPr="00013F2D">
        <w:t>v.</w:t>
      </w:r>
    </w:p>
    <w:p w:rsidR="00302172" w:rsidRPr="00013F2D" w:rsidRDefault="00302172" w:rsidP="00302172">
      <w:pPr>
        <w:pStyle w:val="Title"/>
      </w:pPr>
    </w:p>
    <w:p w:rsidR="00302172" w:rsidRPr="00013F2D" w:rsidRDefault="00302172" w:rsidP="00302172">
      <w:pPr>
        <w:pStyle w:val="Title"/>
      </w:pPr>
      <w:r w:rsidRPr="00013F2D">
        <w:t xml:space="preserve">C.T. WOODY, JR., SHERIFF, CITY OF RICHMOND, in his official capacity, </w:t>
      </w:r>
    </w:p>
    <w:p w:rsidR="00302172" w:rsidRPr="00013F2D" w:rsidRDefault="00302172" w:rsidP="00302172">
      <w:pPr>
        <w:pStyle w:val="Title"/>
      </w:pPr>
      <w:r w:rsidRPr="00013F2D">
        <w:tab/>
        <w:t>Defendant.</w:t>
      </w:r>
      <w:r w:rsidRPr="00013F2D">
        <w:br w:type="column"/>
      </w:r>
    </w:p>
    <w:p w:rsidR="00302172" w:rsidRPr="00013F2D" w:rsidRDefault="00302172" w:rsidP="00302172"/>
    <w:p w:rsidR="00302172" w:rsidRPr="00013F2D" w:rsidRDefault="00302172" w:rsidP="00302172"/>
    <w:p w:rsidR="00302172" w:rsidRPr="00013F2D" w:rsidRDefault="00302172" w:rsidP="00302172"/>
    <w:p w:rsidR="00302172" w:rsidRPr="00013F2D" w:rsidRDefault="00302172" w:rsidP="00302172">
      <w:r w:rsidRPr="00013F2D">
        <w:t>CIVIL NO. 3:16-cv-127</w:t>
      </w:r>
    </w:p>
    <w:p w:rsidR="00302172" w:rsidRPr="00013F2D" w:rsidRDefault="00302172" w:rsidP="00302172"/>
    <w:p w:rsidR="00302172" w:rsidRPr="00013F2D" w:rsidRDefault="00302172" w:rsidP="00302172"/>
    <w:p w:rsidR="00302172" w:rsidRPr="00013F2D" w:rsidRDefault="00302172" w:rsidP="00302172"/>
    <w:p w:rsidR="00302172" w:rsidRPr="00013F2D" w:rsidRDefault="00302172" w:rsidP="00302172"/>
    <w:p w:rsidR="00302172" w:rsidRPr="00013F2D" w:rsidRDefault="00302172" w:rsidP="00302172"/>
    <w:p w:rsidR="00302172" w:rsidRPr="00013F2D" w:rsidRDefault="00302172" w:rsidP="00302172">
      <w:pPr>
        <w:sectPr w:rsidR="00302172" w:rsidRPr="00013F2D" w:rsidSect="00C23C10">
          <w:type w:val="continuous"/>
          <w:pgSz w:w="12240" w:h="15840"/>
          <w:pgMar w:top="1440" w:right="1440" w:bottom="1440" w:left="1440" w:header="720" w:footer="720" w:gutter="0"/>
          <w:cols w:num="2" w:sep="1" w:space="720"/>
          <w:docGrid w:linePitch="360"/>
        </w:sectPr>
      </w:pPr>
    </w:p>
    <w:p w:rsidR="00302172" w:rsidRPr="00013F2D" w:rsidRDefault="00302172" w:rsidP="00302172"/>
    <w:p w:rsidR="00BA4047" w:rsidRPr="00013F2D" w:rsidRDefault="00BA4047" w:rsidP="00BA4047">
      <w:pPr>
        <w:jc w:val="center"/>
        <w:rPr>
          <w:b/>
          <w:u w:val="single"/>
        </w:rPr>
      </w:pPr>
      <w:r w:rsidRPr="00013F2D">
        <w:rPr>
          <w:b/>
          <w:u w:val="single"/>
        </w:rPr>
        <w:t xml:space="preserve">UNITED STATES’ </w:t>
      </w:r>
      <w:r w:rsidR="00FE7C54" w:rsidRPr="00013F2D">
        <w:rPr>
          <w:b/>
          <w:u w:val="single"/>
        </w:rPr>
        <w:t xml:space="preserve">OPPOSITION TO DEFENDANT’S </w:t>
      </w:r>
      <w:r w:rsidR="003023B4" w:rsidRPr="00013F2D">
        <w:rPr>
          <w:b/>
          <w:u w:val="single"/>
        </w:rPr>
        <w:t>MOTION FOR SUMMARY JUDGMENT</w:t>
      </w:r>
    </w:p>
    <w:p w:rsidR="00BA4047" w:rsidRPr="00013F2D" w:rsidRDefault="00BA4047" w:rsidP="00BA4047"/>
    <w:p w:rsidR="004033B4" w:rsidRPr="00013F2D" w:rsidRDefault="004033B4" w:rsidP="00D52256">
      <w:pPr>
        <w:spacing w:line="480" w:lineRule="auto"/>
        <w:ind w:firstLine="720"/>
      </w:pPr>
      <w:r w:rsidRPr="00013F2D">
        <w:t>The United States submits this response to Defendant Sheriff C.T. Woody, Jr.’s, motion for summary judgment.  The United States submitted its own motion for summary judgment on September 2, 2016.</w:t>
      </w:r>
    </w:p>
    <w:p w:rsidR="000D4660" w:rsidRPr="00013F2D" w:rsidRDefault="000D4660" w:rsidP="000D4660">
      <w:pPr>
        <w:pStyle w:val="ListParagraph"/>
        <w:numPr>
          <w:ilvl w:val="0"/>
          <w:numId w:val="20"/>
        </w:numPr>
        <w:spacing w:line="480" w:lineRule="auto"/>
        <w:rPr>
          <w:b/>
        </w:rPr>
      </w:pPr>
      <w:r w:rsidRPr="00013F2D">
        <w:rPr>
          <w:b/>
        </w:rPr>
        <w:t>INTRODUCTION</w:t>
      </w:r>
    </w:p>
    <w:p w:rsidR="00EA2381" w:rsidRPr="00013F2D" w:rsidRDefault="00FE7C54" w:rsidP="00D52256">
      <w:pPr>
        <w:spacing w:line="480" w:lineRule="auto"/>
        <w:ind w:firstLine="720"/>
      </w:pPr>
      <w:r w:rsidRPr="00013F2D">
        <w:t xml:space="preserve">The facts are undisputed:  </w:t>
      </w:r>
      <w:r w:rsidR="00E3323F" w:rsidRPr="00013F2D">
        <w:t xml:space="preserve">After ten years of decorated service, </w:t>
      </w:r>
      <w:r w:rsidR="004033B4" w:rsidRPr="00013F2D">
        <w:t>Emily</w:t>
      </w:r>
      <w:r w:rsidRPr="00013F2D">
        <w:t xml:space="preserve"> Hall could no longer serve as a </w:t>
      </w:r>
      <w:r w:rsidR="004033B4" w:rsidRPr="00013F2D">
        <w:t>law enforcement officer</w:t>
      </w:r>
      <w:r w:rsidR="002C4BB1" w:rsidRPr="00013F2D">
        <w:t xml:space="preserve"> due to </w:t>
      </w:r>
      <w:r w:rsidR="00D808A5" w:rsidRPr="00013F2D">
        <w:t>her</w:t>
      </w:r>
      <w:r w:rsidR="002C4BB1" w:rsidRPr="00013F2D">
        <w:t xml:space="preserve"> disability.  But she was </w:t>
      </w:r>
      <w:r w:rsidRPr="00013F2D">
        <w:t xml:space="preserve">able </w:t>
      </w:r>
      <w:r w:rsidR="004033B4" w:rsidRPr="00013F2D">
        <w:t xml:space="preserve">and qualified </w:t>
      </w:r>
      <w:r w:rsidRPr="00013F2D">
        <w:t>to perform a</w:t>
      </w:r>
      <w:r w:rsidR="004033B4" w:rsidRPr="00013F2D">
        <w:t>nother</w:t>
      </w:r>
      <w:r w:rsidRPr="00013F2D">
        <w:t xml:space="preserve"> job in </w:t>
      </w:r>
      <w:r w:rsidR="004033B4" w:rsidRPr="00013F2D">
        <w:t>the Sheriff’s Office</w:t>
      </w:r>
      <w:r w:rsidRPr="00013F2D">
        <w:t xml:space="preserve">.  </w:t>
      </w:r>
      <w:r w:rsidR="002C4BB1" w:rsidRPr="00013F2D">
        <w:t xml:space="preserve">Instead of </w:t>
      </w:r>
      <w:r w:rsidR="00D808A5" w:rsidRPr="00013F2D">
        <w:t>hiring Ms. Hall for</w:t>
      </w:r>
      <w:r w:rsidR="002C4BB1" w:rsidRPr="00013F2D">
        <w:t xml:space="preserve"> that job</w:t>
      </w:r>
      <w:r w:rsidR="00E3323F" w:rsidRPr="00013F2D">
        <w:t xml:space="preserve"> or another civilian job</w:t>
      </w:r>
      <w:r w:rsidR="004033B4" w:rsidRPr="00013F2D">
        <w:t>, Defendant Sheriff C.T. Woody, Jr.,</w:t>
      </w:r>
      <w:r w:rsidRPr="00013F2D">
        <w:t xml:space="preserve"> fired her.  Sheriff Woody </w:t>
      </w:r>
      <w:r w:rsidR="004033B4" w:rsidRPr="00013F2D">
        <w:t>argues that</w:t>
      </w:r>
      <w:r w:rsidR="001159C1" w:rsidRPr="00013F2D">
        <w:t>, as a matter of law,</w:t>
      </w:r>
      <w:r w:rsidR="004033B4" w:rsidRPr="00013F2D">
        <w:t xml:space="preserve"> Title I of the Americans with Disabilities Act (ADA) authorized this action.  He is wrong.</w:t>
      </w:r>
    </w:p>
    <w:p w:rsidR="000D4660" w:rsidRPr="00013F2D" w:rsidRDefault="000D4660" w:rsidP="000D4660">
      <w:pPr>
        <w:pStyle w:val="ListParagraph"/>
        <w:numPr>
          <w:ilvl w:val="0"/>
          <w:numId w:val="20"/>
        </w:numPr>
        <w:spacing w:line="480" w:lineRule="auto"/>
        <w:rPr>
          <w:b/>
        </w:rPr>
      </w:pPr>
      <w:r w:rsidRPr="00013F2D">
        <w:rPr>
          <w:b/>
        </w:rPr>
        <w:t>FACTS</w:t>
      </w:r>
    </w:p>
    <w:p w:rsidR="004033B4" w:rsidRPr="00013F2D" w:rsidRDefault="000D4660" w:rsidP="0009219D">
      <w:pPr>
        <w:spacing w:line="480" w:lineRule="auto"/>
      </w:pPr>
      <w:r w:rsidRPr="00013F2D">
        <w:rPr>
          <w:b/>
        </w:rPr>
        <w:tab/>
      </w:r>
      <w:r w:rsidRPr="00013F2D">
        <w:t>The United States does not dispute</w:t>
      </w:r>
      <w:r w:rsidR="00397591" w:rsidRPr="00013F2D">
        <w:t xml:space="preserve"> any of</w:t>
      </w:r>
      <w:r w:rsidRPr="00013F2D">
        <w:t xml:space="preserve"> the facts contained in Sheriff Woody’s Statement of Undisputed Material facts, except</w:t>
      </w:r>
      <w:r w:rsidR="00397591" w:rsidRPr="00013F2D">
        <w:t xml:space="preserve"> as follows.  </w:t>
      </w:r>
      <w:r w:rsidR="00D808A5" w:rsidRPr="00013F2D">
        <w:t>N</w:t>
      </w:r>
      <w:r w:rsidR="00397591" w:rsidRPr="00013F2D">
        <w:t xml:space="preserve">one of these </w:t>
      </w:r>
      <w:r w:rsidR="001159C1" w:rsidRPr="00013F2D">
        <w:t>facts</w:t>
      </w:r>
      <w:r w:rsidR="00397591" w:rsidRPr="00013F2D">
        <w:t xml:space="preserve"> </w:t>
      </w:r>
      <w:r w:rsidR="004C31D3">
        <w:t>are</w:t>
      </w:r>
      <w:r w:rsidR="00397591" w:rsidRPr="00013F2D">
        <w:t xml:space="preserve"> material</w:t>
      </w:r>
      <w:r w:rsidR="0009219D" w:rsidRPr="00013F2D">
        <w:t xml:space="preserve">, because </w:t>
      </w:r>
      <w:r w:rsidR="004C31D3">
        <w:t>they do not “affect</w:t>
      </w:r>
      <w:r w:rsidR="0009219D" w:rsidRPr="00013F2D">
        <w:t xml:space="preserve"> the outcome of the suit under the governing law.”  </w:t>
      </w:r>
      <w:r w:rsidR="0009219D" w:rsidRPr="00013F2D">
        <w:rPr>
          <w:i/>
        </w:rPr>
        <w:t>Anderson v. Liberty Lobby, Inc.</w:t>
      </w:r>
      <w:r w:rsidR="0009219D" w:rsidRPr="00013F2D">
        <w:t>, 477 U.S. 242, 248 (1986)</w:t>
      </w:r>
      <w:r w:rsidR="00B10FDD" w:rsidRPr="00013F2D">
        <w:t xml:space="preserve">.  They are, however, </w:t>
      </w:r>
      <w:r w:rsidR="00397591" w:rsidRPr="00013F2D">
        <w:t>addressed here in the interests of accuracy and comprehensiveness</w:t>
      </w:r>
      <w:r w:rsidR="00B10FDD" w:rsidRPr="00013F2D">
        <w:t>.</w:t>
      </w:r>
    </w:p>
    <w:p w:rsidR="0013555B" w:rsidRPr="00013F2D" w:rsidRDefault="0013555B" w:rsidP="00397591">
      <w:pPr>
        <w:pStyle w:val="ListParagraph"/>
        <w:numPr>
          <w:ilvl w:val="0"/>
          <w:numId w:val="26"/>
        </w:numPr>
        <w:spacing w:line="480" w:lineRule="auto"/>
        <w:ind w:left="0" w:firstLine="720"/>
      </w:pPr>
      <w:r w:rsidRPr="00013F2D">
        <w:lastRenderedPageBreak/>
        <w:t>The United States disputes that</w:t>
      </w:r>
      <w:r w:rsidR="00B412F4">
        <w:t xml:space="preserve"> on Ms. Hall’s Family and Medical Leave Act (FMLA) form</w:t>
      </w:r>
      <w:r w:rsidRPr="00013F2D">
        <w:t xml:space="preserve"> “Dr. Caruso added that Hall’s condition . . . required her to work only intermittently or to work on a less than full schedule.”  Def.’s Mem. </w:t>
      </w:r>
      <w:r w:rsidR="006729DC">
        <w:t>at</w:t>
      </w:r>
      <w:r w:rsidRPr="00013F2D">
        <w:t xml:space="preserve"> 7.  In fact,</w:t>
      </w:r>
      <w:r w:rsidR="00D808A5" w:rsidRPr="00013F2D">
        <w:t xml:space="preserve"> the </w:t>
      </w:r>
      <w:r w:rsidR="001159C1" w:rsidRPr="00013F2D">
        <w:t xml:space="preserve">complete </w:t>
      </w:r>
      <w:r w:rsidR="00D808A5" w:rsidRPr="00013F2D">
        <w:t xml:space="preserve">form reflects that Ms. Hall would have needed to work </w:t>
      </w:r>
      <w:r w:rsidR="00B412F4">
        <w:t>“</w:t>
      </w:r>
      <w:r w:rsidR="00D808A5" w:rsidRPr="00013F2D">
        <w:t>intermittently</w:t>
      </w:r>
      <w:r w:rsidR="00B412F4">
        <w:t>”</w:t>
      </w:r>
      <w:r w:rsidR="00D808A5" w:rsidRPr="00013F2D">
        <w:t xml:space="preserve"> only in the sense that she may have needed to miss work for occasional doctor’s appointments—a total of approximately six per year.  Pl.’s Mem. Supp. Summ</w:t>
      </w:r>
      <w:r w:rsidR="00B26D3C">
        <w:t>.</w:t>
      </w:r>
      <w:r w:rsidR="00D808A5" w:rsidRPr="00013F2D">
        <w:t xml:space="preserve"> J. Mot. Ex. 7, Hall Dep. Ex. 4 at 9 (Woody 722)</w:t>
      </w:r>
      <w:r w:rsidR="00A27B1C">
        <w:t xml:space="preserve"> [hereinafter “Pl.’s Mem.”]</w:t>
      </w:r>
      <w:r w:rsidR="00D808A5" w:rsidRPr="00013F2D">
        <w:t>.</w:t>
      </w:r>
    </w:p>
    <w:p w:rsidR="0013555B" w:rsidRPr="00013F2D" w:rsidRDefault="0013555B" w:rsidP="00397591">
      <w:pPr>
        <w:pStyle w:val="ListParagraph"/>
        <w:numPr>
          <w:ilvl w:val="0"/>
          <w:numId w:val="26"/>
        </w:numPr>
        <w:spacing w:line="480" w:lineRule="auto"/>
        <w:ind w:left="0" w:firstLine="720"/>
      </w:pPr>
      <w:r w:rsidRPr="00013F2D">
        <w:t>The United States disputes that “Hall received an interview for the payroll technician position only because Sheriff Woody requested that she be given one</w:t>
      </w:r>
      <w:r w:rsidR="00486640" w:rsidRPr="00013F2D">
        <w:t>,</w:t>
      </w:r>
      <w:r w:rsidRPr="00013F2D">
        <w:t>”</w:t>
      </w:r>
      <w:r w:rsidR="00486640" w:rsidRPr="00013F2D">
        <w:t xml:space="preserve"> that she “was placed on the interview list only because Sheriff Woody asked the Recruitment Office to give her an interview for the position,” and that “[s]he was not on the interview list based on her qualifications or merit.”</w:t>
      </w:r>
      <w:r w:rsidRPr="00013F2D">
        <w:t xml:space="preserve">  Def.’s Mem. </w:t>
      </w:r>
      <w:r w:rsidR="006729DC">
        <w:t xml:space="preserve">at </w:t>
      </w:r>
      <w:r w:rsidRPr="00013F2D">
        <w:t>10</w:t>
      </w:r>
      <w:r w:rsidR="00486640" w:rsidRPr="00013F2D">
        <w:t>−11</w:t>
      </w:r>
      <w:r w:rsidRPr="00013F2D">
        <w:t xml:space="preserve">.  Sheriff Woody has admitted </w:t>
      </w:r>
      <w:r w:rsidR="001159C1" w:rsidRPr="00013F2D">
        <w:t xml:space="preserve">that </w:t>
      </w:r>
      <w:r w:rsidRPr="00013F2D">
        <w:t>Ms. Hall was qualified for the Payroll Technician position.</w:t>
      </w:r>
      <w:r w:rsidR="00D808A5" w:rsidRPr="00013F2D">
        <w:t xml:space="preserve">  </w:t>
      </w:r>
      <w:r w:rsidR="006476A9" w:rsidRPr="00013F2D">
        <w:t>He has also admitted that t</w:t>
      </w:r>
      <w:r w:rsidR="00D808A5" w:rsidRPr="00013F2D">
        <w:t>he Sheriff’s Office does not interview a candidate for a position unless that individual’s application demonstrates that the individual meets the requirements for that position.  Pl.’s Mem. Ex. 6, Def.’s First Admis. 12−14.</w:t>
      </w:r>
    </w:p>
    <w:p w:rsidR="0013555B" w:rsidRPr="00013F2D" w:rsidRDefault="0013555B" w:rsidP="00397591">
      <w:pPr>
        <w:pStyle w:val="ListParagraph"/>
        <w:numPr>
          <w:ilvl w:val="0"/>
          <w:numId w:val="26"/>
        </w:numPr>
        <w:spacing w:line="480" w:lineRule="auto"/>
        <w:ind w:left="0" w:firstLine="720"/>
      </w:pPr>
      <w:r w:rsidRPr="00013F2D">
        <w:t xml:space="preserve">The United States disputes that “Hall did not apply for any other positions at the </w:t>
      </w:r>
      <w:r w:rsidR="007F154A" w:rsidRPr="00013F2D">
        <w:t>Sheriff’s Office,”</w:t>
      </w:r>
      <w:r w:rsidRPr="00013F2D">
        <w:t xml:space="preserve"> Def.’s Mem. </w:t>
      </w:r>
      <w:r w:rsidR="006729DC">
        <w:t>at</w:t>
      </w:r>
      <w:r w:rsidRPr="00013F2D">
        <w:t xml:space="preserve"> 1</w:t>
      </w:r>
      <w:r w:rsidR="007F154A" w:rsidRPr="00013F2D">
        <w:t xml:space="preserve">2, to the extent that Ms. Hall advised Sheriff Woody that she wanted to be placed in or considered for any civilian vacancy in the Sheriff’s Office.  </w:t>
      </w:r>
      <w:r w:rsidR="003B5D71" w:rsidRPr="00013F2D">
        <w:t xml:space="preserve">Pl.’s Mem. Ex. 4, Hall Dep. Tr. 86:5−7, 127:4−6 (“I will take anything.  I just want to come back and work.”)  </w:t>
      </w:r>
      <w:r w:rsidR="007F154A" w:rsidRPr="00013F2D">
        <w:t xml:space="preserve">It is undisputed that Ms. Hall did not submit a separate application specific to any position other than Payroll Technician, because Sheriff Woody </w:t>
      </w:r>
      <w:r w:rsidR="00E3323F" w:rsidRPr="00013F2D">
        <w:t>failed to</w:t>
      </w:r>
      <w:r w:rsidR="007F154A" w:rsidRPr="00013F2D">
        <w:t xml:space="preserve"> advise her of other positions and did not advertise most other vacancies </w:t>
      </w:r>
      <w:r w:rsidR="001159C1" w:rsidRPr="00013F2D">
        <w:t xml:space="preserve">that were </w:t>
      </w:r>
      <w:r w:rsidR="007F154A" w:rsidRPr="00013F2D">
        <w:t>available during that time.</w:t>
      </w:r>
      <w:r w:rsidR="00013F2D">
        <w:t xml:space="preserve">  </w:t>
      </w:r>
      <w:r w:rsidR="00013F2D">
        <w:rPr>
          <w:i/>
        </w:rPr>
        <w:t xml:space="preserve">Id. </w:t>
      </w:r>
      <w:r w:rsidR="00013F2D" w:rsidRPr="000F1974">
        <w:t xml:space="preserve">Ex. </w:t>
      </w:r>
      <w:r w:rsidR="00013F2D" w:rsidRPr="000F1974">
        <w:lastRenderedPageBreak/>
        <w:t>26, Def.’s Second Admis. 9−13</w:t>
      </w:r>
      <w:r w:rsidR="00013F2D">
        <w:t>.</w:t>
      </w:r>
    </w:p>
    <w:p w:rsidR="00486640" w:rsidRPr="00013F2D" w:rsidRDefault="00486640" w:rsidP="00397591">
      <w:pPr>
        <w:pStyle w:val="ListParagraph"/>
        <w:numPr>
          <w:ilvl w:val="0"/>
          <w:numId w:val="26"/>
        </w:numPr>
        <w:spacing w:line="480" w:lineRule="auto"/>
        <w:ind w:left="0" w:firstLine="720"/>
      </w:pPr>
      <w:r w:rsidRPr="00013F2D">
        <w:t>The United States disputes that “the Sherriff’s Office does not permit an employee to transfer across different job classifications” and that “Hall, as a deputy sheriff, was not eligible to transfer to a civilian position” under the Sheriff’s Office transfer policy, Def.’s Mem.</w:t>
      </w:r>
      <w:r w:rsidR="006330A5">
        <w:t xml:space="preserve"> at</w:t>
      </w:r>
      <w:r w:rsidRPr="00013F2D">
        <w:t xml:space="preserve"> 13, to the extent that the transfer policy explicitly provides “[t]he Sheriff [] the right to authorize deviations in the transfer process if he/she deems appropriate.”  Def.’s Mem. Ex. W at III.F.3.</w:t>
      </w:r>
    </w:p>
    <w:p w:rsidR="000D4660" w:rsidRPr="00013F2D" w:rsidRDefault="000D4660" w:rsidP="000D4660">
      <w:pPr>
        <w:pStyle w:val="ListParagraph"/>
        <w:numPr>
          <w:ilvl w:val="0"/>
          <w:numId w:val="20"/>
        </w:numPr>
        <w:spacing w:line="480" w:lineRule="auto"/>
        <w:rPr>
          <w:b/>
        </w:rPr>
      </w:pPr>
      <w:r w:rsidRPr="00013F2D">
        <w:rPr>
          <w:b/>
        </w:rPr>
        <w:t>ARGUMENT</w:t>
      </w:r>
    </w:p>
    <w:p w:rsidR="000D4660" w:rsidRPr="00013F2D" w:rsidRDefault="000D4660" w:rsidP="000D4660">
      <w:pPr>
        <w:spacing w:line="480" w:lineRule="auto"/>
        <w:ind w:firstLine="720"/>
      </w:pPr>
      <w:r w:rsidRPr="00013F2D">
        <w:t xml:space="preserve">Sheriff Woody </w:t>
      </w:r>
      <w:r w:rsidR="00954F90" w:rsidRPr="00013F2D">
        <w:t>does not dispute</w:t>
      </w:r>
      <w:r w:rsidRPr="00013F2D">
        <w:t xml:space="preserve"> that he could have accommodated Emily Hall by reassigning her to the vacant Payroll Technician position for which she was qualified.  Rather, he argues that the ADA did not require him to do so.  To reach that conclusion, he avoid</w:t>
      </w:r>
      <w:r w:rsidR="00954F90" w:rsidRPr="00013F2D">
        <w:t>s the plain text of the statute,</w:t>
      </w:r>
      <w:r w:rsidRPr="00013F2D">
        <w:t xml:space="preserve"> mischaracterizes the precedent of the Fourth Circuit</w:t>
      </w:r>
      <w:r w:rsidR="00954F90" w:rsidRPr="00013F2D">
        <w:t xml:space="preserve"> and other courts,</w:t>
      </w:r>
      <w:r w:rsidRPr="00013F2D">
        <w:t xml:space="preserve"> and argues that </w:t>
      </w:r>
      <w:r w:rsidR="00E37649" w:rsidRPr="00013F2D">
        <w:t xml:space="preserve">reassigning Ms. Hall would have caused an undue hardship by undermining </w:t>
      </w:r>
      <w:r w:rsidRPr="00013F2D">
        <w:t>his Office’s policies.  These efforts fail.</w:t>
      </w:r>
    </w:p>
    <w:p w:rsidR="00954F90" w:rsidRPr="00013F2D" w:rsidRDefault="00061A10" w:rsidP="004A434E">
      <w:pPr>
        <w:pStyle w:val="ListParagraph"/>
        <w:numPr>
          <w:ilvl w:val="0"/>
          <w:numId w:val="22"/>
        </w:numPr>
        <w:rPr>
          <w:b/>
        </w:rPr>
      </w:pPr>
      <w:r w:rsidRPr="00013F2D">
        <w:rPr>
          <w:b/>
        </w:rPr>
        <w:t>The plain text of the ADA</w:t>
      </w:r>
      <w:r w:rsidR="00013F2D" w:rsidRPr="00013F2D">
        <w:rPr>
          <w:b/>
        </w:rPr>
        <w:t xml:space="preserve"> </w:t>
      </w:r>
      <w:r w:rsidR="00013F2D" w:rsidRPr="000F1974">
        <w:rPr>
          <w:b/>
        </w:rPr>
        <w:t>required Sheriff Woody to reassign Emily Hall</w:t>
      </w:r>
    </w:p>
    <w:p w:rsidR="004A434E" w:rsidRPr="00013F2D" w:rsidRDefault="004A434E" w:rsidP="004A434E">
      <w:pPr>
        <w:pStyle w:val="ListParagraph"/>
        <w:ind w:left="1080"/>
        <w:rPr>
          <w:b/>
        </w:rPr>
      </w:pPr>
    </w:p>
    <w:p w:rsidR="00576E64" w:rsidRPr="00013F2D" w:rsidRDefault="00280EB6" w:rsidP="006A2C94">
      <w:pPr>
        <w:spacing w:line="480" w:lineRule="auto"/>
        <w:ind w:firstLine="720"/>
      </w:pPr>
      <w:r w:rsidRPr="00013F2D">
        <w:t xml:space="preserve">Sheriff Woody </w:t>
      </w:r>
      <w:r w:rsidR="00D46541" w:rsidRPr="00013F2D">
        <w:t>argues that the ADA did not require him to reassign Ms. Hall, because</w:t>
      </w:r>
      <w:r w:rsidRPr="00013F2D">
        <w:t xml:space="preserve"> “reassignment to a vacant position . . . is not mandatory across the board.”  Def.’s Mem. </w:t>
      </w:r>
      <w:r w:rsidR="006729DC">
        <w:t xml:space="preserve">at </w:t>
      </w:r>
      <w:r w:rsidRPr="00013F2D">
        <w:t xml:space="preserve">17.  </w:t>
      </w:r>
      <w:r w:rsidR="00D46541" w:rsidRPr="00013F2D">
        <w:t xml:space="preserve">That </w:t>
      </w:r>
      <w:r w:rsidR="009F7BF2" w:rsidRPr="00013F2D">
        <w:t xml:space="preserve">statement </w:t>
      </w:r>
      <w:r w:rsidR="00D46541" w:rsidRPr="00013F2D">
        <w:t>is</w:t>
      </w:r>
      <w:r w:rsidR="004A434E" w:rsidRPr="00013F2D">
        <w:t xml:space="preserve"> </w:t>
      </w:r>
      <w:r w:rsidR="00D46541" w:rsidRPr="00013F2D">
        <w:t xml:space="preserve">true </w:t>
      </w:r>
      <w:r w:rsidR="00DB16A6">
        <w:t>but</w:t>
      </w:r>
      <w:r w:rsidR="00D46541" w:rsidRPr="00013F2D">
        <w:t xml:space="preserve"> irrelevant.  </w:t>
      </w:r>
      <w:r w:rsidRPr="00013F2D">
        <w:rPr>
          <w:i/>
        </w:rPr>
        <w:t>No</w:t>
      </w:r>
      <w:r w:rsidRPr="00013F2D">
        <w:t xml:space="preserve"> </w:t>
      </w:r>
      <w:r w:rsidR="00463607" w:rsidRPr="00013F2D">
        <w:t xml:space="preserve">reasonable </w:t>
      </w:r>
      <w:r w:rsidRPr="00013F2D">
        <w:t xml:space="preserve">accommodation is mandatory in </w:t>
      </w:r>
      <w:r w:rsidRPr="00013F2D">
        <w:rPr>
          <w:i/>
        </w:rPr>
        <w:t>all</w:t>
      </w:r>
      <w:r w:rsidRPr="00013F2D">
        <w:t xml:space="preserve"> circumstances, but </w:t>
      </w:r>
      <w:r w:rsidRPr="00013F2D">
        <w:rPr>
          <w:i/>
        </w:rPr>
        <w:t>all</w:t>
      </w:r>
      <w:r w:rsidRPr="00013F2D">
        <w:t xml:space="preserve"> </w:t>
      </w:r>
      <w:r w:rsidR="00463607" w:rsidRPr="00013F2D">
        <w:t xml:space="preserve">reasonable </w:t>
      </w:r>
      <w:r w:rsidRPr="00013F2D">
        <w:t xml:space="preserve">accommodations are mandatory in </w:t>
      </w:r>
      <w:r w:rsidRPr="00013F2D">
        <w:rPr>
          <w:i/>
        </w:rPr>
        <w:t>some</w:t>
      </w:r>
      <w:r w:rsidRPr="00013F2D">
        <w:t xml:space="preserve"> circumstances.  </w:t>
      </w:r>
      <w:r w:rsidR="006A2C94" w:rsidRPr="00013F2D">
        <w:rPr>
          <w:i/>
        </w:rPr>
        <w:t xml:space="preserve">See </w:t>
      </w:r>
      <w:r w:rsidR="006A2C94" w:rsidRPr="00013F2D">
        <w:t>42 U.S.C. § 12112(b)(5)(A)</w:t>
      </w:r>
      <w:r w:rsidR="006A2C94" w:rsidRPr="00013F2D">
        <w:rPr>
          <w:i/>
        </w:rPr>
        <w:t xml:space="preserve"> </w:t>
      </w:r>
      <w:r w:rsidR="006A2C94" w:rsidRPr="00013F2D">
        <w:t xml:space="preserve">(prohibiting employers from “not making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such </w:t>
      </w:r>
      <w:r w:rsidR="006A2C94" w:rsidRPr="00013F2D">
        <w:lastRenderedPageBreak/>
        <w:t>covered entity”).</w:t>
      </w:r>
      <w:r w:rsidR="004A434E" w:rsidRPr="00013F2D">
        <w:t xml:space="preserve">  </w:t>
      </w:r>
      <w:r w:rsidR="00FE5E54" w:rsidRPr="00013F2D">
        <w:t>Otherwise, the ADA</w:t>
      </w:r>
      <w:r w:rsidR="00DB16A6">
        <w:t>’s reasonable accommodation requirement</w:t>
      </w:r>
      <w:r w:rsidR="00FE5E54" w:rsidRPr="00013F2D">
        <w:t xml:space="preserve"> would have no force.  </w:t>
      </w:r>
      <w:r w:rsidR="005B5B7C" w:rsidRPr="00013F2D">
        <w:t>“</w:t>
      </w:r>
      <w:r w:rsidR="004A434E" w:rsidRPr="00013F2D">
        <w:t>Reassignment to a vacant position</w:t>
      </w:r>
      <w:r w:rsidR="005B5B7C" w:rsidRPr="00013F2D">
        <w:t xml:space="preserve">,” </w:t>
      </w:r>
      <w:r w:rsidR="00855379" w:rsidRPr="00013F2D">
        <w:rPr>
          <w:i/>
        </w:rPr>
        <w:t>i</w:t>
      </w:r>
      <w:r w:rsidR="005B5B7C" w:rsidRPr="00013F2D">
        <w:rPr>
          <w:i/>
        </w:rPr>
        <w:t>d.</w:t>
      </w:r>
      <w:r w:rsidR="005B5B7C" w:rsidRPr="00013F2D">
        <w:t xml:space="preserve"> § 12111(9)(B), </w:t>
      </w:r>
      <w:r w:rsidR="004A434E" w:rsidRPr="00013F2D">
        <w:t>is mandatory for “an employee who, because of a disability, can no longer perform the essential functions of his/her current position, with or without reasonable accommodation, unless the employer can show that it would be an undue hardship.”</w:t>
      </w:r>
      <w:r w:rsidR="004A434E" w:rsidRPr="00013F2D">
        <w:rPr>
          <w:rStyle w:val="FootnoteReference"/>
        </w:rPr>
        <w:footnoteReference w:id="1"/>
      </w:r>
      <w:r w:rsidR="005B5B7C" w:rsidRPr="00013F2D">
        <w:t xml:space="preserve">  </w:t>
      </w:r>
      <w:r w:rsidR="00FE5E54" w:rsidRPr="00013F2D">
        <w:t xml:space="preserve">Where, as here, the only effective accommodation is reassignment, </w:t>
      </w:r>
      <w:r w:rsidR="00D60EC3">
        <w:t xml:space="preserve">and it does not pose an undue hardship, </w:t>
      </w:r>
      <w:r w:rsidR="00FE5E54" w:rsidRPr="00013F2D">
        <w:t>the employer must provide it.</w:t>
      </w:r>
    </w:p>
    <w:p w:rsidR="00630433" w:rsidRPr="00013F2D" w:rsidRDefault="00576E64" w:rsidP="00066FA5">
      <w:pPr>
        <w:spacing w:line="480" w:lineRule="auto"/>
        <w:ind w:firstLine="720"/>
      </w:pPr>
      <w:r w:rsidRPr="00013F2D">
        <w:t xml:space="preserve">Sheriff Woody fails to explain </w:t>
      </w:r>
      <w:r w:rsidR="00665AEC" w:rsidRPr="00013F2D">
        <w:t>under what circumstances</w:t>
      </w:r>
      <w:r w:rsidR="00066FA5" w:rsidRPr="00013F2D">
        <w:t xml:space="preserve"> </w:t>
      </w:r>
      <w:r w:rsidR="00665AEC" w:rsidRPr="00013F2D">
        <w:t xml:space="preserve">the ADA would </w:t>
      </w:r>
      <w:r w:rsidR="00665AEC" w:rsidRPr="00013F2D">
        <w:rPr>
          <w:i/>
        </w:rPr>
        <w:t xml:space="preserve">ever </w:t>
      </w:r>
      <w:r w:rsidR="00665AEC" w:rsidRPr="00013F2D">
        <w:t xml:space="preserve">mandate </w:t>
      </w:r>
      <w:r w:rsidRPr="00013F2D">
        <w:t xml:space="preserve">reassignment.  He </w:t>
      </w:r>
      <w:r w:rsidR="009F7BF2" w:rsidRPr="00013F2D">
        <w:t>points out</w:t>
      </w:r>
      <w:r w:rsidRPr="00013F2D">
        <w:t xml:space="preserve"> that reassignment is not mandated when it requires an employer to </w:t>
      </w:r>
      <w:r w:rsidR="0022651E" w:rsidRPr="00013F2D">
        <w:t>violate another employee’s rights</w:t>
      </w:r>
      <w:r w:rsidR="00911F6B" w:rsidRPr="00013F2D">
        <w:t xml:space="preserve"> under</w:t>
      </w:r>
      <w:r w:rsidR="0022651E" w:rsidRPr="00013F2D">
        <w:t xml:space="preserve"> a seniority system, or</w:t>
      </w:r>
      <w:r w:rsidR="00FE5E54" w:rsidRPr="00013F2D">
        <w:t xml:space="preserve"> when it requires an employer</w:t>
      </w:r>
      <w:r w:rsidR="0022651E" w:rsidRPr="00013F2D">
        <w:t xml:space="preserve"> to </w:t>
      </w:r>
      <w:r w:rsidRPr="00013F2D">
        <w:t xml:space="preserve">“bump” another employee out of a </w:t>
      </w:r>
      <w:r w:rsidR="0022651E" w:rsidRPr="00013F2D">
        <w:t>job</w:t>
      </w:r>
      <w:r w:rsidR="00463607" w:rsidRPr="00013F2D">
        <w:t>.</w:t>
      </w:r>
      <w:r w:rsidR="00FE5E54" w:rsidRPr="00013F2D">
        <w:t xml:space="preserve"> </w:t>
      </w:r>
      <w:r w:rsidR="00463607" w:rsidRPr="00013F2D">
        <w:t xml:space="preserve"> </w:t>
      </w:r>
      <w:r w:rsidRPr="00013F2D">
        <w:t xml:space="preserve">Def.’s Mem. </w:t>
      </w:r>
      <w:r w:rsidR="006729DC">
        <w:t>at</w:t>
      </w:r>
      <w:r w:rsidRPr="00013F2D">
        <w:t xml:space="preserve"> 17</w:t>
      </w:r>
      <w:r w:rsidR="004A434E" w:rsidRPr="00013F2D">
        <w:t xml:space="preserve"> (citing</w:t>
      </w:r>
      <w:r w:rsidR="005B5B7C" w:rsidRPr="00013F2D">
        <w:t xml:space="preserve"> </w:t>
      </w:r>
      <w:r w:rsidR="005B5B7C" w:rsidRPr="00013F2D">
        <w:rPr>
          <w:i/>
        </w:rPr>
        <w:t>EEOC v. Sara Lee Corp.</w:t>
      </w:r>
      <w:r w:rsidR="005B5B7C" w:rsidRPr="00013F2D">
        <w:t xml:space="preserve">, 237 F.3d 349, </w:t>
      </w:r>
      <w:r w:rsidR="0023347C">
        <w:t>3</w:t>
      </w:r>
      <w:r w:rsidR="005B5B7C" w:rsidRPr="00013F2D">
        <w:t>55 (4th Cir. 2001)</w:t>
      </w:r>
      <w:r w:rsidR="004A434E" w:rsidRPr="00013F2D">
        <w:t xml:space="preserve">).  </w:t>
      </w:r>
      <w:r w:rsidR="00486640" w:rsidRPr="00013F2D">
        <w:t xml:space="preserve">But those </w:t>
      </w:r>
      <w:r w:rsidR="00E3323F" w:rsidRPr="00013F2D">
        <w:t>factors</w:t>
      </w:r>
      <w:r w:rsidR="00486640" w:rsidRPr="00013F2D">
        <w:t xml:space="preserve"> do not apply here.  </w:t>
      </w:r>
      <w:r w:rsidR="002C4BB1" w:rsidRPr="00013F2D">
        <w:t>T</w:t>
      </w:r>
      <w:r w:rsidR="00FE5E54" w:rsidRPr="00013F2D">
        <w:t xml:space="preserve">he </w:t>
      </w:r>
      <w:r w:rsidR="00066FA5" w:rsidRPr="00013F2D">
        <w:t xml:space="preserve">Payroll Technician </w:t>
      </w:r>
      <w:r w:rsidRPr="00013F2D">
        <w:t xml:space="preserve">position </w:t>
      </w:r>
      <w:r w:rsidRPr="00013F2D">
        <w:rPr>
          <w:i/>
        </w:rPr>
        <w:t>was</w:t>
      </w:r>
      <w:r w:rsidRPr="00013F2D">
        <w:t xml:space="preserve"> vacant, and no other employee was entitled to it</w:t>
      </w:r>
      <w:r w:rsidR="00066FA5" w:rsidRPr="00013F2D">
        <w:t>.  I</w:t>
      </w:r>
      <w:r w:rsidRPr="00013F2D">
        <w:t>n fact, S</w:t>
      </w:r>
      <w:r w:rsidR="00463607" w:rsidRPr="00013F2D">
        <w:t>heriff Woody hired an</w:t>
      </w:r>
      <w:r w:rsidRPr="00013F2D">
        <w:t xml:space="preserve"> </w:t>
      </w:r>
      <w:r w:rsidR="00463607" w:rsidRPr="00013F2D">
        <w:t>external candidate—whom he later</w:t>
      </w:r>
      <w:r w:rsidRPr="00013F2D">
        <w:t xml:space="preserve"> fire</w:t>
      </w:r>
      <w:r w:rsidR="00463607" w:rsidRPr="00013F2D">
        <w:t xml:space="preserve">d </w:t>
      </w:r>
      <w:r w:rsidR="00066FA5" w:rsidRPr="00013F2D">
        <w:t>for insubordination—to fill the position</w:t>
      </w:r>
      <w:r w:rsidR="002C4BB1" w:rsidRPr="00013F2D">
        <w:t>.</w:t>
      </w:r>
      <w:r w:rsidR="00665AEC" w:rsidRPr="00013F2D">
        <w:t xml:space="preserve">  Pl.’s Mem. Ex. 16.</w:t>
      </w:r>
    </w:p>
    <w:p w:rsidR="00066FA5" w:rsidRPr="00013F2D" w:rsidRDefault="002C4BB1" w:rsidP="00066FA5">
      <w:pPr>
        <w:spacing w:line="480" w:lineRule="auto"/>
        <w:ind w:firstLine="720"/>
        <w:rPr>
          <w:i/>
        </w:rPr>
      </w:pPr>
      <w:r w:rsidRPr="00013F2D">
        <w:t>Sheriff Woody</w:t>
      </w:r>
      <w:r w:rsidR="00066FA5" w:rsidRPr="00013F2D">
        <w:t xml:space="preserve"> also argues that reassignment is unreasonable when it requires an employer to refrain from recruiting and hiring a more qualified candidate.  Def.’s Mem. </w:t>
      </w:r>
      <w:r w:rsidR="006729DC">
        <w:t xml:space="preserve">at </w:t>
      </w:r>
      <w:r w:rsidR="00066FA5" w:rsidRPr="00013F2D">
        <w:t xml:space="preserve">21.  In Sheriff Woody’s </w:t>
      </w:r>
      <w:r w:rsidR="00A1507B" w:rsidRPr="00013F2D">
        <w:t xml:space="preserve">view, then, </w:t>
      </w:r>
      <w:r w:rsidR="00855379" w:rsidRPr="00013F2D">
        <w:t xml:space="preserve">the ADA mandates reassignment </w:t>
      </w:r>
      <w:r w:rsidR="00A1507B" w:rsidRPr="00013F2D">
        <w:t xml:space="preserve">only </w:t>
      </w:r>
      <w:r w:rsidR="00066FA5" w:rsidRPr="00013F2D">
        <w:t xml:space="preserve">when the employee seeking the reassignment </w:t>
      </w:r>
      <w:r w:rsidR="00066FA5" w:rsidRPr="00013F2D">
        <w:rPr>
          <w:i/>
        </w:rPr>
        <w:t>is</w:t>
      </w:r>
      <w:r w:rsidR="00066FA5" w:rsidRPr="00013F2D">
        <w:t xml:space="preserve"> the most qualified candidate.  But </w:t>
      </w:r>
      <w:r w:rsidRPr="00013F2D">
        <w:t xml:space="preserve">under that view, </w:t>
      </w:r>
      <w:r w:rsidR="00066FA5" w:rsidRPr="00013F2D">
        <w:t xml:space="preserve">reassignment is not an “accommodation” at all.  </w:t>
      </w:r>
      <w:r w:rsidR="00630433" w:rsidRPr="00013F2D">
        <w:t>If the reassignment provision meant that an employee with a disability could compete for a vacant position and be hired only if she is the most qualified</w:t>
      </w:r>
      <w:r w:rsidR="00665AEC" w:rsidRPr="00013F2D">
        <w:t xml:space="preserve"> competitor</w:t>
      </w:r>
      <w:r w:rsidR="00630433" w:rsidRPr="00013F2D">
        <w:t>, the term would add nothing to the statute</w:t>
      </w:r>
      <w:r w:rsidR="00855379" w:rsidRPr="00013F2D">
        <w:t>’s protections</w:t>
      </w:r>
      <w:r w:rsidR="00630433" w:rsidRPr="00013F2D">
        <w:t xml:space="preserve">.  </w:t>
      </w:r>
      <w:r w:rsidR="00630433" w:rsidRPr="00013F2D">
        <w:rPr>
          <w:i/>
        </w:rPr>
        <w:t xml:space="preserve">See </w:t>
      </w:r>
      <w:r w:rsidR="00630433" w:rsidRPr="00013F2D">
        <w:t xml:space="preserve">42 U.S.C. § 12112(a) (prohibiting discrimination in “job application procedures [or] hiring”).  As several courts have held, “if the </w:t>
      </w:r>
      <w:r w:rsidR="00630433" w:rsidRPr="00013F2D">
        <w:lastRenderedPageBreak/>
        <w:t xml:space="preserve">reassignment language merely requires employers to consider on an equal basis with all other applicants an otherwise qualified existing employee with a disability for reassignment to a vacant position, that language would add nothing to the obligation not to discriminate, and would thereby be redundant.”  </w:t>
      </w:r>
      <w:r w:rsidR="00855379" w:rsidRPr="00013F2D">
        <w:rPr>
          <w:i/>
        </w:rPr>
        <w:t>Smith v. Midland Brake, Inc., a Div. of Echlin, Inc</w:t>
      </w:r>
      <w:r w:rsidR="00855379" w:rsidRPr="00013F2D">
        <w:t xml:space="preserve">., 180 F.3d 1154, 1164–65 (10th Cir. 1999) (en banc); </w:t>
      </w:r>
      <w:r w:rsidR="00855379" w:rsidRPr="00013F2D">
        <w:rPr>
          <w:i/>
        </w:rPr>
        <w:t>see also Aka v. Washington Hosp. Ctr.</w:t>
      </w:r>
      <w:r w:rsidR="00855379" w:rsidRPr="00013F2D">
        <w:t xml:space="preserve">, 156 F.3d 1284, 1304 (D.C. Cir. 1998) (en banc).  </w:t>
      </w:r>
    </w:p>
    <w:p w:rsidR="006A2C94" w:rsidRPr="00013F2D" w:rsidRDefault="00630433" w:rsidP="00630433">
      <w:pPr>
        <w:spacing w:line="480" w:lineRule="auto"/>
        <w:ind w:firstLine="720"/>
      </w:pPr>
      <w:r w:rsidRPr="00013F2D">
        <w:t xml:space="preserve">To the extent Sheriff Woody suggests that reassignment is ordinarily unreasonable, the Supreme Court has rejected that argument.  </w:t>
      </w:r>
      <w:r w:rsidR="006A2C94" w:rsidRPr="00013F2D">
        <w:t xml:space="preserve">As the Court </w:t>
      </w:r>
      <w:r w:rsidR="00855379" w:rsidRPr="00013F2D">
        <w:t>assumed</w:t>
      </w:r>
      <w:r w:rsidR="006A2C94" w:rsidRPr="00013F2D">
        <w:t xml:space="preserve"> in </w:t>
      </w:r>
      <w:r w:rsidR="006A2C94" w:rsidRPr="00013F2D">
        <w:rPr>
          <w:i/>
        </w:rPr>
        <w:t>U.S. Airways, Inc. v. Barnett</w:t>
      </w:r>
      <w:r w:rsidR="006A2C94" w:rsidRPr="00013F2D">
        <w:t>, 535 U.S. 391 (2002), the fact that Congress explicitly included “reassignment to a vacant position” as an exampl</w:t>
      </w:r>
      <w:r w:rsidR="009F7BF2" w:rsidRPr="00013F2D">
        <w:t>e of a reasonable accommodation</w:t>
      </w:r>
      <w:r w:rsidR="006A2C94" w:rsidRPr="00013F2D">
        <w:t xml:space="preserve"> means that </w:t>
      </w:r>
      <w:r w:rsidR="00061A10" w:rsidRPr="00013F2D">
        <w:t>“</w:t>
      </w:r>
      <w:r w:rsidR="006A2C94" w:rsidRPr="00013F2D">
        <w:rPr>
          <w:i/>
        </w:rPr>
        <w:t>normally</w:t>
      </w:r>
      <w:r w:rsidR="006A2C94" w:rsidRPr="00013F2D">
        <w:t xml:space="preserve"> such a request </w:t>
      </w:r>
      <w:r w:rsidR="006A2C94" w:rsidRPr="00013F2D">
        <w:rPr>
          <w:i/>
        </w:rPr>
        <w:t>would</w:t>
      </w:r>
      <w:r w:rsidR="006A2C94" w:rsidRPr="00013F2D">
        <w:t xml:space="preserve"> be reasonable within the meaning of the statute</w:t>
      </w:r>
      <w:r w:rsidR="00061A10" w:rsidRPr="00013F2D">
        <w:t xml:space="preserve">.”  </w:t>
      </w:r>
      <w:r w:rsidR="00061A10" w:rsidRPr="00013F2D">
        <w:rPr>
          <w:i/>
        </w:rPr>
        <w:t>Id.</w:t>
      </w:r>
      <w:r w:rsidR="00A1507B" w:rsidRPr="00013F2D">
        <w:t xml:space="preserve"> at 403 (citing 42 U.S.C. § </w:t>
      </w:r>
      <w:r w:rsidR="00061A10" w:rsidRPr="00013F2D">
        <w:t>12111(9)</w:t>
      </w:r>
      <w:r w:rsidR="00041267">
        <w:t>) (emphasis added</w:t>
      </w:r>
      <w:r w:rsidR="00061A10" w:rsidRPr="00013F2D">
        <w:t xml:space="preserve">). </w:t>
      </w:r>
      <w:r w:rsidRPr="00013F2D">
        <w:t xml:space="preserve"> </w:t>
      </w:r>
      <w:r w:rsidR="00061A10" w:rsidRPr="00013F2D">
        <w:t xml:space="preserve">And once a plaintiff establishes that </w:t>
      </w:r>
      <w:r w:rsidR="006A2C94" w:rsidRPr="00013F2D">
        <w:t xml:space="preserve">reassignment is a reasonable </w:t>
      </w:r>
      <w:r w:rsidR="00061A10" w:rsidRPr="00013F2D">
        <w:t>accommodation,</w:t>
      </w:r>
      <w:r w:rsidR="009F7BF2" w:rsidRPr="00013F2D">
        <w:t xml:space="preserve"> </w:t>
      </w:r>
      <w:r w:rsidR="006A2C94" w:rsidRPr="00013F2D">
        <w:t>“the defendant/employer then must show special (typically case-specific) circumstances</w:t>
      </w:r>
      <w:r w:rsidR="00855379" w:rsidRPr="00013F2D">
        <w:t xml:space="preserve"> [such as a seniority system]</w:t>
      </w:r>
      <w:r w:rsidR="006A2C94" w:rsidRPr="00013F2D">
        <w:t xml:space="preserve"> that demonstrate undue hardship in the particular circumstances.”  </w:t>
      </w:r>
      <w:r w:rsidR="006A2C94" w:rsidRPr="00013F2D">
        <w:rPr>
          <w:i/>
        </w:rPr>
        <w:t>Id.</w:t>
      </w:r>
      <w:r w:rsidR="006A2C94" w:rsidRPr="00013F2D">
        <w:t xml:space="preserve"> at 40</w:t>
      </w:r>
      <w:r w:rsidR="00061A10" w:rsidRPr="00013F2D">
        <w:t>1−0</w:t>
      </w:r>
      <w:r w:rsidR="00576E64" w:rsidRPr="00013F2D">
        <w:t>2.</w:t>
      </w:r>
      <w:r w:rsidR="00F6590B" w:rsidRPr="00013F2D">
        <w:t xml:space="preserve">  </w:t>
      </w:r>
      <w:r w:rsidRPr="00013F2D">
        <w:t>Reassignment is ordinarily a reasonable accommodation, and it was a reasonable accommodation as a matter of law in this case:  As Sheriff Woody admits, Ms. Hall was qualified for the</w:t>
      </w:r>
      <w:r w:rsidR="00855379" w:rsidRPr="00013F2D">
        <w:t xml:space="preserve"> Payroll Technician</w:t>
      </w:r>
      <w:r w:rsidRPr="00013F2D">
        <w:t xml:space="preserve"> position, the position was vacant, and no other accommodation would have allowed her to remain employed wi</w:t>
      </w:r>
      <w:r w:rsidR="00A1507B" w:rsidRPr="00013F2D">
        <w:t>th his organization.  T</w:t>
      </w:r>
      <w:r w:rsidRPr="00013F2D">
        <w:t>he ADA required Sheriff Woody to reassign Ms. Hall.</w:t>
      </w:r>
    </w:p>
    <w:p w:rsidR="005F35BE" w:rsidRPr="00013F2D" w:rsidRDefault="005B5B7C">
      <w:pPr>
        <w:pStyle w:val="ListParagraph"/>
        <w:numPr>
          <w:ilvl w:val="0"/>
          <w:numId w:val="25"/>
        </w:numPr>
        <w:rPr>
          <w:i/>
        </w:rPr>
      </w:pPr>
      <w:r w:rsidRPr="00013F2D">
        <w:rPr>
          <w:i/>
        </w:rPr>
        <w:t>Sheriff Woody mischaracterizes the law of the Fourth Circuit</w:t>
      </w:r>
      <w:r w:rsidR="00E54BBD" w:rsidRPr="00013F2D">
        <w:rPr>
          <w:i/>
        </w:rPr>
        <w:t xml:space="preserve"> </w:t>
      </w:r>
      <w:r w:rsidR="00773A06" w:rsidRPr="00013F2D">
        <w:rPr>
          <w:i/>
        </w:rPr>
        <w:t>in</w:t>
      </w:r>
      <w:r w:rsidR="00FA76A0" w:rsidRPr="00013F2D">
        <w:rPr>
          <w:i/>
        </w:rPr>
        <w:t xml:space="preserve"> argu</w:t>
      </w:r>
      <w:r w:rsidR="00773A06" w:rsidRPr="00013F2D">
        <w:rPr>
          <w:i/>
        </w:rPr>
        <w:t>ing</w:t>
      </w:r>
      <w:r w:rsidR="00FA76A0" w:rsidRPr="00013F2D">
        <w:rPr>
          <w:i/>
        </w:rPr>
        <w:t xml:space="preserve"> that reassignment is not required</w:t>
      </w:r>
    </w:p>
    <w:p w:rsidR="005F35BE" w:rsidRPr="00013F2D" w:rsidRDefault="005F35BE">
      <w:pPr>
        <w:pStyle w:val="ListParagraph"/>
        <w:ind w:left="1080"/>
        <w:rPr>
          <w:i/>
        </w:rPr>
      </w:pPr>
    </w:p>
    <w:p w:rsidR="005C3BF9" w:rsidRPr="00013F2D" w:rsidRDefault="00211E9F" w:rsidP="00067570">
      <w:pPr>
        <w:spacing w:line="480" w:lineRule="auto"/>
        <w:ind w:firstLine="720"/>
      </w:pPr>
      <w:r w:rsidRPr="00013F2D">
        <w:t>In arguing that the ADA does not require reassignment</w:t>
      </w:r>
      <w:r w:rsidR="00630433" w:rsidRPr="00013F2D">
        <w:t>,</w:t>
      </w:r>
      <w:r w:rsidR="005C3BF9" w:rsidRPr="00013F2D">
        <w:t xml:space="preserve"> Sheriff Woody relies on a district court case </w:t>
      </w:r>
      <w:r w:rsidR="00E3323F" w:rsidRPr="00013F2D">
        <w:t xml:space="preserve">that </w:t>
      </w:r>
      <w:r w:rsidR="005C3BF9" w:rsidRPr="00013F2D">
        <w:t xml:space="preserve">the </w:t>
      </w:r>
      <w:r w:rsidR="007E0FBA" w:rsidRPr="00013F2D">
        <w:t xml:space="preserve">Fourth </w:t>
      </w:r>
      <w:r w:rsidR="005C3BF9" w:rsidRPr="00013F2D">
        <w:t xml:space="preserve">Circuit overruled on this </w:t>
      </w:r>
      <w:r w:rsidR="00855379" w:rsidRPr="00013F2D">
        <w:t>very</w:t>
      </w:r>
      <w:r w:rsidR="005C3BF9" w:rsidRPr="00013F2D">
        <w:t xml:space="preserve"> point.</w:t>
      </w:r>
      <w:r w:rsidR="00630433" w:rsidRPr="00013F2D">
        <w:t xml:space="preserve">  </w:t>
      </w:r>
      <w:r w:rsidR="005C3BF9" w:rsidRPr="00013F2D">
        <w:t xml:space="preserve">In </w:t>
      </w:r>
      <w:r w:rsidR="005C3BF9" w:rsidRPr="00013F2D">
        <w:rPr>
          <w:i/>
        </w:rPr>
        <w:t>Williams v. Avnet, Inc.</w:t>
      </w:r>
      <w:r w:rsidR="007E0FBA" w:rsidRPr="00013F2D">
        <w:t xml:space="preserve">, 910 F. Supp. 1124 </w:t>
      </w:r>
      <w:r w:rsidR="005C3BF9" w:rsidRPr="00013F2D">
        <w:t xml:space="preserve">(E.D.N.C. 1995), the district court accepted the argument urged </w:t>
      </w:r>
      <w:r w:rsidR="00100554" w:rsidRPr="00013F2D">
        <w:t xml:space="preserve">here by Sheriff </w:t>
      </w:r>
      <w:r w:rsidR="00100554" w:rsidRPr="00013F2D">
        <w:lastRenderedPageBreak/>
        <w:t>Woody</w:t>
      </w:r>
      <w:r w:rsidR="00855379" w:rsidRPr="00013F2D">
        <w:t>, concluding</w:t>
      </w:r>
      <w:r w:rsidR="00100554" w:rsidRPr="00013F2D">
        <w:t xml:space="preserve"> that</w:t>
      </w:r>
      <w:r w:rsidR="005C3BF9" w:rsidRPr="00013F2D">
        <w:t xml:space="preserve"> </w:t>
      </w:r>
      <w:r w:rsidR="00100554" w:rsidRPr="00013F2D">
        <w:t>“[i]</w:t>
      </w:r>
      <w:r w:rsidR="005C3BF9" w:rsidRPr="00013F2D">
        <w:t xml:space="preserve">t is never reasonable, under the ADA or any other law, to expect an employer to </w:t>
      </w:r>
      <w:r w:rsidR="00041267">
        <w:t>. . .</w:t>
      </w:r>
      <w:r w:rsidR="005C3BF9" w:rsidRPr="00013F2D">
        <w:t xml:space="preserve"> re-assign employees</w:t>
      </w:r>
      <w:r w:rsidR="00855379" w:rsidRPr="00013F2D">
        <w:t xml:space="preserve"> . </w:t>
      </w:r>
      <w:r w:rsidR="00100554" w:rsidRPr="00013F2D">
        <w:t xml:space="preserve">. . </w:t>
      </w:r>
      <w:r w:rsidR="005C3BF9" w:rsidRPr="00013F2D">
        <w:t>to accommodate a disabled employee.</w:t>
      </w:r>
      <w:r w:rsidR="00100554" w:rsidRPr="00013F2D">
        <w:t xml:space="preserve">”  </w:t>
      </w:r>
      <w:r w:rsidR="007E0FBA" w:rsidRPr="00013F2D">
        <w:rPr>
          <w:i/>
        </w:rPr>
        <w:t>Id.</w:t>
      </w:r>
      <w:r w:rsidR="007E0FBA" w:rsidRPr="00013F2D">
        <w:t xml:space="preserve"> at 1136.  </w:t>
      </w:r>
      <w:r w:rsidR="00100554" w:rsidRPr="00013F2D">
        <w:t>The Fourth Circuit</w:t>
      </w:r>
      <w:r w:rsidR="00855379" w:rsidRPr="00013F2D">
        <w:t xml:space="preserve"> squarely</w:t>
      </w:r>
      <w:r w:rsidR="00100554" w:rsidRPr="00013F2D">
        <w:t xml:space="preserve"> </w:t>
      </w:r>
      <w:r w:rsidR="00630433" w:rsidRPr="00013F2D">
        <w:t>rejected that contention.</w:t>
      </w:r>
      <w:r w:rsidR="00100554" w:rsidRPr="00013F2D">
        <w:t xml:space="preserve"> </w:t>
      </w:r>
      <w:r w:rsidR="00427E43" w:rsidRPr="00013F2D">
        <w:t xml:space="preserve"> </w:t>
      </w:r>
      <w:r w:rsidR="00100554" w:rsidRPr="00013F2D">
        <w:t>“</w:t>
      </w:r>
      <w:r w:rsidR="00427E43" w:rsidRPr="00013F2D">
        <w:t>[T]</w:t>
      </w:r>
      <w:r w:rsidR="00100554" w:rsidRPr="00013F2D">
        <w:t xml:space="preserve">he district court [] erred in suggesting that a qualified ADA plaintiff can never rely on reassignment to a vacant position as a reasonable accommodation.”  </w:t>
      </w:r>
      <w:r w:rsidR="00100554" w:rsidRPr="00013F2D">
        <w:rPr>
          <w:i/>
        </w:rPr>
        <w:t>Williams v. Channel Master Satellite Sys., Inc.</w:t>
      </w:r>
      <w:r w:rsidR="00100554" w:rsidRPr="00013F2D">
        <w:t>, 101 F.3d 346, 350 (4th Cir. 1996) (emphasis removed)</w:t>
      </w:r>
      <w:r w:rsidR="00067570" w:rsidRPr="00013F2D">
        <w:t xml:space="preserve">, </w:t>
      </w:r>
      <w:r w:rsidR="00067570" w:rsidRPr="00013F2D">
        <w:rPr>
          <w:i/>
        </w:rPr>
        <w:t>abrogation on other grounds recognized in</w:t>
      </w:r>
      <w:r w:rsidR="006729DC">
        <w:rPr>
          <w:i/>
        </w:rPr>
        <w:t xml:space="preserve"> </w:t>
      </w:r>
      <w:r w:rsidR="00067570" w:rsidRPr="00013F2D">
        <w:rPr>
          <w:i/>
        </w:rPr>
        <w:t>Young v. United Parcel Serv., Inc.</w:t>
      </w:r>
      <w:r w:rsidR="00067570" w:rsidRPr="00013F2D">
        <w:t>, 784 F.3d 192, 200 (4th Cir. 2015)</w:t>
      </w:r>
      <w:r w:rsidR="00100554" w:rsidRPr="00013F2D">
        <w:t>.</w:t>
      </w:r>
      <w:r w:rsidR="00AE4F81" w:rsidRPr="00013F2D">
        <w:t xml:space="preserve">  The Fourth Circuit affirmed the district court, but </w:t>
      </w:r>
      <w:r w:rsidR="00630433" w:rsidRPr="00013F2D">
        <w:t xml:space="preserve">only </w:t>
      </w:r>
      <w:r w:rsidR="00AE4F81" w:rsidRPr="00013F2D">
        <w:t xml:space="preserve">on </w:t>
      </w:r>
      <w:r w:rsidR="00067570" w:rsidRPr="00013F2D">
        <w:t xml:space="preserve">the </w:t>
      </w:r>
      <w:r w:rsidR="00AE4F81" w:rsidRPr="00013F2D">
        <w:t>alternative ground</w:t>
      </w:r>
      <w:r w:rsidR="00067570" w:rsidRPr="00013F2D">
        <w:t xml:space="preserve"> that the plaintiff had failed to establish that she had a disability.</w:t>
      </w:r>
      <w:r w:rsidR="00AE4F81" w:rsidRPr="00013F2D">
        <w:rPr>
          <w:rStyle w:val="FootnoteReference"/>
        </w:rPr>
        <w:footnoteReference w:id="2"/>
      </w:r>
      <w:r w:rsidR="00AE4F81" w:rsidRPr="00013F2D">
        <w:t xml:space="preserve"> </w:t>
      </w:r>
    </w:p>
    <w:p w:rsidR="0086496B" w:rsidRPr="00013F2D" w:rsidRDefault="00427E43" w:rsidP="00427E43">
      <w:pPr>
        <w:spacing w:line="480" w:lineRule="auto"/>
        <w:ind w:firstLine="720"/>
      </w:pPr>
      <w:r w:rsidRPr="00013F2D">
        <w:t>Sheriff Woody also argues that the Circuit</w:t>
      </w:r>
      <w:r w:rsidR="005C3BF9" w:rsidRPr="00013F2D">
        <w:t xml:space="preserve"> </w:t>
      </w:r>
      <w:r w:rsidR="005B5B7C" w:rsidRPr="00013F2D">
        <w:t xml:space="preserve">“has explicitly held” that </w:t>
      </w:r>
      <w:r w:rsidR="009B6411" w:rsidRPr="00013F2D">
        <w:t>“</w:t>
      </w:r>
      <w:r w:rsidR="005B5B7C" w:rsidRPr="00013F2D">
        <w:t>the</w:t>
      </w:r>
      <w:r w:rsidR="009B6411" w:rsidRPr="00013F2D">
        <w:t xml:space="preserve"> duty of reasonable accommodation </w:t>
      </w:r>
      <w:r w:rsidR="009B6411" w:rsidRPr="00013F2D">
        <w:rPr>
          <w:i/>
        </w:rPr>
        <w:t xml:space="preserve">does not </w:t>
      </w:r>
      <w:r w:rsidR="009B6411" w:rsidRPr="00013F2D">
        <w:t>encompass</w:t>
      </w:r>
      <w:r w:rsidR="005B5B7C" w:rsidRPr="00013F2D">
        <w:t xml:space="preserve"> </w:t>
      </w:r>
      <w:r w:rsidR="009B6411" w:rsidRPr="00013F2D">
        <w:t xml:space="preserve">a responsibility to provide a disabled employee with alternative employment when the employee is unable to meet the demands of his present position.”  </w:t>
      </w:r>
      <w:r w:rsidR="005B5B7C" w:rsidRPr="00013F2D">
        <w:t>Def.’s Mem.</w:t>
      </w:r>
      <w:r w:rsidR="006729DC">
        <w:t xml:space="preserve"> at</w:t>
      </w:r>
      <w:r w:rsidR="005B5B7C" w:rsidRPr="00013F2D">
        <w:t xml:space="preserve"> </w:t>
      </w:r>
      <w:r w:rsidR="00A27B1C">
        <w:t>21</w:t>
      </w:r>
      <w:r w:rsidR="005B5B7C" w:rsidRPr="00013F2D">
        <w:t xml:space="preserve"> (</w:t>
      </w:r>
      <w:r w:rsidR="009B6411" w:rsidRPr="00013F2D">
        <w:t>quoting</w:t>
      </w:r>
      <w:r w:rsidR="005B5B7C" w:rsidRPr="00013F2D">
        <w:t xml:space="preserve"> </w:t>
      </w:r>
      <w:r w:rsidR="009B6411" w:rsidRPr="00013F2D">
        <w:rPr>
          <w:i/>
        </w:rPr>
        <w:t>Myers v. Hose</w:t>
      </w:r>
      <w:r w:rsidR="009B6411" w:rsidRPr="00013F2D">
        <w:t>, 50 F.3d 278, 284 (4th Cir. 1995)</w:t>
      </w:r>
      <w:r w:rsidR="00A1507B" w:rsidRPr="00013F2D">
        <w:t>)</w:t>
      </w:r>
      <w:r w:rsidR="004C31D3" w:rsidRPr="004C31D3">
        <w:t xml:space="preserve"> </w:t>
      </w:r>
      <w:r w:rsidR="004C31D3">
        <w:t>(emphasis added)</w:t>
      </w:r>
      <w:r w:rsidR="009B6411" w:rsidRPr="00013F2D">
        <w:t xml:space="preserve">.  But </w:t>
      </w:r>
      <w:r w:rsidR="0086496B" w:rsidRPr="00013F2D">
        <w:t xml:space="preserve">the portion of </w:t>
      </w:r>
      <w:r w:rsidR="0086496B" w:rsidRPr="00013F2D">
        <w:rPr>
          <w:i/>
        </w:rPr>
        <w:t xml:space="preserve">Myers </w:t>
      </w:r>
      <w:r w:rsidR="0086496B" w:rsidRPr="00013F2D">
        <w:t>cited by Sheriff Woody</w:t>
      </w:r>
      <w:r w:rsidR="009B6411" w:rsidRPr="00013F2D">
        <w:t xml:space="preserve"> is </w:t>
      </w:r>
      <w:r w:rsidR="009B6411" w:rsidRPr="00013F2D">
        <w:rPr>
          <w:i/>
        </w:rPr>
        <w:t xml:space="preserve">not </w:t>
      </w:r>
      <w:r w:rsidR="009B6411" w:rsidRPr="00013F2D">
        <w:t xml:space="preserve">a holding, </w:t>
      </w:r>
      <w:r w:rsidR="006525D4" w:rsidRPr="00013F2D">
        <w:t xml:space="preserve">Pl.’s Mem. </w:t>
      </w:r>
      <w:r w:rsidR="006729DC">
        <w:t xml:space="preserve">at </w:t>
      </w:r>
      <w:r w:rsidR="006525D4" w:rsidRPr="00013F2D">
        <w:t xml:space="preserve">21, </w:t>
      </w:r>
      <w:r w:rsidR="009B6411" w:rsidRPr="00013F2D">
        <w:t xml:space="preserve">and </w:t>
      </w:r>
      <w:r w:rsidR="0086496B" w:rsidRPr="00013F2D">
        <w:rPr>
          <w:i/>
        </w:rPr>
        <w:t>Williams</w:t>
      </w:r>
      <w:r w:rsidR="0086496B" w:rsidRPr="00013F2D">
        <w:t xml:space="preserve"> explains why </w:t>
      </w:r>
      <w:r w:rsidR="00CE7760" w:rsidRPr="00013F2D">
        <w:t xml:space="preserve">this </w:t>
      </w:r>
      <w:r w:rsidR="0086496B" w:rsidRPr="00013F2D">
        <w:t xml:space="preserve">reading of </w:t>
      </w:r>
      <w:r w:rsidR="0086496B" w:rsidRPr="00013F2D">
        <w:rPr>
          <w:i/>
        </w:rPr>
        <w:t>Myers</w:t>
      </w:r>
      <w:r w:rsidR="0086496B" w:rsidRPr="00013F2D">
        <w:t xml:space="preserve"> is wrong:</w:t>
      </w:r>
    </w:p>
    <w:p w:rsidR="0086496B" w:rsidRPr="00013F2D" w:rsidRDefault="0086496B" w:rsidP="0086496B">
      <w:pPr>
        <w:ind w:left="720" w:right="940"/>
        <w:jc w:val="both"/>
      </w:pPr>
      <w:r w:rsidRPr="00013F2D">
        <w:t>The district court relied on [</w:t>
      </w:r>
      <w:r w:rsidRPr="00013F2D">
        <w:rPr>
          <w:i/>
        </w:rPr>
        <w:t>Myers</w:t>
      </w:r>
      <w:r w:rsidRPr="00013F2D">
        <w:t>] as supporting its conclusion that reassignment to a vacant position can never be a reasonable accommodation in ADA cases.</w:t>
      </w:r>
      <w:r w:rsidR="006525D4" w:rsidRPr="00013F2D">
        <w:t xml:space="preserve"> </w:t>
      </w:r>
      <w:r w:rsidRPr="00013F2D">
        <w:t xml:space="preserve"> This conclusion is contrary to congressional direction and is in no way required by our </w:t>
      </w:r>
      <w:r w:rsidRPr="00013F2D">
        <w:rPr>
          <w:i/>
        </w:rPr>
        <w:t>Myers</w:t>
      </w:r>
      <w:r w:rsidRPr="00013F2D">
        <w:t xml:space="preserve"> decision.  </w:t>
      </w:r>
      <w:r w:rsidRPr="00013F2D">
        <w:rPr>
          <w:i/>
        </w:rPr>
        <w:t>Myers</w:t>
      </w:r>
      <w:r w:rsidRPr="00013F2D">
        <w:t xml:space="preserve"> noted only that a particular accommodation does not become federally mandated merely because an employer “elects to establish it as a matter of policy.”</w:t>
      </w:r>
    </w:p>
    <w:p w:rsidR="009B6411" w:rsidRPr="00013F2D" w:rsidRDefault="009B6411" w:rsidP="0086496B">
      <w:pPr>
        <w:ind w:left="720" w:right="940"/>
        <w:jc w:val="both"/>
      </w:pPr>
    </w:p>
    <w:p w:rsidR="005B5B7C" w:rsidRPr="00013F2D" w:rsidRDefault="009B6411" w:rsidP="00CA16EB">
      <w:pPr>
        <w:spacing w:line="480" w:lineRule="auto"/>
      </w:pPr>
      <w:r w:rsidRPr="00013F2D">
        <w:rPr>
          <w:i/>
        </w:rPr>
        <w:t>Williams</w:t>
      </w:r>
      <w:r w:rsidRPr="00013F2D">
        <w:t xml:space="preserve">, 101 F.3d </w:t>
      </w:r>
      <w:r w:rsidR="0086496B" w:rsidRPr="00013F2D">
        <w:t xml:space="preserve">at </w:t>
      </w:r>
      <w:r w:rsidRPr="00013F2D">
        <w:t>350</w:t>
      </w:r>
      <w:r w:rsidR="0086496B" w:rsidRPr="00013F2D">
        <w:t xml:space="preserve"> n.4</w:t>
      </w:r>
      <w:r w:rsidR="00CA16EB" w:rsidRPr="00013F2D">
        <w:t xml:space="preserve">.  Ultimately, “though the Circuit has not expressly overruled </w:t>
      </w:r>
      <w:r w:rsidR="00CA16EB" w:rsidRPr="00013F2D">
        <w:rPr>
          <w:i/>
        </w:rPr>
        <w:t>Myers</w:t>
      </w:r>
      <w:r w:rsidR="00CA16EB" w:rsidRPr="00013F2D">
        <w:t>, it has [] recognized the preference for reassignment as a reasonable accommodation</w:t>
      </w:r>
      <w:r w:rsidR="00A1507B" w:rsidRPr="00013F2D">
        <w:t xml:space="preserve"> . . . </w:t>
      </w:r>
      <w:r w:rsidR="00CA16EB" w:rsidRPr="00013F2D">
        <w:t xml:space="preserve">.”  </w:t>
      </w:r>
      <w:r w:rsidRPr="00013F2D">
        <w:rPr>
          <w:i/>
        </w:rPr>
        <w:t>Petty v. Freightliner Corp.</w:t>
      </w:r>
      <w:r w:rsidRPr="00013F2D">
        <w:t>, 123 F. Supp. 2d 979, 984 (W.D.N.C. 2000)</w:t>
      </w:r>
      <w:r w:rsidR="0078016E">
        <w:t>;</w:t>
      </w:r>
      <w:r w:rsidR="004E3A9A" w:rsidRPr="00013F2D">
        <w:t xml:space="preserve"> </w:t>
      </w:r>
      <w:r w:rsidR="0078016E">
        <w:rPr>
          <w:i/>
        </w:rPr>
        <w:t>s</w:t>
      </w:r>
      <w:r w:rsidR="00A1507B" w:rsidRPr="00013F2D">
        <w:rPr>
          <w:i/>
        </w:rPr>
        <w:t>ee, e.g.</w:t>
      </w:r>
      <w:r w:rsidR="00A1507B" w:rsidRPr="00013F2D">
        <w:t xml:space="preserve">, </w:t>
      </w:r>
      <w:r w:rsidR="00A1507B" w:rsidRPr="00013F2D">
        <w:rPr>
          <w:i/>
        </w:rPr>
        <w:t>EEOC v. Stowe-Pharr Mills, Inc.</w:t>
      </w:r>
      <w:r w:rsidR="00A1507B" w:rsidRPr="00013F2D">
        <w:t xml:space="preserve">, 216 F.3d 373 (4th Cir. 2000); </w:t>
      </w:r>
      <w:r w:rsidR="004E3A9A" w:rsidRPr="00013F2D">
        <w:rPr>
          <w:i/>
        </w:rPr>
        <w:t xml:space="preserve">Craddock v. Lincoln Nat’l Life Ins. </w:t>
      </w:r>
      <w:r w:rsidR="00A1507B" w:rsidRPr="00013F2D">
        <w:rPr>
          <w:i/>
        </w:rPr>
        <w:t>Co.</w:t>
      </w:r>
      <w:r w:rsidR="00A1507B" w:rsidRPr="00013F2D">
        <w:t xml:space="preserve">, </w:t>
      </w:r>
      <w:r w:rsidR="00A1507B" w:rsidRPr="00013F2D">
        <w:lastRenderedPageBreak/>
        <w:t>533 F. App’x 333 (4th Cir. 2013) (unpublished).</w:t>
      </w:r>
      <w:r w:rsidR="0086496B" w:rsidRPr="00013F2D">
        <w:rPr>
          <w:rStyle w:val="FootnoteReference"/>
        </w:rPr>
        <w:footnoteReference w:id="3"/>
      </w:r>
    </w:p>
    <w:p w:rsidR="00576E64" w:rsidRPr="00013F2D" w:rsidRDefault="00576E64" w:rsidP="00576E64">
      <w:pPr>
        <w:pStyle w:val="ListParagraph"/>
        <w:numPr>
          <w:ilvl w:val="0"/>
          <w:numId w:val="25"/>
        </w:numPr>
        <w:spacing w:line="480" w:lineRule="auto"/>
        <w:rPr>
          <w:i/>
        </w:rPr>
      </w:pPr>
      <w:r w:rsidRPr="00013F2D">
        <w:rPr>
          <w:i/>
        </w:rPr>
        <w:t>Most circuits that have considered Sheriff Woody’s argument have rejected it</w:t>
      </w:r>
    </w:p>
    <w:p w:rsidR="001E6083" w:rsidRPr="00013F2D" w:rsidRDefault="001E6083" w:rsidP="001E6083">
      <w:pPr>
        <w:spacing w:line="480" w:lineRule="auto"/>
        <w:ind w:firstLine="720"/>
      </w:pPr>
      <w:r w:rsidRPr="00013F2D">
        <w:t xml:space="preserve">Most circuits that have considered the question have </w:t>
      </w:r>
      <w:r w:rsidR="00F6590B" w:rsidRPr="00013F2D">
        <w:t>held</w:t>
      </w:r>
      <w:r w:rsidRPr="00013F2D">
        <w:t xml:space="preserve"> that the plain language of the ADA requires an employer to reassign a qualified employee with a disability to a vacant position when the employee needs the reassignment to stay employed, unless the employer can show that the reassignment would cause an undue hardship.  </w:t>
      </w:r>
      <w:r w:rsidR="0022651E" w:rsidRPr="00013F2D">
        <w:rPr>
          <w:i/>
        </w:rPr>
        <w:t>See, e.g.</w:t>
      </w:r>
      <w:r w:rsidR="0022651E" w:rsidRPr="00013F2D">
        <w:t xml:space="preserve">, </w:t>
      </w:r>
      <w:r w:rsidRPr="00013F2D">
        <w:rPr>
          <w:i/>
        </w:rPr>
        <w:t>EEOC v. United Airlines, Inc.</w:t>
      </w:r>
      <w:r w:rsidRPr="00013F2D">
        <w:t xml:space="preserve">, 693 F.3d 760, 765 (7th Cir. 2012) (en banc), </w:t>
      </w:r>
      <w:r w:rsidRPr="00013F2D">
        <w:rPr>
          <w:i/>
        </w:rPr>
        <w:t>cert. denied</w:t>
      </w:r>
      <w:r w:rsidRPr="00013F2D">
        <w:t xml:space="preserve">,133 S. Ct. 2734 (2013); </w:t>
      </w:r>
      <w:r w:rsidRPr="00013F2D">
        <w:rPr>
          <w:i/>
        </w:rPr>
        <w:t>Smith v. Midland Brake, Inc., a Div. of Echlin, Inc</w:t>
      </w:r>
      <w:r w:rsidRPr="00013F2D">
        <w:t xml:space="preserve">., 180 F.3d 1154, 1179 (10th Cir. 1999) (en banc); </w:t>
      </w:r>
      <w:r w:rsidRPr="00013F2D">
        <w:rPr>
          <w:i/>
        </w:rPr>
        <w:t>Aka v. Washington Hosp. Ctr.</w:t>
      </w:r>
      <w:r w:rsidRPr="00013F2D">
        <w:t xml:space="preserve">, 156 F.3d 1284, 1305 (D.C. Cir. 1998) (en banc).  </w:t>
      </w:r>
      <w:r w:rsidR="001C429A">
        <w:t>Sheriff Woody argues that the Second, Sixth, and Eleventh Circuits support his position, but those cases are inapposite.</w:t>
      </w:r>
    </w:p>
    <w:p w:rsidR="00F6590B" w:rsidRPr="00013F2D" w:rsidRDefault="00F6590B" w:rsidP="00F6590B">
      <w:pPr>
        <w:spacing w:line="480" w:lineRule="auto"/>
        <w:ind w:firstLine="720"/>
      </w:pPr>
      <w:r w:rsidRPr="00013F2D">
        <w:t xml:space="preserve">The Sixth and Eleventh Circuit cases cited by Sheriff Woody </w:t>
      </w:r>
      <w:r w:rsidR="0090616E" w:rsidRPr="00013F2D">
        <w:t xml:space="preserve">are inapposite because </w:t>
      </w:r>
      <w:r w:rsidR="00CA16EB" w:rsidRPr="00013F2D">
        <w:t>the employees in those cases asked their</w:t>
      </w:r>
      <w:r w:rsidRPr="00013F2D">
        <w:t xml:space="preserve"> employers to </w:t>
      </w:r>
      <w:r w:rsidRPr="00013F2D">
        <w:rPr>
          <w:i/>
        </w:rPr>
        <w:t xml:space="preserve">create </w:t>
      </w:r>
      <w:r w:rsidRPr="00013F2D">
        <w:t>vacancies</w:t>
      </w:r>
      <w:r w:rsidR="00741F79">
        <w:t>, which the ADA does not require</w:t>
      </w:r>
      <w:r w:rsidRPr="00013F2D">
        <w:t xml:space="preserve">.  </w:t>
      </w:r>
      <w:r w:rsidR="00741F79">
        <w:rPr>
          <w:i/>
        </w:rPr>
        <w:t xml:space="preserve">See </w:t>
      </w:r>
      <w:r w:rsidR="00741F79" w:rsidRPr="00013F2D">
        <w:t>Pl.’s Mem. at 19</w:t>
      </w:r>
      <w:r w:rsidR="00741F79">
        <w:t xml:space="preserve">.  </w:t>
      </w:r>
      <w:r w:rsidRPr="00013F2D">
        <w:t xml:space="preserve">In </w:t>
      </w:r>
      <w:r w:rsidRPr="00013F2D">
        <w:rPr>
          <w:i/>
        </w:rPr>
        <w:t>Hedrick v. Western Reserve Care System</w:t>
      </w:r>
      <w:r w:rsidRPr="00013F2D">
        <w:t xml:space="preserve">, 355 F.3d 444 (6th Cir. 2004), the court concluded that the plaintiff was not entitled to reassignment where the positions she sought were not vacant or “would have constituted a promotion.”  </w:t>
      </w:r>
      <w:r w:rsidRPr="00013F2D">
        <w:rPr>
          <w:i/>
        </w:rPr>
        <w:t>Id.</w:t>
      </w:r>
      <w:r w:rsidRPr="00013F2D">
        <w:t xml:space="preserve"> at 458.  </w:t>
      </w:r>
      <w:r w:rsidR="00E3323F" w:rsidRPr="00013F2D">
        <w:t>Sheriff Woody does not dispute that the</w:t>
      </w:r>
      <w:r w:rsidRPr="00013F2D">
        <w:t xml:space="preserve"> Payroll Technician position was vacant</w:t>
      </w:r>
      <w:r w:rsidR="00067570" w:rsidRPr="00013F2D">
        <w:t xml:space="preserve">, Def.’s Mem. </w:t>
      </w:r>
      <w:r w:rsidR="006729DC">
        <w:t xml:space="preserve">at </w:t>
      </w:r>
      <w:r w:rsidR="00A4791F" w:rsidRPr="00013F2D">
        <w:t>10</w:t>
      </w:r>
      <w:r w:rsidR="00067570" w:rsidRPr="00013F2D">
        <w:t>,</w:t>
      </w:r>
      <w:r w:rsidRPr="00013F2D">
        <w:t xml:space="preserve"> </w:t>
      </w:r>
      <w:r w:rsidR="00E3323F" w:rsidRPr="00013F2D">
        <w:t>and that</w:t>
      </w:r>
      <w:r w:rsidRPr="00013F2D">
        <w:t xml:space="preserve"> </w:t>
      </w:r>
      <w:r w:rsidR="00A4791F" w:rsidRPr="00013F2D">
        <w:t>it would</w:t>
      </w:r>
      <w:r w:rsidRPr="00013F2D">
        <w:t xml:space="preserve"> not have constituted a promotion for Ms. Hall</w:t>
      </w:r>
      <w:r w:rsidR="00A4791F" w:rsidRPr="00013F2D">
        <w:t>,</w:t>
      </w:r>
      <w:r w:rsidR="00222019" w:rsidRPr="00013F2D">
        <w:t xml:space="preserve"> </w:t>
      </w:r>
      <w:r w:rsidR="00222019" w:rsidRPr="00013F2D">
        <w:rPr>
          <w:i/>
        </w:rPr>
        <w:t xml:space="preserve">see </w:t>
      </w:r>
      <w:r w:rsidR="00222019" w:rsidRPr="00013F2D">
        <w:t>Pl.’s Mem. Ex. 27, Hall Dep. Ex. 17 (Woody 203)</w:t>
      </w:r>
      <w:r w:rsidRPr="00013F2D">
        <w:t xml:space="preserve">.  In </w:t>
      </w:r>
      <w:r w:rsidRPr="00013F2D">
        <w:rPr>
          <w:i/>
        </w:rPr>
        <w:t>Terrell v. USAir</w:t>
      </w:r>
      <w:r w:rsidRPr="00013F2D">
        <w:t xml:space="preserve">, 132 F.3d 621 (11th Cir. 1998), the Eleventh </w:t>
      </w:r>
      <w:r w:rsidRPr="00013F2D">
        <w:lastRenderedPageBreak/>
        <w:t xml:space="preserve">Circuit </w:t>
      </w:r>
      <w:r w:rsidR="00CA16EB" w:rsidRPr="00013F2D">
        <w:t>held that the employer “</w:t>
      </w:r>
      <w:r w:rsidRPr="00013F2D">
        <w:t xml:space="preserve">was not required to </w:t>
      </w:r>
      <w:r w:rsidRPr="004C31D3">
        <w:rPr>
          <w:i/>
        </w:rPr>
        <w:t>create</w:t>
      </w:r>
      <w:r w:rsidRPr="00013F2D">
        <w:t xml:space="preserve"> a part-time position for Plaintiff where all part-time positions had [] been eliminated from the company.”  </w:t>
      </w:r>
      <w:r w:rsidRPr="00013F2D">
        <w:rPr>
          <w:i/>
        </w:rPr>
        <w:t>Id.</w:t>
      </w:r>
      <w:r w:rsidRPr="00013F2D">
        <w:t xml:space="preserve"> at 626.  Ms. Hall did not ask or need Sheriff Woody to create a vacancy</w:t>
      </w:r>
      <w:r w:rsidR="007E0FBA" w:rsidRPr="00013F2D">
        <w:t xml:space="preserve"> or new type of position</w:t>
      </w:r>
      <w:r w:rsidRPr="00013F2D">
        <w:t xml:space="preserve"> for her.  Rather, she requested reassignment to a position that was already vacant.</w:t>
      </w:r>
      <w:r w:rsidR="0090616E" w:rsidRPr="00013F2D">
        <w:rPr>
          <w:rStyle w:val="FootnoteReference"/>
        </w:rPr>
        <w:footnoteReference w:id="4"/>
      </w:r>
      <w:r w:rsidRPr="00013F2D">
        <w:t xml:space="preserve">  </w:t>
      </w:r>
      <w:r w:rsidR="0090616E" w:rsidRPr="00013F2D">
        <w:t xml:space="preserve">Neither </w:t>
      </w:r>
      <w:r w:rsidR="0090616E" w:rsidRPr="00013F2D">
        <w:rPr>
          <w:i/>
        </w:rPr>
        <w:t xml:space="preserve">Hedrick </w:t>
      </w:r>
      <w:r w:rsidR="0090616E" w:rsidRPr="00013F2D">
        <w:t xml:space="preserve">nor </w:t>
      </w:r>
      <w:r w:rsidR="0090616E" w:rsidRPr="00013F2D">
        <w:rPr>
          <w:i/>
        </w:rPr>
        <w:t>Terrell</w:t>
      </w:r>
      <w:r w:rsidR="0090616E" w:rsidRPr="00013F2D">
        <w:t xml:space="preserve"> addresses the circumstances of this case.  If anything, </w:t>
      </w:r>
      <w:r w:rsidRPr="00013F2D">
        <w:rPr>
          <w:i/>
        </w:rPr>
        <w:t xml:space="preserve">Hedrick </w:t>
      </w:r>
      <w:r w:rsidRPr="00013F2D">
        <w:t>supports the United States’</w:t>
      </w:r>
      <w:r w:rsidR="0090616E" w:rsidRPr="00013F2D">
        <w:t xml:space="preserve"> position, because it recognizes</w:t>
      </w:r>
      <w:r w:rsidRPr="00013F2D">
        <w:t xml:space="preserve"> that “an employer </w:t>
      </w:r>
      <w:r w:rsidRPr="00013F2D">
        <w:rPr>
          <w:i/>
        </w:rPr>
        <w:t>need</w:t>
      </w:r>
      <w:r w:rsidRPr="00013F2D">
        <w:t xml:space="preserve"> only reassign a disabled employee to a </w:t>
      </w:r>
      <w:r w:rsidRPr="00013F2D">
        <w:rPr>
          <w:i/>
        </w:rPr>
        <w:t>vacant</w:t>
      </w:r>
      <w:r w:rsidRPr="00013F2D">
        <w:t xml:space="preserve"> position.”  </w:t>
      </w:r>
      <w:r w:rsidR="00CA16EB" w:rsidRPr="00013F2D">
        <w:t xml:space="preserve">355 F.3d at </w:t>
      </w:r>
      <w:r w:rsidRPr="00013F2D">
        <w:t xml:space="preserve">457 (quoting </w:t>
      </w:r>
      <w:r w:rsidRPr="00013F2D">
        <w:rPr>
          <w:i/>
        </w:rPr>
        <w:t>Burns v. Coca-Cola Enters., Inc.</w:t>
      </w:r>
      <w:r w:rsidRPr="00013F2D">
        <w:t xml:space="preserve">, 222 F.3d 247, 257 (6th Cir. 2000) (emphasis added)).  </w:t>
      </w:r>
    </w:p>
    <w:p w:rsidR="006540E2" w:rsidRPr="00013F2D" w:rsidRDefault="0090616E" w:rsidP="0022651E">
      <w:pPr>
        <w:spacing w:line="480" w:lineRule="auto"/>
        <w:ind w:firstLine="720"/>
      </w:pPr>
      <w:r w:rsidRPr="00013F2D">
        <w:t xml:space="preserve">The Second Circuit case cited by Sheriff Woody did not </w:t>
      </w:r>
      <w:r w:rsidR="00CA16EB" w:rsidRPr="00013F2D">
        <w:t>involve</w:t>
      </w:r>
      <w:r w:rsidRPr="00013F2D">
        <w:t xml:space="preserve"> reassignment.</w:t>
      </w:r>
      <w:r w:rsidR="006540E2" w:rsidRPr="00013F2D">
        <w:t xml:space="preserve"> </w:t>
      </w:r>
      <w:r w:rsidRPr="00013F2D">
        <w:t xml:space="preserve"> </w:t>
      </w:r>
      <w:r w:rsidR="0022651E" w:rsidRPr="00013F2D">
        <w:t xml:space="preserve">In </w:t>
      </w:r>
      <w:r w:rsidR="006540E2" w:rsidRPr="00013F2D">
        <w:rPr>
          <w:i/>
        </w:rPr>
        <w:t>Wernick v. Federal Reserve Bank of New York</w:t>
      </w:r>
      <w:r w:rsidR="006540E2" w:rsidRPr="00013F2D">
        <w:t xml:space="preserve">, 91 F.3d 379 (2d Cir. 1996), </w:t>
      </w:r>
      <w:r w:rsidR="0022651E" w:rsidRPr="00013F2D">
        <w:t xml:space="preserve">the plaintiff sought a new supervisor as an </w:t>
      </w:r>
      <w:r w:rsidR="006540E2" w:rsidRPr="00013F2D">
        <w:t xml:space="preserve">accommodation after rejecting </w:t>
      </w:r>
      <w:r w:rsidR="0022651E" w:rsidRPr="00013F2D">
        <w:t xml:space="preserve">other </w:t>
      </w:r>
      <w:r w:rsidR="006540E2" w:rsidRPr="00013F2D">
        <w:t xml:space="preserve">accommodations that would have allowed her to stay in her position.  </w:t>
      </w:r>
      <w:r w:rsidR="006540E2" w:rsidRPr="00013F2D">
        <w:rPr>
          <w:i/>
        </w:rPr>
        <w:t>Id.</w:t>
      </w:r>
      <w:r w:rsidR="006540E2" w:rsidRPr="00013F2D">
        <w:t xml:space="preserve"> at 384.  </w:t>
      </w:r>
      <w:r w:rsidR="002C5DBA">
        <w:t>T</w:t>
      </w:r>
      <w:r w:rsidR="0075166E">
        <w:t xml:space="preserve">he employer </w:t>
      </w:r>
      <w:r w:rsidR="001C429A">
        <w:t xml:space="preserve">in that case </w:t>
      </w:r>
      <w:r w:rsidR="0075166E">
        <w:t xml:space="preserve">met its </w:t>
      </w:r>
      <w:r w:rsidR="001C429A">
        <w:t xml:space="preserve">reasonable accommodation </w:t>
      </w:r>
      <w:r w:rsidR="0075166E">
        <w:t xml:space="preserve">obligation by offering </w:t>
      </w:r>
      <w:r w:rsidR="001C429A">
        <w:t>modifications</w:t>
      </w:r>
      <w:r w:rsidR="0075166E">
        <w:t xml:space="preserve"> </w:t>
      </w:r>
      <w:r w:rsidR="00041267">
        <w:t>that would have</w:t>
      </w:r>
      <w:r w:rsidR="0075166E">
        <w:t xml:space="preserve"> </w:t>
      </w:r>
      <w:r w:rsidR="00041267">
        <w:t>allowed</w:t>
      </w:r>
      <w:r w:rsidR="0075166E">
        <w:t xml:space="preserve"> the employee to continue working in her current position.</w:t>
      </w:r>
      <w:r w:rsidR="006C4435">
        <w:t xml:space="preserve"> </w:t>
      </w:r>
      <w:r w:rsidR="0075166E">
        <w:t xml:space="preserve"> </w:t>
      </w:r>
      <w:r w:rsidR="00FE366C">
        <w:rPr>
          <w:i/>
        </w:rPr>
        <w:t>Id.</w:t>
      </w:r>
      <w:r w:rsidR="006C4435" w:rsidRPr="00013F2D">
        <w:t xml:space="preserve"> </w:t>
      </w:r>
      <w:r w:rsidR="006C4435">
        <w:t>at 385</w:t>
      </w:r>
      <w:r w:rsidR="002C5DBA">
        <w:t xml:space="preserve">; </w:t>
      </w:r>
      <w:r w:rsidR="002C5DBA">
        <w:rPr>
          <w:i/>
        </w:rPr>
        <w:t>s</w:t>
      </w:r>
      <w:r w:rsidR="002C5DBA" w:rsidRPr="00013F2D">
        <w:rPr>
          <w:i/>
        </w:rPr>
        <w:t>ee Smith</w:t>
      </w:r>
      <w:r w:rsidR="002C5DBA" w:rsidRPr="00013F2D">
        <w:t xml:space="preserve">, 180 F.3d at 1169 (calling </w:t>
      </w:r>
      <w:r w:rsidR="002C5DBA" w:rsidRPr="00013F2D">
        <w:rPr>
          <w:i/>
        </w:rPr>
        <w:t>Wernick</w:t>
      </w:r>
      <w:r w:rsidR="002C5DBA" w:rsidRPr="00013F2D">
        <w:t xml:space="preserve"> “inapposite” in a reassignment case)</w:t>
      </w:r>
      <w:r w:rsidR="006C4435">
        <w:t xml:space="preserve">.  </w:t>
      </w:r>
      <w:r w:rsidR="006540E2" w:rsidRPr="00013F2D">
        <w:t>As the United States explained</w:t>
      </w:r>
      <w:r w:rsidR="0051013A" w:rsidRPr="00013F2D">
        <w:t xml:space="preserve"> in</w:t>
      </w:r>
      <w:r w:rsidR="006540E2" w:rsidRPr="00013F2D">
        <w:t xml:space="preserve"> its summary judgment memorandum,</w:t>
      </w:r>
      <w:r w:rsidR="00222019" w:rsidRPr="00013F2D">
        <w:t xml:space="preserve"> Pl.’s Mem. at 19,</w:t>
      </w:r>
      <w:r w:rsidR="006540E2" w:rsidRPr="00013F2D">
        <w:t xml:space="preserve"> reassignment is required </w:t>
      </w:r>
      <w:r w:rsidR="00A1507B" w:rsidRPr="00013F2D">
        <w:t xml:space="preserve">only </w:t>
      </w:r>
      <w:r w:rsidR="006540E2" w:rsidRPr="00013F2D">
        <w:t>when no other accommodation would allow the employee to remain in her current position.</w:t>
      </w:r>
      <w:r w:rsidR="00D1254B" w:rsidRPr="00013F2D">
        <w:rPr>
          <w:rStyle w:val="FootnoteReference"/>
        </w:rPr>
        <w:footnoteReference w:id="5"/>
      </w:r>
      <w:r w:rsidR="006540E2" w:rsidRPr="00013F2D">
        <w:t xml:space="preserve">  Sheriff Woody admits that no other accommodation would have allowed Ms. Hall to continue working </w:t>
      </w:r>
      <w:r w:rsidR="00BC1D88" w:rsidRPr="00013F2D">
        <w:t>for him.</w:t>
      </w:r>
      <w:r w:rsidR="00222019" w:rsidRPr="00013F2D">
        <w:t xml:space="preserve">  </w:t>
      </w:r>
      <w:r w:rsidR="00222019" w:rsidRPr="00013F2D">
        <w:rPr>
          <w:i/>
        </w:rPr>
        <w:lastRenderedPageBreak/>
        <w:t xml:space="preserve">See id. </w:t>
      </w:r>
      <w:r w:rsidR="00222019" w:rsidRPr="00013F2D">
        <w:t>Ex. 10, 30(b)(6) Dep. Tr. 113:13−16 (“The only way Emily Hall could return to work would be to return to full capacity in a sworn position or apply for a different position.”).</w:t>
      </w:r>
    </w:p>
    <w:p w:rsidR="002D5069" w:rsidRPr="00013F2D" w:rsidRDefault="00BC1D88" w:rsidP="004A434E">
      <w:pPr>
        <w:spacing w:line="480" w:lineRule="auto"/>
        <w:ind w:firstLine="720"/>
      </w:pPr>
      <w:r w:rsidRPr="00013F2D">
        <w:t xml:space="preserve">It is true that </w:t>
      </w:r>
      <w:r w:rsidR="00041267">
        <w:t xml:space="preserve">the </w:t>
      </w:r>
      <w:r w:rsidRPr="00013F2D">
        <w:t xml:space="preserve">Eighth Circuit </w:t>
      </w:r>
      <w:r w:rsidR="00CA16EB" w:rsidRPr="00013F2D">
        <w:t xml:space="preserve">has </w:t>
      </w:r>
      <w:r w:rsidR="00630433" w:rsidRPr="00013F2D">
        <w:t>reached</w:t>
      </w:r>
      <w:r w:rsidR="00CA16EB" w:rsidRPr="00013F2D">
        <w:t xml:space="preserve"> the opposite</w:t>
      </w:r>
      <w:r w:rsidR="00630433" w:rsidRPr="00013F2D">
        <w:t xml:space="preserve"> conclusion</w:t>
      </w:r>
      <w:r w:rsidR="0051013A" w:rsidRPr="00013F2D">
        <w:t xml:space="preserve"> to the Seventh, Tenth, and D.C. Circuits</w:t>
      </w:r>
      <w:r w:rsidRPr="00013F2D">
        <w:t>, but</w:t>
      </w:r>
      <w:r w:rsidR="00D60EC3">
        <w:t xml:space="preserve"> the Eighth Circuit</w:t>
      </w:r>
      <w:r w:rsidR="002D5069" w:rsidRPr="00013F2D">
        <w:t xml:space="preserve"> relied almost exclusively on a Seventh Circuit case that is no longer good law.</w:t>
      </w:r>
      <w:r w:rsidRPr="00013F2D">
        <w:t xml:space="preserve"> </w:t>
      </w:r>
      <w:r w:rsidR="002D5069" w:rsidRPr="00013F2D">
        <w:t xml:space="preserve"> In </w:t>
      </w:r>
      <w:r w:rsidR="002D5069" w:rsidRPr="00013F2D">
        <w:rPr>
          <w:i/>
        </w:rPr>
        <w:t>Huber v. Wal-Mart Stores, Inc.</w:t>
      </w:r>
      <w:r w:rsidR="002D5069" w:rsidRPr="00013F2D">
        <w:t>, 486 F.3d 480 (8th Cir. 2007), the court adopted the</w:t>
      </w:r>
      <w:r w:rsidR="00630433" w:rsidRPr="00013F2D">
        <w:t xml:space="preserve"> position the</w:t>
      </w:r>
      <w:r w:rsidR="00A1507B" w:rsidRPr="00013F2D">
        <w:t xml:space="preserve"> Sheriff</w:t>
      </w:r>
      <w:r w:rsidR="002D5069" w:rsidRPr="00013F2D">
        <w:t xml:space="preserve"> </w:t>
      </w:r>
      <w:r w:rsidR="00630433" w:rsidRPr="00013F2D">
        <w:t>now urges on the basis</w:t>
      </w:r>
      <w:r w:rsidR="00A1507B" w:rsidRPr="00013F2D">
        <w:t xml:space="preserve"> that</w:t>
      </w:r>
      <w:r w:rsidR="00630433" w:rsidRPr="00013F2D">
        <w:t xml:space="preserve"> the court </w:t>
      </w:r>
      <w:r w:rsidR="002D5069" w:rsidRPr="00013F2D">
        <w:t xml:space="preserve">“agree[d]” with </w:t>
      </w:r>
      <w:r w:rsidR="002D5069" w:rsidRPr="00013F2D">
        <w:rPr>
          <w:i/>
        </w:rPr>
        <w:t>EEOC v. Humiston-Keeling, Inc.</w:t>
      </w:r>
      <w:r w:rsidR="002D5069" w:rsidRPr="00013F2D">
        <w:t>, 227 F.3d 1024, 1027−28 (7th Cir.</w:t>
      </w:r>
      <w:r w:rsidR="004A434E" w:rsidRPr="00013F2D">
        <w:t xml:space="preserve"> </w:t>
      </w:r>
      <w:r w:rsidR="002D5069" w:rsidRPr="00013F2D">
        <w:t xml:space="preserve">2000), </w:t>
      </w:r>
      <w:r w:rsidR="004A434E" w:rsidRPr="00013F2D">
        <w:rPr>
          <w:i/>
        </w:rPr>
        <w:t>overruled by EEOC v. United Airlines, Inc.</w:t>
      </w:r>
      <w:r w:rsidR="004A434E" w:rsidRPr="00013F2D">
        <w:t xml:space="preserve">, 693 F.3d 760, 765 (7th Cir. 2012) (en banc), </w:t>
      </w:r>
      <w:r w:rsidR="004A434E" w:rsidRPr="00013F2D">
        <w:rPr>
          <w:i/>
        </w:rPr>
        <w:t>cert. denied</w:t>
      </w:r>
      <w:r w:rsidR="004A434E" w:rsidRPr="00013F2D">
        <w:t>,</w:t>
      </w:r>
      <w:r w:rsidR="00A1507B" w:rsidRPr="00013F2D">
        <w:t xml:space="preserve"> </w:t>
      </w:r>
      <w:r w:rsidR="004A434E" w:rsidRPr="00013F2D">
        <w:t xml:space="preserve">133 S. Ct. 2734 (2013).  </w:t>
      </w:r>
      <w:r w:rsidR="004A434E" w:rsidRPr="00013F2D">
        <w:rPr>
          <w:i/>
        </w:rPr>
        <w:t xml:space="preserve">Humiston-Keeling </w:t>
      </w:r>
      <w:r w:rsidR="004A434E" w:rsidRPr="00013F2D">
        <w:t xml:space="preserve">has been roundly rejected.  “[E]very member of the [Seventh Circuit] in active service approved overruling </w:t>
      </w:r>
      <w:r w:rsidR="004A434E" w:rsidRPr="00013F2D">
        <w:rPr>
          <w:i/>
        </w:rPr>
        <w:t>Humiston–Keeling</w:t>
      </w:r>
      <w:r w:rsidR="004A434E" w:rsidRPr="00013F2D">
        <w:t xml:space="preserve">” on the ground that decision “did not survive </w:t>
      </w:r>
      <w:r w:rsidR="004A434E" w:rsidRPr="00013F2D">
        <w:rPr>
          <w:i/>
        </w:rPr>
        <w:t>Barnett</w:t>
      </w:r>
      <w:r w:rsidR="004A434E" w:rsidRPr="00013F2D">
        <w:t xml:space="preserve">.”  </w:t>
      </w:r>
      <w:r w:rsidR="004A434E" w:rsidRPr="00013F2D">
        <w:rPr>
          <w:i/>
        </w:rPr>
        <w:t>United Airlines</w:t>
      </w:r>
      <w:r w:rsidR="004A434E" w:rsidRPr="00013F2D">
        <w:t xml:space="preserve">, 693 F.3d at 761.  </w:t>
      </w:r>
      <w:r w:rsidR="002D5069" w:rsidRPr="00013F2D">
        <w:t xml:space="preserve">The only other circuit to apparently agree with the minority position of the Eighth Circuit is the Fifth Circuit, but only in </w:t>
      </w:r>
      <w:r w:rsidR="004E3A9A" w:rsidRPr="00013F2D">
        <w:t xml:space="preserve">a </w:t>
      </w:r>
      <w:r w:rsidR="002D5069" w:rsidRPr="00013F2D">
        <w:t>pre-</w:t>
      </w:r>
      <w:r w:rsidR="002D5069" w:rsidRPr="00013F2D">
        <w:rPr>
          <w:i/>
        </w:rPr>
        <w:t>Barnett</w:t>
      </w:r>
      <w:r w:rsidR="002D5069" w:rsidRPr="00013F2D">
        <w:t xml:space="preserve"> </w:t>
      </w:r>
      <w:r w:rsidR="004E3A9A" w:rsidRPr="00013F2D">
        <w:t>decision that also should not survive that case</w:t>
      </w:r>
      <w:r w:rsidR="002D5069" w:rsidRPr="00013F2D">
        <w:t xml:space="preserve">.  </w:t>
      </w:r>
      <w:r w:rsidR="002D5069" w:rsidRPr="00013F2D">
        <w:rPr>
          <w:i/>
        </w:rPr>
        <w:t>See Daugherty v. City of El Paso</w:t>
      </w:r>
      <w:r w:rsidR="002D5069" w:rsidRPr="00013F2D">
        <w:t>, 56 F.3d 695, 700 (5th Cir. 1995).</w:t>
      </w:r>
    </w:p>
    <w:p w:rsidR="001E6083" w:rsidRPr="00013F2D" w:rsidRDefault="00AE4F81" w:rsidP="00AE4F81">
      <w:pPr>
        <w:pStyle w:val="ListParagraph"/>
        <w:numPr>
          <w:ilvl w:val="0"/>
          <w:numId w:val="22"/>
        </w:numPr>
        <w:rPr>
          <w:b/>
        </w:rPr>
      </w:pPr>
      <w:r w:rsidRPr="00013F2D">
        <w:rPr>
          <w:b/>
        </w:rPr>
        <w:t xml:space="preserve">Sheriff Woody did not fulfill his ADA obligations by providing Ms. Hall </w:t>
      </w:r>
      <w:r w:rsidR="007F6856" w:rsidRPr="00013F2D">
        <w:rPr>
          <w:b/>
        </w:rPr>
        <w:t>other</w:t>
      </w:r>
      <w:r w:rsidR="00FE0015" w:rsidRPr="00013F2D">
        <w:rPr>
          <w:b/>
        </w:rPr>
        <w:t xml:space="preserve"> </w:t>
      </w:r>
      <w:r w:rsidRPr="00013F2D">
        <w:rPr>
          <w:b/>
        </w:rPr>
        <w:t>accommodations</w:t>
      </w:r>
      <w:r w:rsidR="007F6856" w:rsidRPr="00013F2D">
        <w:rPr>
          <w:b/>
        </w:rPr>
        <w:t xml:space="preserve"> </w:t>
      </w:r>
      <w:r w:rsidR="0062549E" w:rsidRPr="00013F2D">
        <w:rPr>
          <w:b/>
        </w:rPr>
        <w:t>that</w:t>
      </w:r>
      <w:r w:rsidR="007F6856" w:rsidRPr="00013F2D">
        <w:rPr>
          <w:b/>
        </w:rPr>
        <w:t xml:space="preserve"> were </w:t>
      </w:r>
      <w:r w:rsidR="0062549E" w:rsidRPr="00013F2D">
        <w:rPr>
          <w:b/>
        </w:rPr>
        <w:t xml:space="preserve">not </w:t>
      </w:r>
      <w:r w:rsidR="007F6856" w:rsidRPr="00013F2D">
        <w:rPr>
          <w:b/>
        </w:rPr>
        <w:t>effective</w:t>
      </w:r>
    </w:p>
    <w:p w:rsidR="00AE4F81" w:rsidRPr="00013F2D" w:rsidRDefault="00AE4F81" w:rsidP="00AE4F81">
      <w:pPr>
        <w:pStyle w:val="ListParagraph"/>
        <w:ind w:left="1080"/>
        <w:rPr>
          <w:b/>
        </w:rPr>
      </w:pPr>
    </w:p>
    <w:p w:rsidR="00AE4F81" w:rsidRPr="00013F2D" w:rsidRDefault="009A5A4E" w:rsidP="006729DC">
      <w:pPr>
        <w:tabs>
          <w:tab w:val="left" w:pos="7020"/>
        </w:tabs>
        <w:spacing w:line="480" w:lineRule="auto"/>
        <w:ind w:firstLine="720"/>
      </w:pPr>
      <w:r w:rsidRPr="00013F2D">
        <w:t xml:space="preserve">Sheriff Woody </w:t>
      </w:r>
      <w:r w:rsidR="00AE4F81" w:rsidRPr="00013F2D">
        <w:t>argues</w:t>
      </w:r>
      <w:r w:rsidR="00715B1F" w:rsidRPr="00013F2D">
        <w:t xml:space="preserve"> </w:t>
      </w:r>
      <w:r w:rsidR="00AE4F81" w:rsidRPr="00013F2D">
        <w:t xml:space="preserve">that Ms. Hall was not a </w:t>
      </w:r>
      <w:r w:rsidR="00564FF5" w:rsidRPr="00013F2D">
        <w:t>“</w:t>
      </w:r>
      <w:r w:rsidR="00AE4F81" w:rsidRPr="00013F2D">
        <w:t>qualified individual</w:t>
      </w:r>
      <w:r w:rsidR="00564FF5" w:rsidRPr="00013F2D">
        <w:t>”</w:t>
      </w:r>
      <w:r w:rsidR="00AE4F81" w:rsidRPr="00013F2D">
        <w:t xml:space="preserve"> with a disability, </w:t>
      </w:r>
      <w:r w:rsidR="00715B1F" w:rsidRPr="00013F2D">
        <w:rPr>
          <w:i/>
        </w:rPr>
        <w:t xml:space="preserve">see </w:t>
      </w:r>
      <w:r w:rsidR="00715B1F" w:rsidRPr="00013F2D">
        <w:t xml:space="preserve">42 U.S.C. § 12112(a) (prohibiting discrimination against “a qualified individual on the basis of a disability”), </w:t>
      </w:r>
      <w:r w:rsidR="00AE4F81" w:rsidRPr="00013F2D">
        <w:t xml:space="preserve">but that even if she was, he satisfied his </w:t>
      </w:r>
      <w:r w:rsidR="004E3A9A" w:rsidRPr="00013F2D">
        <w:t xml:space="preserve">ADA </w:t>
      </w:r>
      <w:r w:rsidR="00AE4F81" w:rsidRPr="00013F2D">
        <w:t xml:space="preserve">obligations to her by providing her with other accommodations.  Def.’s Mem. </w:t>
      </w:r>
      <w:r w:rsidR="006729DC">
        <w:t xml:space="preserve">at </w:t>
      </w:r>
      <w:r w:rsidR="00715B1F" w:rsidRPr="00013F2D">
        <w:t xml:space="preserve">24, </w:t>
      </w:r>
      <w:r w:rsidR="00AE4F81" w:rsidRPr="00013F2D">
        <w:t>26</w:t>
      </w:r>
      <w:r w:rsidR="00715B1F" w:rsidRPr="00013F2D">
        <w:t>.</w:t>
      </w:r>
    </w:p>
    <w:p w:rsidR="00AE4F81" w:rsidRPr="00013F2D" w:rsidRDefault="00A27B1C" w:rsidP="00AE4F81">
      <w:pPr>
        <w:spacing w:line="480" w:lineRule="auto"/>
      </w:pPr>
      <w:r>
        <w:tab/>
      </w:r>
      <w:r w:rsidR="00715B1F" w:rsidRPr="00013F2D">
        <w:t xml:space="preserve">Sheriff Woody </w:t>
      </w:r>
      <w:r w:rsidR="008C0294" w:rsidRPr="00013F2D">
        <w:t>argues</w:t>
      </w:r>
      <w:r w:rsidR="00715B1F" w:rsidRPr="00013F2D">
        <w:t xml:space="preserve"> that Ms. Hall </w:t>
      </w:r>
      <w:r w:rsidR="008C0294" w:rsidRPr="00013F2D">
        <w:t xml:space="preserve">was not qualified because she </w:t>
      </w:r>
      <w:r w:rsidR="00715B1F" w:rsidRPr="00013F2D">
        <w:t>could no longer perform the essential functions of the Deputy Sheriff position</w:t>
      </w:r>
      <w:r w:rsidR="00032A7C">
        <w:t>.</w:t>
      </w:r>
      <w:r w:rsidR="00222019" w:rsidRPr="00013F2D">
        <w:t xml:space="preserve"> </w:t>
      </w:r>
      <w:r w:rsidR="00032A7C">
        <w:t xml:space="preserve"> B</w:t>
      </w:r>
      <w:r w:rsidR="00222019" w:rsidRPr="00013F2D">
        <w:t>ut an i</w:t>
      </w:r>
      <w:r w:rsidR="00F507C4" w:rsidRPr="00013F2D">
        <w:t>ndividual is “qualified” under</w:t>
      </w:r>
      <w:r w:rsidR="00715B1F" w:rsidRPr="00013F2D">
        <w:t xml:space="preserve"> the ADA </w:t>
      </w:r>
      <w:r w:rsidR="00F507C4" w:rsidRPr="00013F2D">
        <w:t>when he or she “</w:t>
      </w:r>
      <w:r w:rsidR="00715B1F" w:rsidRPr="00013F2D">
        <w:t xml:space="preserve">satisfies the requisite skill, experience, education and other job-related requirements of the employment position such individual holds </w:t>
      </w:r>
      <w:r w:rsidR="00715B1F" w:rsidRPr="00013F2D">
        <w:rPr>
          <w:i/>
        </w:rPr>
        <w:t>or desires</w:t>
      </w:r>
      <w:r w:rsidR="00715B1F" w:rsidRPr="00013F2D">
        <w:t xml:space="preserve"> and, with or </w:t>
      </w:r>
      <w:r w:rsidR="00715B1F" w:rsidRPr="00013F2D">
        <w:lastRenderedPageBreak/>
        <w:t>without reasonable accommodation, can perform the essential functions of such position.”  29 C.F.R. § 1630.2(m)</w:t>
      </w:r>
      <w:r w:rsidR="004E3A9A" w:rsidRPr="00013F2D">
        <w:t xml:space="preserve"> (emphasis added)</w:t>
      </w:r>
      <w:r w:rsidR="00715B1F" w:rsidRPr="00013F2D">
        <w:t xml:space="preserve">.  Ms. Hall was qualified for the Payroll Technician position </w:t>
      </w:r>
      <w:r w:rsidR="00F507C4" w:rsidRPr="00013F2D">
        <w:t>she desired</w:t>
      </w:r>
      <w:r w:rsidR="00564FF5" w:rsidRPr="00013F2D">
        <w:t xml:space="preserve">, </w:t>
      </w:r>
      <w:r w:rsidR="00564FF5" w:rsidRPr="00013F2D">
        <w:rPr>
          <w:i/>
        </w:rPr>
        <w:t>see id.</w:t>
      </w:r>
      <w:r w:rsidR="00564FF5" w:rsidRPr="00013F2D">
        <w:t xml:space="preserve"> at 12 (“Hall met the minimum requirements” for the position)</w:t>
      </w:r>
      <w:r w:rsidR="00715B1F" w:rsidRPr="00013F2D">
        <w:t>; she was</w:t>
      </w:r>
      <w:r w:rsidR="007E0FBA" w:rsidRPr="00013F2D">
        <w:t>, therefore,</w:t>
      </w:r>
      <w:r w:rsidR="00715B1F" w:rsidRPr="00013F2D">
        <w:t xml:space="preserve"> a “qualified individual.”</w:t>
      </w:r>
      <w:r w:rsidR="007F6856" w:rsidRPr="00013F2D">
        <w:t xml:space="preserve"> </w:t>
      </w:r>
    </w:p>
    <w:p w:rsidR="00715B1F" w:rsidRPr="00013F2D" w:rsidRDefault="007E0FBA" w:rsidP="00715B1F">
      <w:pPr>
        <w:spacing w:line="480" w:lineRule="auto"/>
      </w:pPr>
      <w:r w:rsidRPr="00013F2D">
        <w:tab/>
      </w:r>
      <w:r w:rsidR="00715B1F" w:rsidRPr="00013F2D">
        <w:t xml:space="preserve">Sheriff Woody next argues that he met </w:t>
      </w:r>
      <w:r w:rsidR="00032A7C">
        <w:t xml:space="preserve">his ADA </w:t>
      </w:r>
      <w:r w:rsidR="00715B1F" w:rsidRPr="00013F2D">
        <w:t>obligation by providing Ms. Hall with accommodations</w:t>
      </w:r>
      <w:r w:rsidR="00032A7C">
        <w:t xml:space="preserve"> other than reassignment</w:t>
      </w:r>
      <w:r w:rsidR="00715B1F" w:rsidRPr="00013F2D">
        <w:t>, including leave without pay</w:t>
      </w:r>
      <w:r w:rsidR="00795A8D" w:rsidRPr="00013F2D">
        <w:t xml:space="preserve"> and an interview for the Payroll Technician position</w:t>
      </w:r>
      <w:r w:rsidR="00715B1F" w:rsidRPr="00013F2D">
        <w:t xml:space="preserve">.  </w:t>
      </w:r>
      <w:r w:rsidR="00795A8D" w:rsidRPr="00013F2D">
        <w:t xml:space="preserve">Def.’s Mem. </w:t>
      </w:r>
      <w:r w:rsidR="006729DC">
        <w:t xml:space="preserve">at </w:t>
      </w:r>
      <w:r w:rsidR="00795A8D" w:rsidRPr="00013F2D">
        <w:t xml:space="preserve">24.  But an employer does not satisfy </w:t>
      </w:r>
      <w:r w:rsidR="004E3A9A" w:rsidRPr="00013F2D">
        <w:t>the</w:t>
      </w:r>
      <w:r w:rsidR="00795A8D" w:rsidRPr="00013F2D">
        <w:t xml:space="preserve"> ADA by offering an employee only part of the accommodation he or she requires. Sheriff Woody could not</w:t>
      </w:r>
      <w:r w:rsidR="00F507C4" w:rsidRPr="00013F2D">
        <w:t>, for example,</w:t>
      </w:r>
      <w:r w:rsidR="00795A8D" w:rsidRPr="00013F2D">
        <w:t xml:space="preserve"> refuse</w:t>
      </w:r>
      <w:r w:rsidR="00F507C4" w:rsidRPr="00013F2D">
        <w:t xml:space="preserve"> to provide</w:t>
      </w:r>
      <w:r w:rsidR="00795A8D" w:rsidRPr="00013F2D">
        <w:t xml:space="preserve"> a desk that accommodates </w:t>
      </w:r>
      <w:r w:rsidR="00F507C4" w:rsidRPr="00013F2D">
        <w:t>an employee’s</w:t>
      </w:r>
      <w:r w:rsidR="00795A8D" w:rsidRPr="00013F2D">
        <w:t xml:space="preserve"> wheelchair </w:t>
      </w:r>
      <w:r w:rsidR="001F4B62" w:rsidRPr="00013F2D">
        <w:t>simply because</w:t>
      </w:r>
      <w:r w:rsidR="00795A8D" w:rsidRPr="00013F2D">
        <w:t xml:space="preserve"> he had already provided </w:t>
      </w:r>
      <w:r w:rsidR="004E3A9A" w:rsidRPr="00013F2D">
        <w:t>that</w:t>
      </w:r>
      <w:r w:rsidR="00F507C4" w:rsidRPr="00013F2D">
        <w:t xml:space="preserve"> employee</w:t>
      </w:r>
      <w:r w:rsidR="00795A8D" w:rsidRPr="00013F2D">
        <w:t xml:space="preserve"> access to an elevator to get to her </w:t>
      </w:r>
      <w:r w:rsidR="004E3A9A" w:rsidRPr="00013F2D">
        <w:t>desk</w:t>
      </w:r>
      <w:r w:rsidR="00795A8D" w:rsidRPr="00013F2D">
        <w:t xml:space="preserve">.  </w:t>
      </w:r>
      <w:r w:rsidR="001F4B62" w:rsidRPr="00013F2D">
        <w:t xml:space="preserve">Rather, </w:t>
      </w:r>
      <w:r w:rsidR="004E3A9A" w:rsidRPr="00013F2D">
        <w:t>the statute requires employers to provide</w:t>
      </w:r>
      <w:r w:rsidR="001F4B62" w:rsidRPr="00013F2D">
        <w:t xml:space="preserve"> </w:t>
      </w:r>
      <w:r w:rsidR="001F4B62" w:rsidRPr="00013F2D">
        <w:rPr>
          <w:i/>
        </w:rPr>
        <w:t xml:space="preserve">effective </w:t>
      </w:r>
      <w:r w:rsidR="001F4B62" w:rsidRPr="00013F2D">
        <w:t xml:space="preserve">accommodations.  </w:t>
      </w:r>
      <w:r w:rsidR="00795A8D" w:rsidRPr="00013F2D">
        <w:t xml:space="preserve">As </w:t>
      </w:r>
      <w:r w:rsidR="00715B1F" w:rsidRPr="00013F2D">
        <w:t>the Supreme Court has explained, “</w:t>
      </w:r>
      <w:r w:rsidR="00795A8D" w:rsidRPr="00013F2D">
        <w:t>[a]</w:t>
      </w:r>
      <w:r w:rsidR="00715B1F" w:rsidRPr="00013F2D">
        <w:t xml:space="preserve">n </w:t>
      </w:r>
      <w:r w:rsidR="00715B1F" w:rsidRPr="00013F2D">
        <w:rPr>
          <w:i/>
        </w:rPr>
        <w:t>ineffective</w:t>
      </w:r>
      <w:r w:rsidR="00715B1F" w:rsidRPr="00013F2D">
        <w:t xml:space="preserve"> ‘modification’ or ‘adjustment’ will not </w:t>
      </w:r>
      <w:r w:rsidR="00715B1F" w:rsidRPr="00013F2D">
        <w:rPr>
          <w:i/>
        </w:rPr>
        <w:t>accommodate</w:t>
      </w:r>
      <w:r w:rsidR="00715B1F" w:rsidRPr="00013F2D">
        <w:t xml:space="preserve"> a disabled individual’s limitations.</w:t>
      </w:r>
      <w:r w:rsidR="00795A8D" w:rsidRPr="00013F2D">
        <w:t xml:space="preserve">”  </w:t>
      </w:r>
      <w:r w:rsidR="00715B1F" w:rsidRPr="00013F2D">
        <w:rPr>
          <w:i/>
        </w:rPr>
        <w:t>Barnett</w:t>
      </w:r>
      <w:r w:rsidR="00715B1F" w:rsidRPr="00013F2D">
        <w:t xml:space="preserve">, 535 U.S. </w:t>
      </w:r>
      <w:r w:rsidR="00795A8D" w:rsidRPr="00013F2D">
        <w:t xml:space="preserve">at </w:t>
      </w:r>
      <w:r w:rsidR="00715B1F" w:rsidRPr="00013F2D">
        <w:t>400</w:t>
      </w:r>
      <w:r w:rsidR="00795A8D" w:rsidRPr="00013F2D">
        <w:t xml:space="preserve">.  By definition, “the word ‘accommodation’ . . . conveys the need for effectiveness.”  </w:t>
      </w:r>
      <w:r w:rsidR="00795A8D" w:rsidRPr="00013F2D">
        <w:rPr>
          <w:i/>
        </w:rPr>
        <w:t>Id.</w:t>
      </w:r>
      <w:r w:rsidR="00795A8D" w:rsidRPr="00013F2D">
        <w:t xml:space="preserve">  No one disputes that Ms. Hall could not work without the accommodat</w:t>
      </w:r>
      <w:r w:rsidR="00E3323F" w:rsidRPr="00013F2D">
        <w:t>ion of reassignment.  Therefore a</w:t>
      </w:r>
      <w:r w:rsidR="00795A8D" w:rsidRPr="00013F2D">
        <w:t xml:space="preserve">ny other </w:t>
      </w:r>
      <w:r w:rsidR="001F4B62" w:rsidRPr="00013F2D">
        <w:t>accommodations Sheriff Woody provided did not</w:t>
      </w:r>
      <w:r w:rsidR="00F507C4" w:rsidRPr="00013F2D">
        <w:t xml:space="preserve"> alone </w:t>
      </w:r>
      <w:r w:rsidR="001F4B62" w:rsidRPr="00013F2D">
        <w:t>satisfy the ADA.</w:t>
      </w:r>
    </w:p>
    <w:p w:rsidR="001F4B62" w:rsidRPr="00013F2D" w:rsidRDefault="007F6856" w:rsidP="001F4B62">
      <w:pPr>
        <w:spacing w:line="480" w:lineRule="auto"/>
        <w:ind w:firstLine="720"/>
      </w:pPr>
      <w:r w:rsidRPr="00013F2D">
        <w:t xml:space="preserve">Specifically, </w:t>
      </w:r>
      <w:r w:rsidR="001F4B62" w:rsidRPr="00013F2D">
        <w:t xml:space="preserve">granting Ms. Hall an interview </w:t>
      </w:r>
      <w:r w:rsidR="004E3A9A" w:rsidRPr="00013F2D">
        <w:t xml:space="preserve">for the Payroll Technician position alone </w:t>
      </w:r>
      <w:r w:rsidRPr="00013F2D">
        <w:t xml:space="preserve">did not </w:t>
      </w:r>
      <w:r w:rsidR="001F4B62" w:rsidRPr="00013F2D">
        <w:t xml:space="preserve">satisfy the reassignment obligation.  The plain and ordinary meaning of the word “reassignment” is “placement” or “appointment” into another position.  </w:t>
      </w:r>
      <w:r w:rsidR="001F4B62" w:rsidRPr="00013F2D">
        <w:rPr>
          <w:i/>
        </w:rPr>
        <w:t>See</w:t>
      </w:r>
      <w:r w:rsidR="001F4B62" w:rsidRPr="00013F2D">
        <w:t xml:space="preserve"> </w:t>
      </w:r>
      <w:r w:rsidR="001F4B62" w:rsidRPr="00013F2D">
        <w:rPr>
          <w:i/>
        </w:rPr>
        <w:t>Reassignment</w:t>
      </w:r>
      <w:r w:rsidR="001F4B62" w:rsidRPr="00013F2D">
        <w:t xml:space="preserve">, </w:t>
      </w:r>
      <w:r w:rsidR="001F4B62" w:rsidRPr="00013F2D">
        <w:rPr>
          <w:i/>
        </w:rPr>
        <w:t>Cambridge Essential Am. English Dictionary</w:t>
      </w:r>
      <w:r w:rsidR="001F4B62" w:rsidRPr="00013F2D">
        <w:t xml:space="preserve"> (2016) (defining “reassignment” as “the process of giving an employee a different job, or arranging for an employee to work in a d</w:t>
      </w:r>
      <w:r w:rsidR="0097283E" w:rsidRPr="00013F2D">
        <w:t>ifferent place”</w:t>
      </w:r>
      <w:r w:rsidR="001F4B62" w:rsidRPr="00013F2D">
        <w:t xml:space="preserve">); </w:t>
      </w:r>
      <w:r w:rsidR="001F4B62" w:rsidRPr="00013F2D">
        <w:rPr>
          <w:i/>
        </w:rPr>
        <w:t>Reassignment</w:t>
      </w:r>
      <w:r w:rsidR="001F4B62" w:rsidRPr="00013F2D">
        <w:t xml:space="preserve">, </w:t>
      </w:r>
      <w:r w:rsidR="001F4B62" w:rsidRPr="00013F2D">
        <w:rPr>
          <w:i/>
        </w:rPr>
        <w:t>Oxford</w:t>
      </w:r>
      <w:r w:rsidR="001F4B62" w:rsidRPr="00013F2D">
        <w:t xml:space="preserve"> </w:t>
      </w:r>
      <w:r w:rsidR="001F4B62" w:rsidRPr="00013F2D">
        <w:rPr>
          <w:i/>
        </w:rPr>
        <w:t>English Dictionary</w:t>
      </w:r>
      <w:r w:rsidR="001F4B62" w:rsidRPr="00013F2D">
        <w:t xml:space="preserve"> (2016) (defining “reassignment” as “[a]ppointment to a differen</w:t>
      </w:r>
      <w:r w:rsidR="0097283E" w:rsidRPr="00013F2D">
        <w:t>t post or role”</w:t>
      </w:r>
      <w:r w:rsidR="001F4B62" w:rsidRPr="00013F2D">
        <w:t xml:space="preserve">).  As the EEOC has explained, reassignment does not mean merely </w:t>
      </w:r>
      <w:r w:rsidR="001F4B62" w:rsidRPr="00013F2D">
        <w:lastRenderedPageBreak/>
        <w:t xml:space="preserve">permitting an employee to compete—whether at the application or interview stage—for a vacant position.  Instead, “[r]eassignment means that the employee </w:t>
      </w:r>
      <w:r w:rsidR="001F4B62" w:rsidRPr="00013F2D">
        <w:rPr>
          <w:i/>
        </w:rPr>
        <w:t>gets</w:t>
      </w:r>
      <w:r w:rsidR="001F4B62" w:rsidRPr="00013F2D">
        <w:t xml:space="preserve"> the vacant position if s/he is qualified for it.  Otherwise, reassignment would be of little value and would not be implemented as Congress intended.”  EEOC Guidance (emphasis added); </w:t>
      </w:r>
      <w:r w:rsidR="001F4B62" w:rsidRPr="00013F2D">
        <w:rPr>
          <w:i/>
        </w:rPr>
        <w:t>see also</w:t>
      </w:r>
      <w:r w:rsidR="001F4B62" w:rsidRPr="00013F2D">
        <w:t xml:space="preserve"> </w:t>
      </w:r>
      <w:r w:rsidR="001F4B62" w:rsidRPr="00013F2D">
        <w:rPr>
          <w:i/>
        </w:rPr>
        <w:t>United Airlines</w:t>
      </w:r>
      <w:r w:rsidR="001F4B62" w:rsidRPr="00013F2D">
        <w:t>, 693 F.3d at 765 (employer policy that granted employees with disabilities preferential treatment in applying for re</w:t>
      </w:r>
      <w:r w:rsidR="0097283E" w:rsidRPr="00013F2D">
        <w:t>assignment positions, including</w:t>
      </w:r>
      <w:r w:rsidR="001F4B62" w:rsidRPr="00013F2D">
        <w:t xml:space="preserve"> a guaranteed interview, did not satisfy ADA reassignment obligation)</w:t>
      </w:r>
      <w:r w:rsidR="007E0FBA" w:rsidRPr="00013F2D">
        <w:t>.</w:t>
      </w:r>
    </w:p>
    <w:p w:rsidR="005F35BE" w:rsidRPr="00013F2D" w:rsidRDefault="0062549E">
      <w:pPr>
        <w:pStyle w:val="ListParagraph"/>
        <w:numPr>
          <w:ilvl w:val="0"/>
          <w:numId w:val="22"/>
        </w:numPr>
        <w:rPr>
          <w:b/>
        </w:rPr>
      </w:pPr>
      <w:r w:rsidRPr="00013F2D">
        <w:rPr>
          <w:b/>
        </w:rPr>
        <w:t xml:space="preserve">Reassigning Ms. Hall would not have </w:t>
      </w:r>
      <w:r w:rsidR="00E37649" w:rsidRPr="00013F2D">
        <w:rPr>
          <w:b/>
        </w:rPr>
        <w:t>caused an undue hardship by undermining</w:t>
      </w:r>
      <w:r w:rsidRPr="00013F2D">
        <w:rPr>
          <w:b/>
        </w:rPr>
        <w:t xml:space="preserve"> Sheriff Woody’s internal policies </w:t>
      </w:r>
    </w:p>
    <w:p w:rsidR="005F35BE" w:rsidRPr="00013F2D" w:rsidRDefault="005F35BE">
      <w:pPr>
        <w:pStyle w:val="ListParagraph"/>
        <w:ind w:left="1080"/>
        <w:rPr>
          <w:b/>
        </w:rPr>
      </w:pPr>
    </w:p>
    <w:p w:rsidR="00162075" w:rsidRPr="00013F2D" w:rsidRDefault="00E30446" w:rsidP="00AA28E7">
      <w:pPr>
        <w:spacing w:line="480" w:lineRule="auto"/>
        <w:ind w:firstLine="720"/>
      </w:pPr>
      <w:r w:rsidRPr="00013F2D">
        <w:t xml:space="preserve">Sheriff Woody finally argues that </w:t>
      </w:r>
      <w:r w:rsidR="00DF2B04" w:rsidRPr="00013F2D">
        <w:t xml:space="preserve">the ADA did not require him </w:t>
      </w:r>
      <w:r w:rsidRPr="00013F2D">
        <w:t xml:space="preserve">to reassign Ms. Hall to a vacant position, because </w:t>
      </w:r>
      <w:r w:rsidR="00E37649" w:rsidRPr="00013F2D">
        <w:t xml:space="preserve">doing so would have caused </w:t>
      </w:r>
      <w:r w:rsidR="007F01CB">
        <w:t xml:space="preserve">an </w:t>
      </w:r>
      <w:r w:rsidR="00E37649" w:rsidRPr="00013F2D">
        <w:t>undue hardship</w:t>
      </w:r>
      <w:r w:rsidR="00943D1D" w:rsidRPr="00013F2D">
        <w:t xml:space="preserve"> and would have been unreasonable</w:t>
      </w:r>
      <w:r w:rsidR="00E37649" w:rsidRPr="00013F2D">
        <w:t xml:space="preserve"> by forcing him </w:t>
      </w:r>
      <w:r w:rsidR="00DF2B04" w:rsidRPr="00013F2D">
        <w:t>to depart from</w:t>
      </w:r>
      <w:r w:rsidRPr="00013F2D">
        <w:t xml:space="preserve"> his</w:t>
      </w:r>
      <w:r w:rsidR="00DF2B04" w:rsidRPr="00013F2D">
        <w:t xml:space="preserve"> own, self-imposed</w:t>
      </w:r>
      <w:r w:rsidRPr="00013F2D">
        <w:t xml:space="preserve"> </w:t>
      </w:r>
      <w:r w:rsidR="00DF2B04" w:rsidRPr="00013F2D">
        <w:t xml:space="preserve">personnel </w:t>
      </w:r>
      <w:r w:rsidR="00F507C4" w:rsidRPr="00013F2D">
        <w:t xml:space="preserve">policies. </w:t>
      </w:r>
      <w:r w:rsidR="00AA28E7" w:rsidRPr="00013F2D">
        <w:t xml:space="preserve"> </w:t>
      </w:r>
      <w:r w:rsidR="0009219D" w:rsidRPr="00013F2D">
        <w:t xml:space="preserve">Def.’s Mem. </w:t>
      </w:r>
      <w:r w:rsidR="006729DC">
        <w:t xml:space="preserve">at </w:t>
      </w:r>
      <w:r w:rsidR="0009219D" w:rsidRPr="00013F2D">
        <w:t xml:space="preserve">20−23, 25−26.  </w:t>
      </w:r>
      <w:r w:rsidR="0007795B" w:rsidRPr="00013F2D">
        <w:t>Not so.</w:t>
      </w:r>
    </w:p>
    <w:p w:rsidR="00AA28E7" w:rsidRPr="00013F2D" w:rsidRDefault="0097283E" w:rsidP="00AA28E7">
      <w:pPr>
        <w:spacing w:line="480" w:lineRule="auto"/>
        <w:ind w:firstLine="720"/>
      </w:pPr>
      <w:r w:rsidRPr="00013F2D">
        <w:t>First, and fundamentally, t</w:t>
      </w:r>
      <w:r w:rsidR="00DF2B04" w:rsidRPr="00013F2D">
        <w:t xml:space="preserve">he ADA by its terms </w:t>
      </w:r>
      <w:r w:rsidR="00DF2B04" w:rsidRPr="00013F2D">
        <w:rPr>
          <w:i/>
        </w:rPr>
        <w:t>requires</w:t>
      </w:r>
      <w:r w:rsidR="00DF2B04" w:rsidRPr="00013F2D">
        <w:t xml:space="preserve"> employers to deviate from their policies where necessary to accommodat</w:t>
      </w:r>
      <w:r w:rsidR="00F507C4" w:rsidRPr="00013F2D">
        <w:t>e an employee with a disability</w:t>
      </w:r>
      <w:r w:rsidR="00AA28E7" w:rsidRPr="00013F2D">
        <w:t xml:space="preserve">.  “Were that not so,” the Supreme Court has explained, “the ‘reasonable accommodation’ provision could not accomplish its intended objective.”  </w:t>
      </w:r>
      <w:r w:rsidR="00AA28E7" w:rsidRPr="00013F2D">
        <w:rPr>
          <w:i/>
        </w:rPr>
        <w:t>Barnett</w:t>
      </w:r>
      <w:r w:rsidR="00AA28E7" w:rsidRPr="00013F2D">
        <w:t>, 535 U.S. at 397.  The ADA compels employers to depart from neutral office rules where necessary</w:t>
      </w:r>
      <w:r w:rsidRPr="00013F2D">
        <w:t xml:space="preserve"> to accommodate an employee’s disability</w:t>
      </w:r>
      <w:r w:rsidR="0007795B" w:rsidRPr="00013F2D">
        <w:t>.  Otherwise,</w:t>
      </w:r>
    </w:p>
    <w:p w:rsidR="00DF2B04" w:rsidRPr="00013F2D" w:rsidRDefault="0007795B" w:rsidP="00DF2B04">
      <w:pPr>
        <w:ind w:left="720" w:right="940"/>
        <w:jc w:val="both"/>
      </w:pPr>
      <w:r w:rsidRPr="00013F2D">
        <w:t>[n]</w:t>
      </w:r>
      <w:r w:rsidR="00DF2B04" w:rsidRPr="00013F2D">
        <w:t xml:space="preserve">eutral office assignment rules would automatically prevent the accommodation of an employee whose disability-imposed limitations require him to work on the ground floor.  Neutral “break-from-work” rules would automatically prevent the accommodation of an individual who needs additional breaks from work, perhaps to permit 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Yet Congress, while providing such examples, said nothing suggesting that the presence of such neutral rules would create an automatic exemption. </w:t>
      </w:r>
    </w:p>
    <w:p w:rsidR="00DF2B04" w:rsidRPr="00013F2D" w:rsidRDefault="00DF2B04" w:rsidP="00DF2B04">
      <w:pPr>
        <w:ind w:left="720" w:right="940"/>
        <w:jc w:val="both"/>
      </w:pPr>
    </w:p>
    <w:p w:rsidR="00DF2B04" w:rsidRPr="00013F2D" w:rsidRDefault="00AA28E7" w:rsidP="0097283E">
      <w:pPr>
        <w:spacing w:line="480" w:lineRule="auto"/>
      </w:pPr>
      <w:r w:rsidRPr="00013F2D">
        <w:rPr>
          <w:i/>
        </w:rPr>
        <w:t>Id.</w:t>
      </w:r>
      <w:r w:rsidR="00DE46EE" w:rsidRPr="00013F2D">
        <w:t xml:space="preserve"> at 397–98</w:t>
      </w:r>
      <w:r w:rsidR="00422CF3">
        <w:t xml:space="preserve"> (internal citation omitted)</w:t>
      </w:r>
      <w:r w:rsidR="00DE46EE">
        <w:t>.</w:t>
      </w:r>
    </w:p>
    <w:p w:rsidR="00E30446" w:rsidRPr="00013F2D" w:rsidRDefault="00F507C4" w:rsidP="00E30446">
      <w:pPr>
        <w:spacing w:line="480" w:lineRule="auto"/>
        <w:ind w:firstLine="720"/>
      </w:pPr>
      <w:r w:rsidRPr="00013F2D">
        <w:t>Like Sheriff Woody, the</w:t>
      </w:r>
      <w:r w:rsidR="00E30446" w:rsidRPr="00013F2D">
        <w:t xml:space="preserve"> employer</w:t>
      </w:r>
      <w:r w:rsidRPr="00013F2D">
        <w:t xml:space="preserve"> in </w:t>
      </w:r>
      <w:r w:rsidRPr="00013F2D">
        <w:rPr>
          <w:i/>
        </w:rPr>
        <w:t>Barnett</w:t>
      </w:r>
      <w:r w:rsidR="00E30446" w:rsidRPr="00013F2D">
        <w:t xml:space="preserve"> argued that the ADA requires “only ‘equal’ treatment for those with disabilities,” such that “[i]nsofar as a requested accommodation violates a disability-neutral workplace rule . . . it grants the employee with a disability treatment that other workers could not receive,” and is not required.  </w:t>
      </w:r>
      <w:r w:rsidR="00AA28E7" w:rsidRPr="00013F2D">
        <w:rPr>
          <w:i/>
        </w:rPr>
        <w:t xml:space="preserve">Id. </w:t>
      </w:r>
      <w:r w:rsidR="00E30446" w:rsidRPr="00013F2D">
        <w:t xml:space="preserve">at 397.  The Court </w:t>
      </w:r>
      <w:r w:rsidR="00AA28E7" w:rsidRPr="00013F2D">
        <w:t>rejected</w:t>
      </w:r>
      <w:r w:rsidR="00E30446" w:rsidRPr="00013F2D">
        <w:t xml:space="preserve"> this </w:t>
      </w:r>
      <w:r w:rsidR="00AA28E7" w:rsidRPr="00013F2D">
        <w:t>logic</w:t>
      </w:r>
      <w:r w:rsidR="0097283E" w:rsidRPr="00013F2D">
        <w:t xml:space="preserve"> on the ground</w:t>
      </w:r>
      <w:r w:rsidR="0007795B" w:rsidRPr="00013F2D">
        <w:t xml:space="preserve"> that</w:t>
      </w:r>
      <w:r w:rsidR="0097283E" w:rsidRPr="00013F2D">
        <w:t xml:space="preserve"> the ADA </w:t>
      </w:r>
      <w:r w:rsidR="0007795B" w:rsidRPr="00013F2D">
        <w:t>in fact</w:t>
      </w:r>
      <w:r w:rsidR="0097283E" w:rsidRPr="00013F2D">
        <w:t xml:space="preserve"> “specifies . . . that preferences will sometimes prove necessary” under the Act</w:t>
      </w:r>
      <w:r w:rsidR="00AA28E7" w:rsidRPr="00013F2D">
        <w:t>:</w:t>
      </w:r>
    </w:p>
    <w:p w:rsidR="001F4B62" w:rsidRPr="00013F2D" w:rsidRDefault="00DE40D6" w:rsidP="00DE40D6">
      <w:pPr>
        <w:ind w:left="720" w:right="940"/>
        <w:jc w:val="both"/>
      </w:pPr>
      <w:r w:rsidRPr="00013F2D">
        <w:t xml:space="preserve">By definition any special “accommodation” requires the employer to treat an employee with a disability differently, </w:t>
      </w:r>
      <w:r w:rsidRPr="00013F2D">
        <w:rPr>
          <w:i/>
        </w:rPr>
        <w:t>i.e.</w:t>
      </w:r>
      <w:r w:rsidRPr="00013F2D">
        <w:t>, preferentially.  And the fact that the difference in</w:t>
      </w:r>
      <w:r w:rsidR="0097283E" w:rsidRPr="00013F2D">
        <w:t xml:space="preserve"> treatment violates an employer’</w:t>
      </w:r>
      <w:r w:rsidRPr="00013F2D">
        <w:t>s disability-neutral rule cannot by itself place t</w:t>
      </w:r>
      <w:r w:rsidR="0097283E" w:rsidRPr="00013F2D">
        <w:t>he accommodation beyond the Act’</w:t>
      </w:r>
      <w:r w:rsidRPr="00013F2D">
        <w:t>s potential reach.</w:t>
      </w:r>
    </w:p>
    <w:p w:rsidR="00DE40D6" w:rsidRPr="00013F2D" w:rsidRDefault="00DE40D6" w:rsidP="00DE40D6">
      <w:pPr>
        <w:ind w:left="720" w:right="940"/>
        <w:jc w:val="both"/>
      </w:pPr>
    </w:p>
    <w:p w:rsidR="00AA28E7" w:rsidRPr="00013F2D" w:rsidRDefault="00DE40D6" w:rsidP="001F4B62">
      <w:pPr>
        <w:spacing w:line="480" w:lineRule="auto"/>
      </w:pPr>
      <w:r w:rsidRPr="00013F2D">
        <w:rPr>
          <w:i/>
        </w:rPr>
        <w:t>Id.</w:t>
      </w:r>
      <w:r w:rsidR="00AA28E7" w:rsidRPr="00013F2D">
        <w:rPr>
          <w:i/>
        </w:rPr>
        <w:t xml:space="preserve">  </w:t>
      </w:r>
      <w:r w:rsidR="00AA28E7" w:rsidRPr="00013F2D">
        <w:t xml:space="preserve">Sheriff Woody argues that requiring him to </w:t>
      </w:r>
      <w:r w:rsidR="0009219D" w:rsidRPr="00013F2D">
        <w:t xml:space="preserve">“abandon [] </w:t>
      </w:r>
      <w:r w:rsidR="004600D0" w:rsidRPr="00013F2D">
        <w:t>legitimate and non-discriminatory”</w:t>
      </w:r>
      <w:r w:rsidR="00AA28E7" w:rsidRPr="00013F2D">
        <w:t xml:space="preserve"> employment policies would be unreasonable, or </w:t>
      </w:r>
      <w:r w:rsidR="0097283E" w:rsidRPr="00013F2D">
        <w:t xml:space="preserve">that </w:t>
      </w:r>
      <w:r w:rsidR="00AA28E7" w:rsidRPr="00013F2D">
        <w:t xml:space="preserve">it would amount to an undue hardship.  </w:t>
      </w:r>
      <w:r w:rsidR="0009219D" w:rsidRPr="00013F2D">
        <w:t xml:space="preserve">Def.’s Mem. </w:t>
      </w:r>
      <w:r w:rsidR="006729DC">
        <w:t>at</w:t>
      </w:r>
      <w:r w:rsidR="0009219D" w:rsidRPr="00013F2D">
        <w:t xml:space="preserve"> 20.  </w:t>
      </w:r>
      <w:r w:rsidR="00AA28E7" w:rsidRPr="00013F2D">
        <w:t>But t</w:t>
      </w:r>
      <w:r w:rsidR="0009219D" w:rsidRPr="00013F2D">
        <w:t xml:space="preserve">he </w:t>
      </w:r>
      <w:r w:rsidR="00B540EA" w:rsidRPr="00013F2D">
        <w:t xml:space="preserve">Supreme </w:t>
      </w:r>
      <w:r w:rsidR="0007795B" w:rsidRPr="00013F2D">
        <w:t>Court has squarely rejected this suggestion</w:t>
      </w:r>
      <w:r w:rsidR="0097283E" w:rsidRPr="00013F2D">
        <w:t>.</w:t>
      </w:r>
      <w:r w:rsidR="004600D0" w:rsidRPr="00013F2D">
        <w:t xml:space="preserve"> </w:t>
      </w:r>
      <w:r w:rsidR="00357C7A">
        <w:t xml:space="preserve"> </w:t>
      </w:r>
      <w:r w:rsidR="00357C7A" w:rsidRPr="00013F2D">
        <w:rPr>
          <w:i/>
        </w:rPr>
        <w:t>Barnett</w:t>
      </w:r>
      <w:r w:rsidR="00357C7A" w:rsidRPr="00013F2D">
        <w:t>, 535 U.S. at 397</w:t>
      </w:r>
      <w:r w:rsidR="00357C7A">
        <w:t>;</w:t>
      </w:r>
      <w:r w:rsidR="004600D0" w:rsidRPr="00013F2D">
        <w:t xml:space="preserve"> </w:t>
      </w:r>
      <w:r w:rsidR="00357C7A">
        <w:rPr>
          <w:i/>
        </w:rPr>
        <w:t>s</w:t>
      </w:r>
      <w:r w:rsidR="004600D0" w:rsidRPr="00013F2D">
        <w:rPr>
          <w:i/>
        </w:rPr>
        <w:t>ee</w:t>
      </w:r>
      <w:r w:rsidR="0007795B" w:rsidRPr="00013F2D">
        <w:rPr>
          <w:i/>
        </w:rPr>
        <w:t xml:space="preserve"> also</w:t>
      </w:r>
      <w:r w:rsidR="004600D0" w:rsidRPr="00013F2D">
        <w:rPr>
          <w:i/>
        </w:rPr>
        <w:t xml:space="preserve"> Woods v. Boeing Co.</w:t>
      </w:r>
      <w:r w:rsidR="004600D0" w:rsidRPr="00013F2D">
        <w:t xml:space="preserve">, No. 2:11-CV-02855-RMG, 2013 WL 5308721, at *3–4 (D.S.C. Sept. 19, 2013), </w:t>
      </w:r>
      <w:r w:rsidR="004600D0" w:rsidRPr="00013F2D">
        <w:rPr>
          <w:i/>
        </w:rPr>
        <w:t>aff’d</w:t>
      </w:r>
      <w:r w:rsidR="004600D0" w:rsidRPr="00013F2D">
        <w:t>, 584 F. App’x 67 (4th Cir. 2014) (“Defendant further asserts that [the requested accommodation] would require it to ‘abandon a legitimate and non-discriminatory company policy,’ which it is not required to do.  The United States Supreme Court considered and rejected this argument in [</w:t>
      </w:r>
      <w:r w:rsidR="004600D0" w:rsidRPr="00013F2D">
        <w:rPr>
          <w:i/>
        </w:rPr>
        <w:t>Barnett</w:t>
      </w:r>
      <w:r w:rsidR="004600D0" w:rsidRPr="00013F2D">
        <w:t>].”).</w:t>
      </w:r>
    </w:p>
    <w:p w:rsidR="00662899" w:rsidRPr="00013F2D" w:rsidRDefault="0097283E" w:rsidP="00162075">
      <w:pPr>
        <w:spacing w:line="480" w:lineRule="auto"/>
      </w:pPr>
      <w:r w:rsidRPr="00013F2D">
        <w:tab/>
        <w:t xml:space="preserve">Second, </w:t>
      </w:r>
      <w:r w:rsidR="00162075" w:rsidRPr="00013F2D">
        <w:t xml:space="preserve">the record shows that Sheriff Woody </w:t>
      </w:r>
      <w:r w:rsidR="00100249" w:rsidRPr="00013F2D">
        <w:t xml:space="preserve">repeatedly </w:t>
      </w:r>
      <w:r w:rsidR="00162075" w:rsidRPr="00013F2D">
        <w:t>deviate</w:t>
      </w:r>
      <w:r w:rsidR="00100249" w:rsidRPr="00013F2D">
        <w:t>d</w:t>
      </w:r>
      <w:r w:rsidR="00162075" w:rsidRPr="00013F2D">
        <w:t xml:space="preserve"> from his “most qualified” </w:t>
      </w:r>
      <w:r w:rsidR="00100249" w:rsidRPr="00013F2D">
        <w:t>policy and that his transfer policy allowed exceptions</w:t>
      </w:r>
      <w:r w:rsidR="00162075" w:rsidRPr="00013F2D">
        <w:t>.</w:t>
      </w:r>
      <w:r w:rsidR="004600D0" w:rsidRPr="00013F2D">
        <w:rPr>
          <w:rStyle w:val="FootnoteReference"/>
        </w:rPr>
        <w:footnoteReference w:id="6"/>
      </w:r>
      <w:r w:rsidR="00162075" w:rsidRPr="00013F2D">
        <w:t xml:space="preserve">  </w:t>
      </w:r>
      <w:r w:rsidR="00E222CF">
        <w:t>Sheriff Woody</w:t>
      </w:r>
      <w:r w:rsidR="00E222CF" w:rsidRPr="00013F2D">
        <w:t xml:space="preserve"> </w:t>
      </w:r>
      <w:r w:rsidR="00162075" w:rsidRPr="00013F2D">
        <w:t xml:space="preserve">concedes that </w:t>
      </w:r>
      <w:r w:rsidR="00E222CF" w:rsidRPr="00013F2D">
        <w:t xml:space="preserve">he merely “attempts” to follow </w:t>
      </w:r>
      <w:r w:rsidR="00E222CF">
        <w:t xml:space="preserve">his “most qualified” policy, Def.’s Mem. at </w:t>
      </w:r>
      <w:r w:rsidR="00E222CF" w:rsidRPr="00013F2D">
        <w:t>4</w:t>
      </w:r>
      <w:r w:rsidR="00E222CF">
        <w:t>, and that</w:t>
      </w:r>
      <w:r w:rsidR="00E222CF" w:rsidRPr="00013F2D">
        <w:t xml:space="preserve"> </w:t>
      </w:r>
      <w:r w:rsidR="00162075" w:rsidRPr="00013F2D">
        <w:t xml:space="preserve">on </w:t>
      </w:r>
      <w:r w:rsidR="00162075" w:rsidRPr="00013F2D">
        <w:lastRenderedPageBreak/>
        <w:t xml:space="preserve">multiple occasions, he </w:t>
      </w:r>
      <w:r w:rsidR="004600D0" w:rsidRPr="00013F2D">
        <w:t xml:space="preserve">has deviated from </w:t>
      </w:r>
      <w:r w:rsidR="00162075" w:rsidRPr="00013F2D">
        <w:t xml:space="preserve">his </w:t>
      </w:r>
      <w:r w:rsidR="004600D0" w:rsidRPr="00013F2D">
        <w:t>“</w:t>
      </w:r>
      <w:r w:rsidR="00162075" w:rsidRPr="00013F2D">
        <w:t>policy</w:t>
      </w:r>
      <w:r w:rsidR="004600D0" w:rsidRPr="00013F2D">
        <w:t>”</w:t>
      </w:r>
      <w:r w:rsidR="00162075" w:rsidRPr="00013F2D">
        <w:t xml:space="preserve"> by rejecting the candidate ranked highest under his Office’s internal metrics and instead </w:t>
      </w:r>
      <w:r w:rsidR="004600D0" w:rsidRPr="00013F2D">
        <w:t>hiring</w:t>
      </w:r>
      <w:r w:rsidR="00162075" w:rsidRPr="00013F2D">
        <w:t xml:space="preserve"> another, less qualified candidate.  Pl.’s Mem. Ex. 10, 30(b)(6) Dep. Tr. 69:4−72:13.  </w:t>
      </w:r>
      <w:r w:rsidR="00AA28E7" w:rsidRPr="00013F2D">
        <w:t xml:space="preserve">Sheriff Woody </w:t>
      </w:r>
      <w:r w:rsidR="00162075" w:rsidRPr="00013F2D">
        <w:t xml:space="preserve">has put forward no evidence or explanation as to </w:t>
      </w:r>
      <w:r w:rsidR="00AA28E7" w:rsidRPr="00013F2D">
        <w:t>why he could not</w:t>
      </w:r>
      <w:r w:rsidR="00162075" w:rsidRPr="00013F2D">
        <w:t xml:space="preserve"> </w:t>
      </w:r>
      <w:r w:rsidR="00B540EA" w:rsidRPr="00013F2D">
        <w:t xml:space="preserve">have </w:t>
      </w:r>
      <w:r w:rsidR="00162075" w:rsidRPr="00013F2D">
        <w:t>deviate</w:t>
      </w:r>
      <w:r w:rsidR="00B540EA" w:rsidRPr="00013F2D">
        <w:t>d</w:t>
      </w:r>
      <w:r w:rsidR="00162075" w:rsidRPr="00013F2D">
        <w:t xml:space="preserve"> </w:t>
      </w:r>
      <w:r w:rsidR="00B540EA" w:rsidRPr="00013F2D">
        <w:t xml:space="preserve">similarly </w:t>
      </w:r>
      <w:r w:rsidR="004600D0" w:rsidRPr="00013F2D">
        <w:t>to accommodate</w:t>
      </w:r>
      <w:r w:rsidR="00162075" w:rsidRPr="00013F2D">
        <w:t xml:space="preserve"> Ms. Hall.</w:t>
      </w:r>
    </w:p>
    <w:p w:rsidR="0037619F" w:rsidRPr="00013F2D" w:rsidRDefault="00162075" w:rsidP="00162075">
      <w:pPr>
        <w:spacing w:line="480" w:lineRule="auto"/>
      </w:pPr>
      <w:r w:rsidRPr="00013F2D">
        <w:tab/>
        <w:t xml:space="preserve">As to the transfer policy, </w:t>
      </w:r>
      <w:r w:rsidR="00F507C4" w:rsidRPr="00013F2D">
        <w:t xml:space="preserve">Sheriff Woody </w:t>
      </w:r>
      <w:r w:rsidR="00662899" w:rsidRPr="00013F2D">
        <w:t>argues</w:t>
      </w:r>
      <w:r w:rsidR="00F507C4" w:rsidRPr="00013F2D">
        <w:t xml:space="preserve"> that</w:t>
      </w:r>
      <w:r w:rsidRPr="00013F2D">
        <w:t xml:space="preserve"> </w:t>
      </w:r>
      <w:r w:rsidR="002D33A2" w:rsidRPr="00013F2D">
        <w:t>his</w:t>
      </w:r>
      <w:r w:rsidR="00F507C4" w:rsidRPr="00013F2D">
        <w:t xml:space="preserve"> policy did not allow Ms. Hall’s reassignme</w:t>
      </w:r>
      <w:r w:rsidR="009A5A4E" w:rsidRPr="00013F2D">
        <w:t>nt because an employee can</w:t>
      </w:r>
      <w:r w:rsidR="00F507C4" w:rsidRPr="00013F2D">
        <w:t xml:space="preserve"> transfer </w:t>
      </w:r>
      <w:r w:rsidR="009A5A4E" w:rsidRPr="00013F2D">
        <w:t xml:space="preserve">only </w:t>
      </w:r>
      <w:r w:rsidR="00F507C4" w:rsidRPr="00013F2D">
        <w:t xml:space="preserve">within his or her existing </w:t>
      </w:r>
      <w:r w:rsidRPr="00013F2D">
        <w:t>classification</w:t>
      </w:r>
      <w:r w:rsidR="00F507C4" w:rsidRPr="00013F2D">
        <w:t>,</w:t>
      </w:r>
      <w:r w:rsidRPr="00013F2D">
        <w:t xml:space="preserve"> </w:t>
      </w:r>
      <w:r w:rsidRPr="00013F2D">
        <w:rPr>
          <w:i/>
        </w:rPr>
        <w:t>i.e.</w:t>
      </w:r>
      <w:r w:rsidRPr="00013F2D">
        <w:t xml:space="preserve">, </w:t>
      </w:r>
      <w:r w:rsidR="002D33A2" w:rsidRPr="00013F2D">
        <w:t xml:space="preserve">from a </w:t>
      </w:r>
      <w:r w:rsidRPr="00013F2D">
        <w:t>sworn</w:t>
      </w:r>
      <w:r w:rsidR="002D33A2" w:rsidRPr="00013F2D">
        <w:t xml:space="preserve"> position</w:t>
      </w:r>
      <w:r w:rsidRPr="00013F2D">
        <w:t xml:space="preserve"> to</w:t>
      </w:r>
      <w:r w:rsidR="002D33A2" w:rsidRPr="00013F2D">
        <w:t xml:space="preserve"> another</w:t>
      </w:r>
      <w:r w:rsidRPr="00013F2D">
        <w:t xml:space="preserve"> sworn </w:t>
      </w:r>
      <w:r w:rsidR="002D33A2" w:rsidRPr="00013F2D">
        <w:t xml:space="preserve">position, </w:t>
      </w:r>
      <w:r w:rsidRPr="00013F2D">
        <w:t xml:space="preserve">or </w:t>
      </w:r>
      <w:r w:rsidR="002D33A2" w:rsidRPr="00013F2D">
        <w:t xml:space="preserve">from a </w:t>
      </w:r>
      <w:r w:rsidRPr="00013F2D">
        <w:t xml:space="preserve">civilian </w:t>
      </w:r>
      <w:r w:rsidR="002D33A2" w:rsidRPr="00013F2D">
        <w:t xml:space="preserve">position </w:t>
      </w:r>
      <w:r w:rsidRPr="00013F2D">
        <w:t xml:space="preserve">to </w:t>
      </w:r>
      <w:r w:rsidR="002D33A2" w:rsidRPr="00013F2D">
        <w:t xml:space="preserve">a </w:t>
      </w:r>
      <w:r w:rsidRPr="00013F2D">
        <w:t>civilian</w:t>
      </w:r>
      <w:r w:rsidR="002D33A2" w:rsidRPr="00013F2D">
        <w:t xml:space="preserve"> position</w:t>
      </w:r>
      <w:r w:rsidRPr="00013F2D">
        <w:t xml:space="preserve">.  But the policy </w:t>
      </w:r>
      <w:r w:rsidRPr="00013F2D">
        <w:rPr>
          <w:i/>
        </w:rPr>
        <w:t>by its terms</w:t>
      </w:r>
      <w:r w:rsidRPr="00013F2D">
        <w:t xml:space="preserve"> authorizes e</w:t>
      </w:r>
      <w:r w:rsidR="002D33A2" w:rsidRPr="00013F2D">
        <w:t>xceptions to the general practice:</w:t>
      </w:r>
      <w:r w:rsidRPr="00013F2D">
        <w:t xml:space="preserve">  The Sheriff has</w:t>
      </w:r>
      <w:r w:rsidR="007F154A" w:rsidRPr="00013F2D">
        <w:t xml:space="preserve"> “the </w:t>
      </w:r>
      <w:r w:rsidR="007F154A" w:rsidRPr="00013F2D">
        <w:rPr>
          <w:i/>
        </w:rPr>
        <w:t>right</w:t>
      </w:r>
      <w:r w:rsidR="007F154A" w:rsidRPr="00013F2D">
        <w:t xml:space="preserve"> to authorize deviation</w:t>
      </w:r>
      <w:r w:rsidR="0037619F" w:rsidRPr="00013F2D">
        <w:t>s in the transfer process if he[]</w:t>
      </w:r>
      <w:r w:rsidR="007F154A" w:rsidRPr="00013F2D">
        <w:t xml:space="preserve"> deems appropriate.”  Def.’s </w:t>
      </w:r>
      <w:r w:rsidR="006330A5">
        <w:t xml:space="preserve">Mem. </w:t>
      </w:r>
      <w:r w:rsidR="007F154A" w:rsidRPr="00013F2D">
        <w:t>Ex</w:t>
      </w:r>
      <w:r w:rsidR="00A27B1C">
        <w:t>.</w:t>
      </w:r>
      <w:r w:rsidR="007F154A" w:rsidRPr="00013F2D">
        <w:t xml:space="preserve"> W</w:t>
      </w:r>
      <w:r w:rsidRPr="00013F2D">
        <w:t xml:space="preserve"> at III.F.3</w:t>
      </w:r>
      <w:r w:rsidR="0037619F" w:rsidRPr="00013F2D">
        <w:t xml:space="preserve"> (emphasis added)</w:t>
      </w:r>
      <w:r w:rsidRPr="00013F2D">
        <w:t>.</w:t>
      </w:r>
      <w:r w:rsidR="007F154A" w:rsidRPr="00013F2D">
        <w:t xml:space="preserve"> </w:t>
      </w:r>
      <w:r w:rsidRPr="00013F2D">
        <w:t xml:space="preserve"> </w:t>
      </w:r>
      <w:r w:rsidR="002D33A2" w:rsidRPr="00013F2D">
        <w:t xml:space="preserve">Thus, “transferring” Ms. Hall to a civilian position would not have violated the policy.  </w:t>
      </w:r>
      <w:r w:rsidR="0037619F" w:rsidRPr="00013F2D">
        <w:t xml:space="preserve">Again, </w:t>
      </w:r>
      <w:r w:rsidR="00F507C4" w:rsidRPr="00013F2D">
        <w:t>Sheriff Woody</w:t>
      </w:r>
      <w:r w:rsidR="0037619F" w:rsidRPr="00013F2D">
        <w:t xml:space="preserve"> has put forward no evidence or explanation as to</w:t>
      </w:r>
      <w:r w:rsidR="00F507C4" w:rsidRPr="00013F2D">
        <w:t xml:space="preserve"> why he could not</w:t>
      </w:r>
      <w:r w:rsidR="0037619F" w:rsidRPr="00013F2D">
        <w:t xml:space="preserve"> exercise the right contained in his own policy in order to accommodate Ms. Hall. </w:t>
      </w:r>
      <w:r w:rsidR="00F507C4" w:rsidRPr="00013F2D">
        <w:t xml:space="preserve"> </w:t>
      </w:r>
    </w:p>
    <w:p w:rsidR="002D33A2" w:rsidRPr="00013F2D" w:rsidRDefault="00F507C4" w:rsidP="002D33A2">
      <w:pPr>
        <w:spacing w:line="480" w:lineRule="auto"/>
        <w:ind w:firstLine="720"/>
      </w:pPr>
      <w:r w:rsidRPr="00013F2D">
        <w:t xml:space="preserve">Sheriff Woody also points out that Ms. Hall did not submit a formal transfer request, </w:t>
      </w:r>
      <w:r w:rsidR="00557CF1">
        <w:t xml:space="preserve">Def.’s </w:t>
      </w:r>
      <w:r w:rsidR="0009219D" w:rsidRPr="00013F2D">
        <w:t xml:space="preserve">Mem. </w:t>
      </w:r>
      <w:r w:rsidR="006729DC">
        <w:t xml:space="preserve">at </w:t>
      </w:r>
      <w:r w:rsidR="0009219D" w:rsidRPr="00013F2D">
        <w:t xml:space="preserve">23, </w:t>
      </w:r>
      <w:r w:rsidRPr="00013F2D">
        <w:t xml:space="preserve">but this is </w:t>
      </w:r>
      <w:r w:rsidR="0037619F" w:rsidRPr="00013F2D">
        <w:t>unremarkable and immaterial</w:t>
      </w:r>
      <w:r w:rsidRPr="00013F2D">
        <w:t xml:space="preserve">:  Ms. Hall did not </w:t>
      </w:r>
      <w:r w:rsidR="0009219D" w:rsidRPr="00013F2D">
        <w:t xml:space="preserve">formally </w:t>
      </w:r>
      <w:r w:rsidRPr="00013F2D">
        <w:t>seek a “transfer” pursuant to the Sheriff’s policy</w:t>
      </w:r>
      <w:r w:rsidR="0037619F" w:rsidRPr="00013F2D">
        <w:t xml:space="preserve"> (which, according to the Sheriff, she would not have received under that policy </w:t>
      </w:r>
      <w:r w:rsidR="002D33A2" w:rsidRPr="00013F2D">
        <w:t>anyway</w:t>
      </w:r>
      <w:r w:rsidR="0037619F" w:rsidRPr="00013F2D">
        <w:t>)</w:t>
      </w:r>
      <w:r w:rsidRPr="00013F2D">
        <w:t xml:space="preserve">; she sought reassignment </w:t>
      </w:r>
      <w:r w:rsidR="002D33A2" w:rsidRPr="00013F2D">
        <w:t>as a reasonable accommodation for her disability</w:t>
      </w:r>
      <w:r w:rsidRPr="00013F2D">
        <w:t>.</w:t>
      </w:r>
      <w:r w:rsidR="00AA28E7" w:rsidRPr="00013F2D">
        <w:t xml:space="preserve">  </w:t>
      </w:r>
      <w:r w:rsidR="00662899" w:rsidRPr="00013F2D">
        <w:rPr>
          <w:i/>
        </w:rPr>
        <w:t>See Parkinson v. Anne Arundel Med. Cen.</w:t>
      </w:r>
      <w:r w:rsidR="00662899" w:rsidRPr="00013F2D">
        <w:t>, 79 F. App’x 602, 604−05 (4th Cir. 2003) (unpublished)</w:t>
      </w:r>
      <w:r w:rsidR="00662899" w:rsidRPr="00013F2D">
        <w:rPr>
          <w:i/>
        </w:rPr>
        <w:t xml:space="preserve"> </w:t>
      </w:r>
      <w:r w:rsidR="00662899" w:rsidRPr="00013F2D">
        <w:t xml:space="preserve">(“[A] request for accommodation need not . . . formally invoke the magic words ‘reasonable accommodation.’” (quoting </w:t>
      </w:r>
      <w:r w:rsidR="00662899" w:rsidRPr="00013F2D">
        <w:rPr>
          <w:i/>
        </w:rPr>
        <w:t>Taylor v. Phoenixville Sch. Dist.</w:t>
      </w:r>
      <w:r w:rsidR="00662899" w:rsidRPr="00013F2D">
        <w:t>, 184 F.3d 296, 313 (3d Cir. 1999))</w:t>
      </w:r>
      <w:r w:rsidR="00A27B1C">
        <w:t>)</w:t>
      </w:r>
      <w:r w:rsidR="00662899" w:rsidRPr="00013F2D">
        <w:t xml:space="preserve">.  </w:t>
      </w:r>
      <w:r w:rsidR="0037619F" w:rsidRPr="00013F2D">
        <w:t xml:space="preserve">Sheriff Woody has not pointed to any evidence in the record suggesting that the form of Ms. Hall’s request was unreasonable, or that it caused any </w:t>
      </w:r>
      <w:r w:rsidR="0009219D" w:rsidRPr="00013F2D">
        <w:t>hardship</w:t>
      </w:r>
      <w:r w:rsidR="0037619F" w:rsidRPr="00013F2D">
        <w:t xml:space="preserve"> to the Sheriff’s Office.  </w:t>
      </w:r>
      <w:r w:rsidR="002D33A2" w:rsidRPr="00013F2D">
        <w:rPr>
          <w:i/>
        </w:rPr>
        <w:t>See Taylor</w:t>
      </w:r>
      <w:r w:rsidR="002D33A2" w:rsidRPr="00013F2D">
        <w:t xml:space="preserve">, 184 F.3d at 313 (“What matters under the ADA are not formalisms </w:t>
      </w:r>
      <w:r w:rsidR="002D33A2" w:rsidRPr="00013F2D">
        <w:lastRenderedPageBreak/>
        <w:t xml:space="preserve">about the manner of the request, but whether the employee . . . provides the employer </w:t>
      </w:r>
      <w:r w:rsidR="0009219D" w:rsidRPr="00013F2D">
        <w:t>[]</w:t>
      </w:r>
      <w:r w:rsidR="002D33A2" w:rsidRPr="00013F2D">
        <w:t xml:space="preserve"> enough information . . . .”).</w:t>
      </w:r>
    </w:p>
    <w:p w:rsidR="00F507C4" w:rsidRPr="00013F2D" w:rsidRDefault="0037619F" w:rsidP="009833E4">
      <w:pPr>
        <w:spacing w:line="480" w:lineRule="auto"/>
        <w:ind w:firstLine="720"/>
        <w:rPr>
          <w:i/>
        </w:rPr>
      </w:pPr>
      <w:r w:rsidRPr="00013F2D">
        <w:t xml:space="preserve">Ultimately, Sheriff Woody </w:t>
      </w:r>
      <w:r w:rsidR="0009219D" w:rsidRPr="00013F2D">
        <w:t>points</w:t>
      </w:r>
      <w:r w:rsidRPr="00013F2D">
        <w:t xml:space="preserve"> to no evidence supporting even the inference that </w:t>
      </w:r>
      <w:r w:rsidR="0009219D" w:rsidRPr="00013F2D">
        <w:t>reassigning</w:t>
      </w:r>
      <w:r w:rsidRPr="00013F2D">
        <w:t xml:space="preserve"> Ms. Hall would have imposed a hardship on his office, let alone an undue one.  His conclusory </w:t>
      </w:r>
      <w:r w:rsidR="009833E4" w:rsidRPr="00013F2D">
        <w:t>assertion</w:t>
      </w:r>
      <w:r w:rsidRPr="00013F2D">
        <w:t xml:space="preserve"> that requiring him to depart from his own, self-imposed policies would “disrupt” the Sheriff’s Office is fatally undercut by, first, his admission that he can and frequently does depart from his own policies, and, second, a lack of evidence suggesting any actual disruption.</w:t>
      </w:r>
      <w:r w:rsidR="009833E4" w:rsidRPr="00013F2D">
        <w:t xml:space="preserve">  </w:t>
      </w:r>
      <w:r w:rsidR="009833E4" w:rsidRPr="00013F2D">
        <w:rPr>
          <w:i/>
        </w:rPr>
        <w:t>See Anderson</w:t>
      </w:r>
      <w:r w:rsidR="009833E4" w:rsidRPr="00013F2D">
        <w:t>, 477 U.S. at 252 (</w:t>
      </w:r>
      <w:r w:rsidR="00A64E58" w:rsidRPr="00013F2D">
        <w:t xml:space="preserve">On a motion for summary judgment, </w:t>
      </w:r>
      <w:r w:rsidR="009833E4" w:rsidRPr="00013F2D">
        <w:t>“</w:t>
      </w:r>
      <w:r w:rsidR="00A64E58" w:rsidRPr="00013F2D">
        <w:t>t</w:t>
      </w:r>
      <w:r w:rsidR="009833E4" w:rsidRPr="00013F2D">
        <w:t>here must be evidence on which the jury could reasonably find</w:t>
      </w:r>
      <w:r w:rsidR="00A64E58" w:rsidRPr="00013F2D">
        <w:t xml:space="preserve"> for the [movant]</w:t>
      </w:r>
      <w:r w:rsidR="009833E4" w:rsidRPr="00013F2D">
        <w:t>”</w:t>
      </w:r>
      <w:r w:rsidR="00A64E58" w:rsidRPr="00013F2D">
        <w:t xml:space="preserve"> in order for the movant to prevail</w:t>
      </w:r>
      <w:r w:rsidR="006231F0" w:rsidRPr="00013F2D">
        <w:t>.</w:t>
      </w:r>
      <w:r w:rsidR="009833E4" w:rsidRPr="00013F2D">
        <w:t>).</w:t>
      </w:r>
    </w:p>
    <w:p w:rsidR="00845F4E" w:rsidRPr="00013F2D" w:rsidRDefault="00845F4E" w:rsidP="00845F4E">
      <w:pPr>
        <w:pStyle w:val="ListParagraph"/>
        <w:numPr>
          <w:ilvl w:val="0"/>
          <w:numId w:val="20"/>
        </w:numPr>
        <w:spacing w:line="480" w:lineRule="auto"/>
        <w:rPr>
          <w:b/>
        </w:rPr>
      </w:pPr>
      <w:r w:rsidRPr="00013F2D">
        <w:rPr>
          <w:b/>
        </w:rPr>
        <w:t>CONCLUSION</w:t>
      </w:r>
    </w:p>
    <w:p w:rsidR="00845F4E" w:rsidRPr="00013F2D" w:rsidRDefault="00845F4E" w:rsidP="00845F4E">
      <w:pPr>
        <w:spacing w:line="480" w:lineRule="auto"/>
        <w:ind w:firstLine="720"/>
      </w:pPr>
      <w:r w:rsidRPr="00013F2D">
        <w:t xml:space="preserve">The parties agree that Ms. Hall requested and required reassignment to a vacant position for which she was qualified as a necessary accommodation for her disability.  Sheriff Woody’s argument that this reassignment was unreasonable or would have imposed an undue hardship on his office </w:t>
      </w:r>
      <w:r w:rsidR="00FD544C" w:rsidRPr="00013F2D">
        <w:t xml:space="preserve">ignores </w:t>
      </w:r>
      <w:r w:rsidRPr="00013F2D">
        <w:t>the plain language of the statute, is unsupported by in- and out-of-circuit precedent, and should be rejected.</w:t>
      </w:r>
    </w:p>
    <w:p w:rsidR="00703D76" w:rsidRPr="00013F2D" w:rsidRDefault="00703D76" w:rsidP="00662899">
      <w:pPr>
        <w:spacing w:line="480" w:lineRule="auto"/>
        <w:rPr>
          <w:b/>
          <w:u w:val="single"/>
        </w:rPr>
      </w:pPr>
    </w:p>
    <w:p w:rsidR="00302172" w:rsidRPr="00013F2D" w:rsidRDefault="00302172" w:rsidP="00302172">
      <w:pPr>
        <w:pStyle w:val="Default"/>
        <w:rPr>
          <w:rFonts w:eastAsia="Times New Roman"/>
          <w:color w:val="auto"/>
        </w:rPr>
      </w:pPr>
    </w:p>
    <w:p w:rsidR="00302172" w:rsidRPr="00013F2D" w:rsidRDefault="00302172" w:rsidP="00302172">
      <w:pPr>
        <w:pStyle w:val="Default"/>
        <w:rPr>
          <w:rFonts w:eastAsia="Times New Roman"/>
          <w:color w:val="auto"/>
        </w:rPr>
      </w:pPr>
    </w:p>
    <w:p w:rsidR="00FD7100" w:rsidRPr="00013F2D" w:rsidRDefault="0010551C" w:rsidP="00FD7100">
      <w:pPr>
        <w:pStyle w:val="Default"/>
        <w:rPr>
          <w:rFonts w:eastAsia="Times New Roman"/>
          <w:color w:val="auto"/>
        </w:rPr>
      </w:pPr>
      <w:r w:rsidRPr="00013F2D">
        <w:rPr>
          <w:color w:val="auto"/>
        </w:rPr>
        <w:br w:type="page"/>
      </w:r>
      <w:r w:rsidR="00FD7100" w:rsidRPr="00013F2D">
        <w:rPr>
          <w:rFonts w:eastAsia="Times New Roman"/>
          <w:color w:val="auto"/>
        </w:rPr>
        <w:lastRenderedPageBreak/>
        <w:t xml:space="preserve">Respectfully submitted this </w:t>
      </w:r>
      <w:r w:rsidR="00FE7C54" w:rsidRPr="00013F2D">
        <w:rPr>
          <w:rFonts w:eastAsia="Times New Roman"/>
          <w:color w:val="auto"/>
        </w:rPr>
        <w:t>16th</w:t>
      </w:r>
      <w:r w:rsidR="0018799B" w:rsidRPr="00013F2D">
        <w:rPr>
          <w:rFonts w:eastAsia="Times New Roman"/>
          <w:color w:val="auto"/>
        </w:rPr>
        <w:t xml:space="preserve"> </w:t>
      </w:r>
      <w:r w:rsidR="00FD7100" w:rsidRPr="00013F2D">
        <w:rPr>
          <w:rFonts w:eastAsia="Times New Roman"/>
          <w:color w:val="auto"/>
        </w:rPr>
        <w:t xml:space="preserve">day of </w:t>
      </w:r>
      <w:r w:rsidR="00D52256" w:rsidRPr="00013F2D">
        <w:rPr>
          <w:rFonts w:eastAsia="Times New Roman"/>
          <w:color w:val="auto"/>
        </w:rPr>
        <w:t>September</w:t>
      </w:r>
      <w:r w:rsidR="009673AA" w:rsidRPr="00013F2D">
        <w:rPr>
          <w:rFonts w:eastAsia="Times New Roman"/>
          <w:color w:val="auto"/>
        </w:rPr>
        <w:t>, 2016,</w:t>
      </w:r>
    </w:p>
    <w:p w:rsidR="00FD7100" w:rsidRPr="00013F2D" w:rsidRDefault="00FD7100" w:rsidP="00FD7100">
      <w:pPr>
        <w:pStyle w:val="Default"/>
        <w:rPr>
          <w:rFonts w:eastAsia="Times New Roman"/>
          <w:color w:val="auto"/>
        </w:rPr>
      </w:pPr>
    </w:p>
    <w:p w:rsidR="00302172" w:rsidRPr="00013F2D" w:rsidRDefault="00FD7100" w:rsidP="00FD7100">
      <w:pPr>
        <w:widowControl/>
        <w:autoSpaceDE/>
        <w:autoSpaceDN/>
        <w:adjustRightInd/>
        <w:spacing w:after="200" w:line="276" w:lineRule="auto"/>
        <w:jc w:val="center"/>
      </w:pPr>
      <w:r w:rsidRPr="00013F2D">
        <w:t>FOR THE UNITED STATES:</w:t>
      </w:r>
    </w:p>
    <w:p w:rsidR="00302172" w:rsidRPr="00013F2D" w:rsidRDefault="00302172" w:rsidP="00302172">
      <w:pPr>
        <w:pStyle w:val="Default"/>
        <w:rPr>
          <w:rFonts w:eastAsia="Times New Roman"/>
          <w:color w:val="auto"/>
        </w:rPr>
      </w:pPr>
    </w:p>
    <w:p w:rsidR="00302172" w:rsidRPr="00013F2D" w:rsidRDefault="00302172" w:rsidP="00302172">
      <w:pPr>
        <w:sectPr w:rsidR="00302172" w:rsidRPr="00013F2D" w:rsidSect="00C23C10">
          <w:type w:val="continuous"/>
          <w:pgSz w:w="12240" w:h="15840"/>
          <w:pgMar w:top="1440" w:right="1440" w:bottom="1440" w:left="1440" w:header="720" w:footer="720" w:gutter="0"/>
          <w:cols w:sep="1" w:space="720"/>
          <w:docGrid w:linePitch="360"/>
        </w:sectPr>
      </w:pPr>
    </w:p>
    <w:p w:rsidR="00302172" w:rsidRPr="00013F2D" w:rsidRDefault="00302172" w:rsidP="00302172">
      <w:r w:rsidRPr="00013F2D">
        <w:lastRenderedPageBreak/>
        <w:t>DANA J. BOENTE</w:t>
      </w:r>
    </w:p>
    <w:p w:rsidR="00302172" w:rsidRPr="00013F2D" w:rsidRDefault="00302172" w:rsidP="00302172">
      <w:r w:rsidRPr="00013F2D">
        <w:t xml:space="preserve">United States Attorney </w:t>
      </w:r>
    </w:p>
    <w:p w:rsidR="00302172" w:rsidRPr="00013F2D" w:rsidRDefault="00302172" w:rsidP="00302172">
      <w:r w:rsidRPr="00013F2D">
        <w:t>Eastern District of Virginia</w:t>
      </w:r>
    </w:p>
    <w:p w:rsidR="00302172" w:rsidRPr="00013F2D" w:rsidRDefault="00302172" w:rsidP="00302172">
      <w:pPr>
        <w:rPr>
          <w:i/>
          <w:u w:val="single"/>
        </w:rPr>
      </w:pPr>
    </w:p>
    <w:p w:rsidR="00302172" w:rsidRPr="00013F2D" w:rsidRDefault="00302172" w:rsidP="00302172">
      <w:pPr>
        <w:rPr>
          <w:i/>
          <w:u w:val="single"/>
        </w:rPr>
      </w:pPr>
    </w:p>
    <w:p w:rsidR="00302172" w:rsidRPr="00013F2D" w:rsidRDefault="00302172" w:rsidP="00302172">
      <w:pPr>
        <w:rPr>
          <w:i/>
          <w:u w:val="single"/>
        </w:rPr>
      </w:pPr>
    </w:p>
    <w:p w:rsidR="00302172" w:rsidRPr="00013F2D" w:rsidRDefault="00302172" w:rsidP="00302172">
      <w:pPr>
        <w:rPr>
          <w:i/>
          <w:u w:val="single"/>
        </w:rPr>
      </w:pPr>
    </w:p>
    <w:p w:rsidR="00302172" w:rsidRPr="00013F2D" w:rsidRDefault="00302172" w:rsidP="00302172">
      <w:pPr>
        <w:rPr>
          <w:i/>
          <w:u w:val="single"/>
        </w:rPr>
      </w:pPr>
    </w:p>
    <w:p w:rsidR="00302172" w:rsidRPr="00013F2D" w:rsidRDefault="00302172" w:rsidP="00302172">
      <w:pPr>
        <w:rPr>
          <w:i/>
          <w:u w:val="single"/>
        </w:rPr>
      </w:pPr>
    </w:p>
    <w:p w:rsidR="00302172" w:rsidRPr="00013F2D" w:rsidRDefault="00302172" w:rsidP="00302172">
      <w:pPr>
        <w:rPr>
          <w:i/>
          <w:u w:val="single"/>
        </w:rPr>
      </w:pPr>
    </w:p>
    <w:p w:rsidR="00302172" w:rsidRPr="00013F2D" w:rsidRDefault="00302172" w:rsidP="00302172">
      <w:pPr>
        <w:rPr>
          <w:i/>
          <w:u w:val="single"/>
        </w:rPr>
      </w:pPr>
    </w:p>
    <w:p w:rsidR="00302172" w:rsidRPr="00013F2D" w:rsidRDefault="00302172" w:rsidP="00302172">
      <w:pPr>
        <w:rPr>
          <w:i/>
          <w:u w:val="single"/>
        </w:rPr>
      </w:pPr>
    </w:p>
    <w:p w:rsidR="00302172" w:rsidRPr="00013F2D" w:rsidRDefault="00302172" w:rsidP="00302172">
      <w:pPr>
        <w:rPr>
          <w:i/>
          <w:u w:val="single"/>
        </w:rPr>
      </w:pPr>
      <w:r w:rsidRPr="00013F2D">
        <w:rPr>
          <w:i/>
          <w:u w:val="single"/>
        </w:rPr>
        <w:t>/s/ L. Margaret Harker</w:t>
      </w:r>
    </w:p>
    <w:p w:rsidR="00302172" w:rsidRPr="00013F2D" w:rsidRDefault="00302172" w:rsidP="00302172">
      <w:r w:rsidRPr="00013F2D">
        <w:t>L. Margaret Harker</w:t>
      </w:r>
    </w:p>
    <w:p w:rsidR="00302172" w:rsidRPr="00013F2D" w:rsidRDefault="00302172" w:rsidP="00302172">
      <w:r w:rsidRPr="00013F2D">
        <w:t>VSB No. 82188</w:t>
      </w:r>
    </w:p>
    <w:p w:rsidR="00302172" w:rsidRPr="00013F2D" w:rsidRDefault="00302172" w:rsidP="00302172">
      <w:r w:rsidRPr="00013F2D">
        <w:t>Assistant United States Attorney</w:t>
      </w:r>
    </w:p>
    <w:p w:rsidR="00302172" w:rsidRPr="00013F2D" w:rsidRDefault="00302172" w:rsidP="00302172">
      <w:r w:rsidRPr="00013F2D">
        <w:t>Office of the United States Attorney</w:t>
      </w:r>
    </w:p>
    <w:p w:rsidR="00302172" w:rsidRPr="00013F2D" w:rsidRDefault="00302172" w:rsidP="00302172">
      <w:r w:rsidRPr="00013F2D">
        <w:t>919 East Main Street, Suite 1900</w:t>
      </w:r>
    </w:p>
    <w:p w:rsidR="00302172" w:rsidRPr="00013F2D" w:rsidRDefault="00302172" w:rsidP="00302172">
      <w:r w:rsidRPr="00013F2D">
        <w:t>Richmond, Virginia, 23219</w:t>
      </w:r>
    </w:p>
    <w:p w:rsidR="00302172" w:rsidRPr="00013F2D" w:rsidRDefault="00302172" w:rsidP="00302172">
      <w:r w:rsidRPr="00013F2D">
        <w:t>(804) 819-5400 (phone)</w:t>
      </w:r>
    </w:p>
    <w:p w:rsidR="00302172" w:rsidRPr="00013F2D" w:rsidRDefault="00302172" w:rsidP="00302172">
      <w:r w:rsidRPr="00013F2D">
        <w:t>(804) 819-7417 (fax)</w:t>
      </w:r>
    </w:p>
    <w:p w:rsidR="00302172" w:rsidRPr="00013F2D" w:rsidRDefault="00302172" w:rsidP="00302172">
      <w:r w:rsidRPr="00013F2D">
        <w:t>Margaret.Harker@usdoj.gov</w:t>
      </w:r>
    </w:p>
    <w:p w:rsidR="00302172" w:rsidRPr="00013F2D" w:rsidRDefault="00302172" w:rsidP="00302172"/>
    <w:p w:rsidR="00302172" w:rsidRPr="00013F2D" w:rsidRDefault="00302172" w:rsidP="00302172"/>
    <w:p w:rsidR="00302172" w:rsidRPr="00013F2D" w:rsidRDefault="00302172" w:rsidP="0030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ingLiU"/>
        </w:rPr>
      </w:pPr>
      <w:r w:rsidRPr="00013F2D">
        <w:rPr>
          <w:rFonts w:eastAsia="@MingLiU"/>
        </w:rPr>
        <w:lastRenderedPageBreak/>
        <w:t>VANITA GUPTA</w:t>
      </w:r>
    </w:p>
    <w:p w:rsidR="00302172" w:rsidRPr="00013F2D" w:rsidRDefault="00302172" w:rsidP="0030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F2D">
        <w:t>Principal Deputy Assistant Attorney General</w:t>
      </w:r>
    </w:p>
    <w:p w:rsidR="00302172" w:rsidRPr="00013F2D" w:rsidRDefault="00302172" w:rsidP="0030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2172" w:rsidRPr="00013F2D" w:rsidRDefault="00302172" w:rsidP="0030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ingLiU"/>
        </w:rPr>
      </w:pPr>
      <w:r w:rsidRPr="00013F2D">
        <w:t>EVE L. HILL</w:t>
      </w:r>
      <w:r w:rsidRPr="00013F2D">
        <w:br/>
        <w:t>Deputy Assistant Attorney General</w:t>
      </w:r>
      <w:r w:rsidRPr="00013F2D">
        <w:br/>
        <w:t>Civil Rights Division</w:t>
      </w:r>
    </w:p>
    <w:p w:rsidR="00302172" w:rsidRPr="00013F2D" w:rsidRDefault="00302172" w:rsidP="00302172">
      <w:pPr>
        <w:rPr>
          <w:rFonts w:eastAsia="@MingLiU"/>
        </w:rPr>
      </w:pPr>
    </w:p>
    <w:p w:rsidR="00302172" w:rsidRPr="00013F2D" w:rsidRDefault="00302172" w:rsidP="00302172">
      <w:pPr>
        <w:rPr>
          <w:rFonts w:eastAsia="@MingLiU"/>
        </w:rPr>
      </w:pPr>
      <w:r w:rsidRPr="00013F2D">
        <w:rPr>
          <w:rFonts w:eastAsia="@MingLiU"/>
        </w:rPr>
        <w:t>REBECCA B. BOND</w:t>
      </w:r>
    </w:p>
    <w:p w:rsidR="00302172" w:rsidRPr="00013F2D" w:rsidRDefault="00302172" w:rsidP="00302172">
      <w:pPr>
        <w:rPr>
          <w:rFonts w:eastAsia="@MingLiU"/>
        </w:rPr>
      </w:pPr>
      <w:r w:rsidRPr="00013F2D">
        <w:rPr>
          <w:rFonts w:eastAsia="@MingLiU"/>
        </w:rPr>
        <w:t>Chief</w:t>
      </w:r>
    </w:p>
    <w:p w:rsidR="00302172" w:rsidRPr="00013F2D" w:rsidRDefault="00302172" w:rsidP="00302172">
      <w:pPr>
        <w:rPr>
          <w:rFonts w:eastAsia="@MingLiU"/>
        </w:rPr>
      </w:pPr>
      <w:r w:rsidRPr="00013F2D">
        <w:rPr>
          <w:rFonts w:eastAsia="@MingLiU"/>
        </w:rPr>
        <w:t>AMANDA MAISELS</w:t>
      </w:r>
    </w:p>
    <w:p w:rsidR="00302172" w:rsidRPr="00013F2D" w:rsidRDefault="00302172" w:rsidP="00302172">
      <w:pPr>
        <w:rPr>
          <w:rFonts w:eastAsia="@MingLiU"/>
        </w:rPr>
      </w:pPr>
      <w:r w:rsidRPr="00013F2D">
        <w:rPr>
          <w:rFonts w:eastAsia="@MingLiU"/>
        </w:rPr>
        <w:t>Deputy Chief</w:t>
      </w:r>
    </w:p>
    <w:p w:rsidR="00302172" w:rsidRPr="00013F2D" w:rsidRDefault="00302172" w:rsidP="00302172">
      <w:pPr>
        <w:rPr>
          <w:rFonts w:eastAsia="@MingLiU"/>
        </w:rPr>
      </w:pPr>
    </w:p>
    <w:p w:rsidR="00302172" w:rsidRPr="00013F2D" w:rsidRDefault="00302172" w:rsidP="00302172">
      <w:pPr>
        <w:rPr>
          <w:rFonts w:eastAsia="@MingLiU"/>
          <w:i/>
          <w:u w:val="single"/>
        </w:rPr>
      </w:pPr>
      <w:r w:rsidRPr="00013F2D">
        <w:rPr>
          <w:rFonts w:eastAsia="@MingLiU"/>
          <w:i/>
          <w:u w:val="single"/>
        </w:rPr>
        <w:t xml:space="preserve">/s/ </w:t>
      </w:r>
      <w:r w:rsidR="005B0B77" w:rsidRPr="00013F2D">
        <w:rPr>
          <w:rFonts w:eastAsia="@MingLiU"/>
          <w:i/>
          <w:u w:val="single"/>
        </w:rPr>
        <w:t>Kathryn E. Gilbert</w:t>
      </w:r>
    </w:p>
    <w:p w:rsidR="00302172" w:rsidRPr="00013F2D" w:rsidRDefault="00302172" w:rsidP="00302172">
      <w:pPr>
        <w:rPr>
          <w:rFonts w:eastAsia="@MingLiU"/>
        </w:rPr>
      </w:pPr>
      <w:r w:rsidRPr="00013F2D">
        <w:rPr>
          <w:rFonts w:eastAsia="@MingLiU"/>
        </w:rPr>
        <w:t>Alyse Bass, Senior Trial Attorney</w:t>
      </w:r>
    </w:p>
    <w:p w:rsidR="00302172" w:rsidRPr="00013F2D" w:rsidRDefault="00302172" w:rsidP="00302172">
      <w:pPr>
        <w:rPr>
          <w:rFonts w:eastAsia="@MingLiU"/>
        </w:rPr>
      </w:pPr>
      <w:r w:rsidRPr="00013F2D">
        <w:rPr>
          <w:rFonts w:eastAsia="@MingLiU"/>
        </w:rPr>
        <w:t xml:space="preserve">alyse.bass@usdoj.gov </w:t>
      </w:r>
    </w:p>
    <w:p w:rsidR="00302172" w:rsidRPr="00013F2D" w:rsidRDefault="00302172" w:rsidP="00302172">
      <w:pPr>
        <w:rPr>
          <w:rFonts w:eastAsia="@MingLiU"/>
        </w:rPr>
      </w:pPr>
      <w:r w:rsidRPr="00013F2D">
        <w:rPr>
          <w:rFonts w:eastAsia="@MingLiU"/>
        </w:rPr>
        <w:t>Kathryn E. Gilbert, Trial Attorney</w:t>
      </w:r>
    </w:p>
    <w:p w:rsidR="00302172" w:rsidRPr="00013F2D" w:rsidRDefault="00302172" w:rsidP="00302172">
      <w:pPr>
        <w:rPr>
          <w:rFonts w:eastAsia="@MingLiU"/>
        </w:rPr>
      </w:pPr>
      <w:r w:rsidRPr="00013F2D">
        <w:rPr>
          <w:rFonts w:eastAsia="@MingLiU"/>
        </w:rPr>
        <w:t>kathryn.gilbert@usdoj.gov</w:t>
      </w:r>
    </w:p>
    <w:p w:rsidR="00302172" w:rsidRPr="00013F2D" w:rsidRDefault="00302172" w:rsidP="00302172">
      <w:pPr>
        <w:rPr>
          <w:rFonts w:eastAsia="@MingLiU"/>
        </w:rPr>
      </w:pPr>
      <w:r w:rsidRPr="00013F2D">
        <w:rPr>
          <w:rFonts w:eastAsia="@MingLiU"/>
        </w:rPr>
        <w:t>Disability Rights Section</w:t>
      </w:r>
    </w:p>
    <w:p w:rsidR="00302172" w:rsidRPr="00013F2D" w:rsidRDefault="00302172" w:rsidP="00302172">
      <w:pPr>
        <w:rPr>
          <w:rFonts w:eastAsia="@MingLiU"/>
        </w:rPr>
      </w:pPr>
      <w:r w:rsidRPr="00013F2D">
        <w:rPr>
          <w:rFonts w:eastAsia="@MingLiU"/>
        </w:rPr>
        <w:t>Civil Rights Division</w:t>
      </w:r>
    </w:p>
    <w:p w:rsidR="00302172" w:rsidRPr="00013F2D" w:rsidRDefault="00302172" w:rsidP="00302172">
      <w:pPr>
        <w:rPr>
          <w:rFonts w:eastAsia="@MingLiU"/>
        </w:rPr>
      </w:pPr>
      <w:r w:rsidRPr="00013F2D">
        <w:rPr>
          <w:rFonts w:eastAsia="@MingLiU"/>
        </w:rPr>
        <w:t>U.S. Department of Justice</w:t>
      </w:r>
    </w:p>
    <w:p w:rsidR="00302172" w:rsidRPr="00013F2D" w:rsidRDefault="00302172" w:rsidP="00302172">
      <w:pPr>
        <w:rPr>
          <w:rFonts w:eastAsia="@MingLiU"/>
        </w:rPr>
      </w:pPr>
      <w:r w:rsidRPr="00013F2D">
        <w:rPr>
          <w:rFonts w:eastAsia="@MingLiU"/>
        </w:rPr>
        <w:t>950 Pennsylvania Avenue, N.W.</w:t>
      </w:r>
    </w:p>
    <w:p w:rsidR="00302172" w:rsidRPr="00013F2D" w:rsidRDefault="00302172" w:rsidP="00302172">
      <w:pPr>
        <w:rPr>
          <w:rFonts w:eastAsia="@MingLiU"/>
        </w:rPr>
      </w:pPr>
      <w:r w:rsidRPr="00013F2D">
        <w:rPr>
          <w:rFonts w:eastAsia="@MingLiU"/>
        </w:rPr>
        <w:t>Washington, D.C.  20530</w:t>
      </w:r>
    </w:p>
    <w:p w:rsidR="00302172" w:rsidRPr="00013F2D" w:rsidRDefault="00302172" w:rsidP="00302172">
      <w:pPr>
        <w:rPr>
          <w:rFonts w:eastAsia="@MingLiU"/>
        </w:rPr>
      </w:pPr>
      <w:r w:rsidRPr="00013F2D">
        <w:rPr>
          <w:rFonts w:eastAsia="@MingLiU"/>
        </w:rPr>
        <w:t>Telephone:  (202) 616-2430</w:t>
      </w:r>
    </w:p>
    <w:p w:rsidR="00302172" w:rsidRPr="00013F2D" w:rsidRDefault="00302172" w:rsidP="00302172">
      <w:pPr>
        <w:rPr>
          <w:rFonts w:eastAsia="@MingLiU"/>
        </w:rPr>
      </w:pPr>
      <w:r w:rsidRPr="00013F2D">
        <w:rPr>
          <w:rFonts w:eastAsia="@MingLiU"/>
        </w:rPr>
        <w:t>Facsimile:  (202) 305-9775</w:t>
      </w:r>
    </w:p>
    <w:p w:rsidR="00302172" w:rsidRPr="00013F2D" w:rsidRDefault="00302172" w:rsidP="00302172">
      <w:pPr>
        <w:pStyle w:val="Default"/>
        <w:rPr>
          <w:rFonts w:eastAsia="Times New Roman"/>
          <w:color w:val="auto"/>
        </w:rPr>
        <w:sectPr w:rsidR="00302172" w:rsidRPr="00013F2D" w:rsidSect="00C23C10">
          <w:type w:val="continuous"/>
          <w:pgSz w:w="12240" w:h="15840"/>
          <w:pgMar w:top="1440" w:right="1440" w:bottom="1440" w:left="1440" w:header="720" w:footer="720" w:gutter="0"/>
          <w:cols w:num="2" w:sep="1" w:space="720"/>
          <w:docGrid w:linePitch="360"/>
        </w:sectPr>
      </w:pPr>
    </w:p>
    <w:p w:rsidR="00302172" w:rsidRPr="00013F2D" w:rsidRDefault="00302172" w:rsidP="00302172">
      <w:pPr>
        <w:pStyle w:val="Default"/>
        <w:rPr>
          <w:rFonts w:eastAsia="Times New Roman"/>
          <w:color w:val="auto"/>
        </w:rPr>
      </w:pPr>
    </w:p>
    <w:p w:rsidR="00302172" w:rsidRPr="00013F2D" w:rsidRDefault="00302172" w:rsidP="00302172">
      <w:pPr>
        <w:pStyle w:val="Default"/>
        <w:rPr>
          <w:rFonts w:eastAsia="Times New Roman"/>
          <w:color w:val="auto"/>
        </w:rPr>
      </w:pPr>
    </w:p>
    <w:p w:rsidR="00302172" w:rsidRPr="00013F2D" w:rsidRDefault="00302172" w:rsidP="00302172">
      <w:pPr>
        <w:pStyle w:val="Default"/>
        <w:rPr>
          <w:rFonts w:eastAsia="Times New Roman"/>
          <w:color w:val="auto"/>
        </w:rPr>
      </w:pPr>
    </w:p>
    <w:p w:rsidR="00302172" w:rsidRPr="00013F2D" w:rsidRDefault="00302172" w:rsidP="00302172">
      <w:pPr>
        <w:pStyle w:val="Default"/>
        <w:rPr>
          <w:rFonts w:eastAsia="Times New Roman"/>
          <w:color w:val="auto"/>
        </w:rPr>
        <w:sectPr w:rsidR="00302172" w:rsidRPr="00013F2D" w:rsidSect="00C23C10">
          <w:type w:val="continuous"/>
          <w:pgSz w:w="12240" w:h="15840"/>
          <w:pgMar w:top="1440" w:right="1440" w:bottom="1440" w:left="1440" w:header="720" w:footer="720" w:gutter="0"/>
          <w:cols w:sep="1" w:space="720"/>
          <w:docGrid w:linePitch="360"/>
        </w:sectPr>
      </w:pPr>
    </w:p>
    <w:p w:rsidR="009673AA" w:rsidRPr="00013F2D" w:rsidRDefault="009673AA" w:rsidP="009673AA">
      <w:pPr>
        <w:jc w:val="center"/>
        <w:rPr>
          <w:b/>
          <w:u w:val="single"/>
        </w:rPr>
      </w:pPr>
      <w:r w:rsidRPr="00013F2D">
        <w:rPr>
          <w:b/>
          <w:u w:val="single"/>
        </w:rPr>
        <w:lastRenderedPageBreak/>
        <w:t>CERTIFICATE OF SERVICE</w:t>
      </w:r>
    </w:p>
    <w:p w:rsidR="009673AA" w:rsidRPr="00013F2D" w:rsidRDefault="009673AA" w:rsidP="009673AA">
      <w:pPr>
        <w:jc w:val="center"/>
        <w:rPr>
          <w:b/>
          <w:u w:val="single"/>
        </w:rPr>
      </w:pPr>
    </w:p>
    <w:p w:rsidR="009673AA" w:rsidRPr="00013F2D" w:rsidRDefault="009673AA" w:rsidP="009673AA">
      <w:pPr>
        <w:spacing w:line="480" w:lineRule="auto"/>
      </w:pPr>
      <w:r w:rsidRPr="00013F2D">
        <w:tab/>
        <w:t xml:space="preserve">I hereby certify that on this, the </w:t>
      </w:r>
      <w:r w:rsidR="00FE7C54" w:rsidRPr="00013F2D">
        <w:t>16th</w:t>
      </w:r>
      <w:r w:rsidRPr="00013F2D">
        <w:t xml:space="preserve"> day of September, 2016, I electronically filed the foregoing with the Clerk of Court using the CM/ECF system, which will send a notification of such filing (NEF) to:</w:t>
      </w:r>
    </w:p>
    <w:p w:rsidR="009673AA" w:rsidRPr="00013F2D" w:rsidRDefault="009673AA" w:rsidP="009673AA">
      <w:r w:rsidRPr="00013F2D">
        <w:t>William W. Tunner (VSB No. 38358)</w:t>
      </w:r>
    </w:p>
    <w:p w:rsidR="009673AA" w:rsidRPr="00013F2D" w:rsidRDefault="009673AA" w:rsidP="009673AA">
      <w:r w:rsidRPr="00013F2D">
        <w:t>William D. Prince, IV (VSB No. 77209)</w:t>
      </w:r>
    </w:p>
    <w:p w:rsidR="009673AA" w:rsidRPr="00013F2D" w:rsidRDefault="009673AA" w:rsidP="009673AA">
      <w:r w:rsidRPr="00013F2D">
        <w:t>Neil S. Talegaonkar (VSB No. 44589)</w:t>
      </w:r>
    </w:p>
    <w:p w:rsidR="009673AA" w:rsidRPr="00013F2D" w:rsidRDefault="009673AA" w:rsidP="009673AA">
      <w:r w:rsidRPr="00013F2D">
        <w:t>ThompsonMcMullan, P.C.</w:t>
      </w:r>
    </w:p>
    <w:p w:rsidR="009673AA" w:rsidRPr="00013F2D" w:rsidRDefault="009673AA" w:rsidP="009673AA">
      <w:r w:rsidRPr="00013F2D">
        <w:t>100 Shockoe Slip, 3rd Floor</w:t>
      </w:r>
    </w:p>
    <w:p w:rsidR="009673AA" w:rsidRPr="00013F2D" w:rsidRDefault="009673AA" w:rsidP="009673AA">
      <w:r w:rsidRPr="00013F2D">
        <w:t>Richmond, Virginia 23219</w:t>
      </w:r>
    </w:p>
    <w:p w:rsidR="009673AA" w:rsidRPr="00013F2D" w:rsidRDefault="009673AA" w:rsidP="009673AA">
      <w:r w:rsidRPr="00013F2D">
        <w:t>Tel: (804) 649-7545</w:t>
      </w:r>
    </w:p>
    <w:p w:rsidR="009673AA" w:rsidRPr="00013F2D" w:rsidRDefault="009673AA" w:rsidP="009673AA">
      <w:r w:rsidRPr="00013F2D">
        <w:t>Fax: (804) 780-1813</w:t>
      </w:r>
    </w:p>
    <w:p w:rsidR="009673AA" w:rsidRPr="00013F2D" w:rsidRDefault="009673AA" w:rsidP="009673AA">
      <w:r w:rsidRPr="00013F2D">
        <w:t>wtunner@t-mlaw.com</w:t>
      </w:r>
    </w:p>
    <w:p w:rsidR="009673AA" w:rsidRPr="00013F2D" w:rsidRDefault="009673AA" w:rsidP="009673AA">
      <w:r w:rsidRPr="00013F2D">
        <w:t>wprince@t-mlaw.com</w:t>
      </w:r>
    </w:p>
    <w:p w:rsidR="009673AA" w:rsidRPr="00013F2D" w:rsidRDefault="009673AA" w:rsidP="009673AA">
      <w:r w:rsidRPr="00013F2D">
        <w:t>ntalegaonkar@t-mlaw.com</w:t>
      </w:r>
    </w:p>
    <w:p w:rsidR="009673AA" w:rsidRPr="00013F2D" w:rsidRDefault="009673AA" w:rsidP="009673AA">
      <w:pPr>
        <w:rPr>
          <w:i/>
        </w:rPr>
      </w:pPr>
      <w:r w:rsidRPr="00013F2D">
        <w:rPr>
          <w:i/>
        </w:rPr>
        <w:t>Counsel for Defendant C.T. Woody, Jr., Sheriff, City of Richmond</w:t>
      </w:r>
    </w:p>
    <w:p w:rsidR="009673AA" w:rsidRPr="00013F2D" w:rsidRDefault="009673AA" w:rsidP="009673AA">
      <w:pPr>
        <w:rPr>
          <w:i/>
        </w:rPr>
      </w:pPr>
    </w:p>
    <w:p w:rsidR="009673AA" w:rsidRPr="00013F2D" w:rsidRDefault="009673AA" w:rsidP="009673AA">
      <w:pPr>
        <w:rPr>
          <w:i/>
        </w:rPr>
      </w:pPr>
    </w:p>
    <w:p w:rsidR="009673AA" w:rsidRPr="00013F2D" w:rsidRDefault="009673AA" w:rsidP="009673AA">
      <w:pPr>
        <w:ind w:left="5760"/>
        <w:rPr>
          <w:i/>
          <w:u w:val="single"/>
        </w:rPr>
      </w:pPr>
      <w:r w:rsidRPr="00013F2D">
        <w:rPr>
          <w:i/>
          <w:u w:val="single"/>
        </w:rPr>
        <w:t>/s/ L. Margaret Harker</w:t>
      </w:r>
    </w:p>
    <w:p w:rsidR="009673AA" w:rsidRPr="00013F2D" w:rsidRDefault="009673AA" w:rsidP="009673AA">
      <w:pPr>
        <w:ind w:left="5760"/>
      </w:pPr>
      <w:r w:rsidRPr="00013F2D">
        <w:t>L. Margaret Harker</w:t>
      </w:r>
    </w:p>
    <w:p w:rsidR="009673AA" w:rsidRPr="00013F2D" w:rsidRDefault="009673AA" w:rsidP="009673AA">
      <w:pPr>
        <w:ind w:left="5760"/>
      </w:pPr>
      <w:r w:rsidRPr="00013F2D">
        <w:t>VSB No. 82188</w:t>
      </w:r>
    </w:p>
    <w:p w:rsidR="009673AA" w:rsidRPr="00013F2D" w:rsidRDefault="009673AA" w:rsidP="009673AA">
      <w:pPr>
        <w:ind w:left="5760"/>
      </w:pPr>
      <w:r w:rsidRPr="00013F2D">
        <w:t>Assistant United States Attorney</w:t>
      </w:r>
    </w:p>
    <w:p w:rsidR="009673AA" w:rsidRPr="00013F2D" w:rsidRDefault="009673AA" w:rsidP="009673AA">
      <w:pPr>
        <w:ind w:left="5760"/>
      </w:pPr>
      <w:r w:rsidRPr="00013F2D">
        <w:t>Office of the United States Attorney</w:t>
      </w:r>
    </w:p>
    <w:p w:rsidR="009673AA" w:rsidRPr="00013F2D" w:rsidRDefault="009673AA" w:rsidP="009673AA">
      <w:pPr>
        <w:ind w:left="5760"/>
      </w:pPr>
      <w:r w:rsidRPr="00013F2D">
        <w:t>919 East Main Street, Suite 1900</w:t>
      </w:r>
    </w:p>
    <w:p w:rsidR="009673AA" w:rsidRPr="00013F2D" w:rsidRDefault="009673AA" w:rsidP="009673AA">
      <w:pPr>
        <w:ind w:left="5760"/>
      </w:pPr>
      <w:r w:rsidRPr="00013F2D">
        <w:t>Richmond, Virginia, 23219</w:t>
      </w:r>
    </w:p>
    <w:p w:rsidR="009673AA" w:rsidRPr="00013F2D" w:rsidRDefault="009673AA" w:rsidP="009673AA">
      <w:pPr>
        <w:ind w:left="5760"/>
      </w:pPr>
      <w:r w:rsidRPr="00013F2D">
        <w:t>(804) 819-5400 (phone)</w:t>
      </w:r>
    </w:p>
    <w:p w:rsidR="009673AA" w:rsidRPr="00013F2D" w:rsidRDefault="009673AA" w:rsidP="009673AA">
      <w:pPr>
        <w:ind w:left="5760"/>
      </w:pPr>
      <w:r w:rsidRPr="00013F2D">
        <w:t>(804) 819-7417 (fax)</w:t>
      </w:r>
    </w:p>
    <w:p w:rsidR="009673AA" w:rsidRPr="00013F2D" w:rsidRDefault="009673AA" w:rsidP="009673AA">
      <w:pPr>
        <w:ind w:left="5760"/>
      </w:pPr>
      <w:r w:rsidRPr="00013F2D">
        <w:t>Margaret.Harker@usdoj.gov</w:t>
      </w:r>
    </w:p>
    <w:p w:rsidR="00302172" w:rsidRPr="00013F2D" w:rsidRDefault="00302172" w:rsidP="00EB6C56">
      <w:pPr>
        <w:spacing w:line="480" w:lineRule="auto"/>
      </w:pPr>
    </w:p>
    <w:p w:rsidR="00C23C10" w:rsidRPr="00013F2D" w:rsidRDefault="00C23C10"/>
    <w:sectPr w:rsidR="00C23C10" w:rsidRPr="00013F2D" w:rsidSect="000866C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EBB3EC" w15:done="0"/>
  <w15:commentEx w15:paraId="40A34622" w15:done="0"/>
  <w15:commentEx w15:paraId="52C64A50" w15:done="0"/>
  <w15:commentEx w15:paraId="39D87846" w15:done="0"/>
  <w15:commentEx w15:paraId="2C26E5F5" w15:done="0"/>
  <w15:commentEx w15:paraId="6B50ADAF" w15:done="0"/>
  <w15:commentEx w15:paraId="740C5E24" w15:done="0"/>
  <w15:commentEx w15:paraId="0E220C6C" w15:done="0"/>
  <w15:commentEx w15:paraId="4B434408" w15:done="0"/>
  <w15:commentEx w15:paraId="33BC3E16" w15:done="0"/>
  <w15:commentEx w15:paraId="32424B9F" w15:done="0"/>
  <w15:commentEx w15:paraId="324EAF2F" w15:done="0"/>
  <w15:commentEx w15:paraId="3B282A76" w15:done="0"/>
  <w15:commentEx w15:paraId="6E95B49B" w15:done="0"/>
  <w15:commentEx w15:paraId="31DF9762" w15:done="0"/>
  <w15:commentEx w15:paraId="59E63E0C" w15:done="0"/>
  <w15:commentEx w15:paraId="7C729E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6DB" w:rsidRDefault="00C206DB" w:rsidP="00A53973">
      <w:r>
        <w:separator/>
      </w:r>
    </w:p>
  </w:endnote>
  <w:endnote w:type="continuationSeparator" w:id="0">
    <w:p w:rsidR="00C206DB" w:rsidRDefault="00C206DB" w:rsidP="00A5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DB" w:rsidRDefault="005D61FB">
    <w:pPr>
      <w:pStyle w:val="Footer"/>
      <w:jc w:val="center"/>
    </w:pPr>
    <w:fldSimple w:instr=" PAGE   \* MERGEFORMAT ">
      <w:r w:rsidR="00176D60">
        <w:rPr>
          <w:noProof/>
        </w:rPr>
        <w:t>16</w:t>
      </w:r>
    </w:fldSimple>
  </w:p>
  <w:p w:rsidR="00C206DB" w:rsidRDefault="00C20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6DB" w:rsidRDefault="00C206DB" w:rsidP="00A53973">
      <w:r>
        <w:separator/>
      </w:r>
    </w:p>
  </w:footnote>
  <w:footnote w:type="continuationSeparator" w:id="0">
    <w:p w:rsidR="00C206DB" w:rsidRDefault="00C206DB" w:rsidP="00A53973">
      <w:r>
        <w:continuationSeparator/>
      </w:r>
    </w:p>
  </w:footnote>
  <w:footnote w:id="1">
    <w:p w:rsidR="00C206DB" w:rsidRPr="00222019" w:rsidRDefault="00C206DB" w:rsidP="004A434E">
      <w:pPr>
        <w:pStyle w:val="FootnoteText"/>
        <w:rPr>
          <w:sz w:val="24"/>
          <w:szCs w:val="24"/>
        </w:rPr>
      </w:pPr>
      <w:r w:rsidRPr="00222019">
        <w:rPr>
          <w:rStyle w:val="FootnoteReference"/>
          <w:sz w:val="24"/>
          <w:szCs w:val="24"/>
        </w:rPr>
        <w:footnoteRef/>
      </w:r>
      <w:r w:rsidRPr="00222019">
        <w:rPr>
          <w:sz w:val="24"/>
          <w:szCs w:val="24"/>
        </w:rPr>
        <w:t xml:space="preserve"> EEOC, No. 915.002, </w:t>
      </w:r>
      <w:r w:rsidRPr="00222019">
        <w:rPr>
          <w:i/>
          <w:sz w:val="24"/>
          <w:szCs w:val="24"/>
        </w:rPr>
        <w:t>Enforcement Guidance: Reasonable Accommodation and Undue Hardship Under the Americans with Disabilities Act</w:t>
      </w:r>
      <w:r w:rsidRPr="00222019">
        <w:rPr>
          <w:sz w:val="24"/>
          <w:szCs w:val="24"/>
        </w:rPr>
        <w:t xml:space="preserve"> (2002) [hereinafter “EEOC Guidance”].</w:t>
      </w:r>
    </w:p>
  </w:footnote>
  <w:footnote w:id="2">
    <w:p w:rsidR="00C206DB" w:rsidRPr="00222019" w:rsidRDefault="00C206DB" w:rsidP="00AE4F81">
      <w:pPr>
        <w:pStyle w:val="FootnoteText"/>
        <w:rPr>
          <w:sz w:val="24"/>
          <w:szCs w:val="24"/>
        </w:rPr>
      </w:pPr>
      <w:r w:rsidRPr="00222019">
        <w:rPr>
          <w:rStyle w:val="FootnoteReference"/>
          <w:sz w:val="24"/>
          <w:szCs w:val="24"/>
        </w:rPr>
        <w:footnoteRef/>
      </w:r>
      <w:r w:rsidRPr="00222019">
        <w:rPr>
          <w:sz w:val="24"/>
          <w:szCs w:val="24"/>
        </w:rPr>
        <w:t xml:space="preserve"> The same is true of another district court case relied upon by Sheriff Woody, </w:t>
      </w:r>
      <w:r w:rsidRPr="00222019">
        <w:rPr>
          <w:i/>
          <w:sz w:val="24"/>
          <w:szCs w:val="24"/>
        </w:rPr>
        <w:t>Jackson v. FUJIFILM Mfg. USA, Inc.</w:t>
      </w:r>
      <w:r w:rsidRPr="00222019">
        <w:rPr>
          <w:sz w:val="24"/>
          <w:szCs w:val="24"/>
        </w:rPr>
        <w:t xml:space="preserve">, No. 8:09-CV-01328-JMC, 2011 WL 494281 (D.S.C. Feb. 7, 2011), </w:t>
      </w:r>
      <w:r w:rsidRPr="00222019">
        <w:rPr>
          <w:i/>
          <w:sz w:val="24"/>
          <w:szCs w:val="24"/>
        </w:rPr>
        <w:t>aff’d on other grounds</w:t>
      </w:r>
      <w:r w:rsidRPr="00222019">
        <w:rPr>
          <w:sz w:val="24"/>
          <w:szCs w:val="24"/>
        </w:rPr>
        <w:t>, 447 F. App’x 515 (4th Cir. 2011).</w:t>
      </w:r>
    </w:p>
  </w:footnote>
  <w:footnote w:id="3">
    <w:p w:rsidR="00C206DB" w:rsidRPr="00222019" w:rsidRDefault="00C206DB" w:rsidP="0086496B">
      <w:pPr>
        <w:pStyle w:val="FootnoteText"/>
        <w:rPr>
          <w:sz w:val="24"/>
          <w:szCs w:val="24"/>
        </w:rPr>
      </w:pPr>
      <w:r w:rsidRPr="00222019">
        <w:rPr>
          <w:rStyle w:val="FootnoteReference"/>
          <w:sz w:val="24"/>
          <w:szCs w:val="24"/>
        </w:rPr>
        <w:footnoteRef/>
      </w:r>
      <w:r w:rsidRPr="00222019">
        <w:rPr>
          <w:sz w:val="24"/>
          <w:szCs w:val="24"/>
        </w:rPr>
        <w:t xml:space="preserve"> Sheriff Woody also makes the same mistake as the </w:t>
      </w:r>
      <w:r w:rsidRPr="00222019">
        <w:rPr>
          <w:i/>
          <w:sz w:val="24"/>
          <w:szCs w:val="24"/>
        </w:rPr>
        <w:t>Myers</w:t>
      </w:r>
      <w:r w:rsidRPr="00222019">
        <w:rPr>
          <w:sz w:val="24"/>
          <w:szCs w:val="24"/>
        </w:rPr>
        <w:t xml:space="preserve"> court in citing a pre-amendment Rehabilitation Act case, </w:t>
      </w:r>
      <w:r w:rsidRPr="00222019">
        <w:rPr>
          <w:i/>
          <w:sz w:val="24"/>
          <w:szCs w:val="24"/>
        </w:rPr>
        <w:t>Carter v. Tisch</w:t>
      </w:r>
      <w:r w:rsidRPr="00222019">
        <w:rPr>
          <w:sz w:val="24"/>
          <w:szCs w:val="24"/>
        </w:rPr>
        <w:t xml:space="preserve">, 822 F.2d 465 (4th Cir. 1987), for the proposition that the ADA does not require reassignment.  Def.’s Mem. </w:t>
      </w:r>
      <w:r>
        <w:rPr>
          <w:sz w:val="24"/>
          <w:szCs w:val="24"/>
        </w:rPr>
        <w:t>at</w:t>
      </w:r>
      <w:r w:rsidRPr="00222019">
        <w:rPr>
          <w:sz w:val="24"/>
          <w:szCs w:val="24"/>
        </w:rPr>
        <w:t xml:space="preserve"> 21.  But the ADA has required “reassignment to a vacant position” as a reasonable accommodation since it was passed, and the Rehabilitation Act was amended in 1992 to include the same provision.  </w:t>
      </w:r>
      <w:r w:rsidRPr="00222019">
        <w:rPr>
          <w:i/>
          <w:sz w:val="24"/>
          <w:szCs w:val="24"/>
        </w:rPr>
        <w:t xml:space="preserve">See Bratten v. SSI Servs., Inc., </w:t>
      </w:r>
      <w:r w:rsidRPr="00222019">
        <w:rPr>
          <w:sz w:val="24"/>
          <w:szCs w:val="24"/>
        </w:rPr>
        <w:t xml:space="preserve">185 F.3d 625, 633–34 (6th Cir. 1999) (“[P]re–1992 Rehabilitation Act decisions . . . holding that re-assignment is not a reasonable accommodation are no longer good law . . . and </w:t>
      </w:r>
      <w:r w:rsidRPr="00222019">
        <w:rPr>
          <w:i/>
          <w:sz w:val="24"/>
          <w:szCs w:val="24"/>
        </w:rPr>
        <w:t>Myers</w:t>
      </w:r>
      <w:r w:rsidRPr="00222019">
        <w:rPr>
          <w:sz w:val="24"/>
          <w:szCs w:val="24"/>
        </w:rPr>
        <w:t xml:space="preserve"> was wrong to suggest otherwise.”); </w:t>
      </w:r>
      <w:r w:rsidRPr="00222019">
        <w:rPr>
          <w:i/>
          <w:sz w:val="24"/>
          <w:szCs w:val="24"/>
        </w:rPr>
        <w:t>see also Cravens v. Blue Cross &amp; Blue Shield of Kansas City</w:t>
      </w:r>
      <w:r w:rsidRPr="00222019">
        <w:rPr>
          <w:sz w:val="24"/>
          <w:szCs w:val="24"/>
        </w:rPr>
        <w:t>, 214 F.3d 1011, 1019 n.4 (8th Cir. 2000) (“</w:t>
      </w:r>
      <w:r w:rsidRPr="00222019">
        <w:rPr>
          <w:i/>
          <w:sz w:val="24"/>
          <w:szCs w:val="24"/>
        </w:rPr>
        <w:t>Myers</w:t>
      </w:r>
      <w:r w:rsidRPr="00222019">
        <w:rPr>
          <w:sz w:val="24"/>
          <w:szCs w:val="24"/>
        </w:rPr>
        <w:t xml:space="preserve"> has been sharply criticized for basing its proposition on case law now apparently superseded by statute.”).</w:t>
      </w:r>
    </w:p>
  </w:footnote>
  <w:footnote w:id="4">
    <w:p w:rsidR="00C206DB" w:rsidRDefault="00C206DB" w:rsidP="0090616E">
      <w:pPr>
        <w:pStyle w:val="FootnoteText"/>
        <w:rPr>
          <w:sz w:val="24"/>
          <w:szCs w:val="24"/>
        </w:rPr>
      </w:pPr>
      <w:r w:rsidRPr="00222019">
        <w:rPr>
          <w:rStyle w:val="FootnoteReference"/>
          <w:sz w:val="24"/>
          <w:szCs w:val="24"/>
        </w:rPr>
        <w:footnoteRef/>
      </w:r>
      <w:r w:rsidRPr="00222019">
        <w:rPr>
          <w:sz w:val="24"/>
          <w:szCs w:val="24"/>
        </w:rPr>
        <w:t xml:space="preserve"> To the extent Sheriff Woody hopes to rely on dicta from </w:t>
      </w:r>
      <w:r w:rsidRPr="00222019">
        <w:rPr>
          <w:i/>
          <w:sz w:val="24"/>
          <w:szCs w:val="24"/>
        </w:rPr>
        <w:t>Terrell</w:t>
      </w:r>
      <w:r w:rsidRPr="00222019">
        <w:rPr>
          <w:sz w:val="24"/>
          <w:szCs w:val="24"/>
        </w:rPr>
        <w:t xml:space="preserve"> suggesting that “Congress, in enacting the ADA, [did not] intend[] to grant preferential treatment for disabled workers,” </w:t>
      </w:r>
      <w:r w:rsidRPr="00222019">
        <w:rPr>
          <w:i/>
          <w:sz w:val="24"/>
          <w:szCs w:val="24"/>
        </w:rPr>
        <w:t>id.</w:t>
      </w:r>
      <w:r w:rsidRPr="00222019">
        <w:rPr>
          <w:sz w:val="24"/>
          <w:szCs w:val="24"/>
        </w:rPr>
        <w:t xml:space="preserve"> at 627, the Supreme Court has rejected that suggestion.  “[T]he Act specifies . . . that preferences will sometimes prove necessary to achieve the Act’s basic equal opportunity goal . . . By definition any special ‘accommodation’ requires the employer to treat an employee with a disability differently, </w:t>
      </w:r>
      <w:r w:rsidRPr="00222019">
        <w:rPr>
          <w:i/>
          <w:sz w:val="24"/>
          <w:szCs w:val="24"/>
        </w:rPr>
        <w:t>i.e.</w:t>
      </w:r>
      <w:r w:rsidRPr="00222019">
        <w:rPr>
          <w:sz w:val="24"/>
          <w:szCs w:val="24"/>
        </w:rPr>
        <w:t xml:space="preserve">, preferentially.”  </w:t>
      </w:r>
      <w:r w:rsidRPr="00222019">
        <w:rPr>
          <w:i/>
          <w:sz w:val="24"/>
          <w:szCs w:val="24"/>
        </w:rPr>
        <w:t>Barnett</w:t>
      </w:r>
      <w:r w:rsidRPr="00222019">
        <w:rPr>
          <w:sz w:val="24"/>
          <w:szCs w:val="24"/>
        </w:rPr>
        <w:t>, 535 U.S. at 397.</w:t>
      </w:r>
    </w:p>
    <w:p w:rsidR="00C206DB" w:rsidRPr="00222019" w:rsidRDefault="00C206DB" w:rsidP="0090616E">
      <w:pPr>
        <w:pStyle w:val="FootnoteText"/>
        <w:rPr>
          <w:sz w:val="24"/>
          <w:szCs w:val="24"/>
        </w:rPr>
      </w:pPr>
    </w:p>
  </w:footnote>
  <w:footnote w:id="5">
    <w:p w:rsidR="00C206DB" w:rsidRPr="00222019" w:rsidRDefault="00C206DB">
      <w:pPr>
        <w:pStyle w:val="FootnoteText"/>
        <w:rPr>
          <w:sz w:val="24"/>
          <w:szCs w:val="24"/>
        </w:rPr>
      </w:pPr>
      <w:r w:rsidRPr="00222019">
        <w:rPr>
          <w:rStyle w:val="FootnoteReference"/>
          <w:sz w:val="24"/>
          <w:szCs w:val="24"/>
        </w:rPr>
        <w:footnoteRef/>
      </w:r>
      <w:r w:rsidRPr="00222019">
        <w:rPr>
          <w:sz w:val="24"/>
          <w:szCs w:val="24"/>
        </w:rPr>
        <w:t xml:space="preserve"> EEOC Guidance (reassignment is “the reasonable accommodation of last resort [] required only after it has been determined that . . . there are no effective accommodations that will enable the employee to perform the essential functions of his/her current position”).</w:t>
      </w:r>
    </w:p>
  </w:footnote>
  <w:footnote w:id="6">
    <w:p w:rsidR="00C206DB" w:rsidRPr="00222019" w:rsidRDefault="00C206DB" w:rsidP="004600D0">
      <w:pPr>
        <w:pStyle w:val="FootnoteText"/>
        <w:rPr>
          <w:sz w:val="24"/>
          <w:szCs w:val="24"/>
        </w:rPr>
      </w:pPr>
      <w:r w:rsidRPr="00222019">
        <w:rPr>
          <w:rStyle w:val="FootnoteReference"/>
          <w:sz w:val="24"/>
          <w:szCs w:val="24"/>
        </w:rPr>
        <w:footnoteRef/>
      </w:r>
      <w:r w:rsidRPr="00222019">
        <w:rPr>
          <w:sz w:val="24"/>
          <w:szCs w:val="24"/>
        </w:rPr>
        <w:t xml:space="preserve"> Sheriff Woody also argues that he was not required to deviate from his policy regarding light duty to accommodate Ms. Hall</w:t>
      </w:r>
      <w:r>
        <w:rPr>
          <w:sz w:val="24"/>
          <w:szCs w:val="24"/>
        </w:rPr>
        <w:t>, but t</w:t>
      </w:r>
      <w:r w:rsidRPr="00222019">
        <w:rPr>
          <w:sz w:val="24"/>
          <w:szCs w:val="24"/>
        </w:rPr>
        <w:t>he United States does not argue that Sheriff Woody should have granted Ms. Hall permanent light duty.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09D"/>
    <w:multiLevelType w:val="hybridMultilevel"/>
    <w:tmpl w:val="8EF60FCC"/>
    <w:lvl w:ilvl="0" w:tplc="CFC669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727C73"/>
    <w:multiLevelType w:val="hybridMultilevel"/>
    <w:tmpl w:val="9A1EEC90"/>
    <w:lvl w:ilvl="0" w:tplc="912E14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B7039"/>
    <w:multiLevelType w:val="hybridMultilevel"/>
    <w:tmpl w:val="F4889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EB3B0F"/>
    <w:multiLevelType w:val="hybridMultilevel"/>
    <w:tmpl w:val="5B122F14"/>
    <w:lvl w:ilvl="0" w:tplc="465C85C4">
      <w:start w:val="1"/>
      <w:numFmt w:val="decimal"/>
      <w:lvlText w:val="%1."/>
      <w:lvlJc w:val="left"/>
      <w:pPr>
        <w:ind w:left="1081" w:hanging="360"/>
      </w:p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start w:val="1"/>
      <w:numFmt w:val="decimal"/>
      <w:lvlText w:val="%4."/>
      <w:lvlJc w:val="left"/>
      <w:pPr>
        <w:ind w:left="3241" w:hanging="360"/>
      </w:pPr>
    </w:lvl>
    <w:lvl w:ilvl="4" w:tplc="04090019">
      <w:start w:val="1"/>
      <w:numFmt w:val="lowerLetter"/>
      <w:lvlText w:val="%5."/>
      <w:lvlJc w:val="left"/>
      <w:pPr>
        <w:ind w:left="3961" w:hanging="360"/>
      </w:pPr>
    </w:lvl>
    <w:lvl w:ilvl="5" w:tplc="0409001B">
      <w:start w:val="1"/>
      <w:numFmt w:val="lowerRoman"/>
      <w:lvlText w:val="%6."/>
      <w:lvlJc w:val="right"/>
      <w:pPr>
        <w:ind w:left="4681" w:hanging="180"/>
      </w:pPr>
    </w:lvl>
    <w:lvl w:ilvl="6" w:tplc="0409000F">
      <w:start w:val="1"/>
      <w:numFmt w:val="decimal"/>
      <w:lvlText w:val="%7."/>
      <w:lvlJc w:val="left"/>
      <w:pPr>
        <w:ind w:left="5401" w:hanging="360"/>
      </w:pPr>
    </w:lvl>
    <w:lvl w:ilvl="7" w:tplc="04090019">
      <w:start w:val="1"/>
      <w:numFmt w:val="lowerLetter"/>
      <w:lvlText w:val="%8."/>
      <w:lvlJc w:val="left"/>
      <w:pPr>
        <w:ind w:left="6121" w:hanging="360"/>
      </w:pPr>
    </w:lvl>
    <w:lvl w:ilvl="8" w:tplc="0409001B">
      <w:start w:val="1"/>
      <w:numFmt w:val="lowerRoman"/>
      <w:lvlText w:val="%9."/>
      <w:lvlJc w:val="right"/>
      <w:pPr>
        <w:ind w:left="6841" w:hanging="180"/>
      </w:pPr>
    </w:lvl>
  </w:abstractNum>
  <w:abstractNum w:abstractNumId="4">
    <w:nsid w:val="1E9A2915"/>
    <w:multiLevelType w:val="hybridMultilevel"/>
    <w:tmpl w:val="5B122F14"/>
    <w:lvl w:ilvl="0" w:tplc="465C85C4">
      <w:start w:val="1"/>
      <w:numFmt w:val="decimal"/>
      <w:lvlText w:val="%1."/>
      <w:lvlJc w:val="left"/>
      <w:pPr>
        <w:ind w:left="1081" w:hanging="360"/>
      </w:p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start w:val="1"/>
      <w:numFmt w:val="decimal"/>
      <w:lvlText w:val="%4."/>
      <w:lvlJc w:val="left"/>
      <w:pPr>
        <w:ind w:left="3241" w:hanging="360"/>
      </w:pPr>
    </w:lvl>
    <w:lvl w:ilvl="4" w:tplc="04090019">
      <w:start w:val="1"/>
      <w:numFmt w:val="lowerLetter"/>
      <w:lvlText w:val="%5."/>
      <w:lvlJc w:val="left"/>
      <w:pPr>
        <w:ind w:left="3961" w:hanging="360"/>
      </w:pPr>
    </w:lvl>
    <w:lvl w:ilvl="5" w:tplc="0409001B">
      <w:start w:val="1"/>
      <w:numFmt w:val="lowerRoman"/>
      <w:lvlText w:val="%6."/>
      <w:lvlJc w:val="right"/>
      <w:pPr>
        <w:ind w:left="4681" w:hanging="180"/>
      </w:pPr>
    </w:lvl>
    <w:lvl w:ilvl="6" w:tplc="0409000F">
      <w:start w:val="1"/>
      <w:numFmt w:val="decimal"/>
      <w:lvlText w:val="%7."/>
      <w:lvlJc w:val="left"/>
      <w:pPr>
        <w:ind w:left="5401" w:hanging="360"/>
      </w:pPr>
    </w:lvl>
    <w:lvl w:ilvl="7" w:tplc="04090019">
      <w:start w:val="1"/>
      <w:numFmt w:val="lowerLetter"/>
      <w:lvlText w:val="%8."/>
      <w:lvlJc w:val="left"/>
      <w:pPr>
        <w:ind w:left="6121" w:hanging="360"/>
      </w:pPr>
    </w:lvl>
    <w:lvl w:ilvl="8" w:tplc="0409001B">
      <w:start w:val="1"/>
      <w:numFmt w:val="lowerRoman"/>
      <w:lvlText w:val="%9."/>
      <w:lvlJc w:val="right"/>
      <w:pPr>
        <w:ind w:left="6841" w:hanging="180"/>
      </w:pPr>
    </w:lvl>
  </w:abstractNum>
  <w:abstractNum w:abstractNumId="5">
    <w:nsid w:val="1F500AC2"/>
    <w:multiLevelType w:val="hybridMultilevel"/>
    <w:tmpl w:val="8E223C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13345"/>
    <w:multiLevelType w:val="hybridMultilevel"/>
    <w:tmpl w:val="44329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65557E"/>
    <w:multiLevelType w:val="hybridMultilevel"/>
    <w:tmpl w:val="2A068812"/>
    <w:lvl w:ilvl="0" w:tplc="80A486F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51539"/>
    <w:multiLevelType w:val="hybridMultilevel"/>
    <w:tmpl w:val="EBA4AE4A"/>
    <w:lvl w:ilvl="0" w:tplc="BF5A6EA0">
      <w:start w:val="11"/>
      <w:numFmt w:val="decimal"/>
      <w:lvlText w:val="%1."/>
      <w:lvlJc w:val="left"/>
      <w:pPr>
        <w:ind w:left="1595" w:hanging="695"/>
      </w:pPr>
      <w:rPr>
        <w:rFonts w:ascii="Times New Roman" w:eastAsia="Times New Roman" w:hAnsi="Times New Roman" w:cs="Times New Roman" w:hint="default"/>
        <w:color w:val="3A3A3A"/>
        <w:w w:val="102"/>
        <w:sz w:val="24"/>
        <w:szCs w:val="24"/>
      </w:rPr>
    </w:lvl>
    <w:lvl w:ilvl="1" w:tplc="C06693AC">
      <w:start w:val="1"/>
      <w:numFmt w:val="bullet"/>
      <w:lvlText w:val="•"/>
      <w:lvlJc w:val="left"/>
      <w:pPr>
        <w:ind w:left="1070" w:hanging="695"/>
      </w:pPr>
    </w:lvl>
    <w:lvl w:ilvl="2" w:tplc="964433DA">
      <w:start w:val="1"/>
      <w:numFmt w:val="bullet"/>
      <w:lvlText w:val="•"/>
      <w:lvlJc w:val="left"/>
      <w:pPr>
        <w:ind w:left="2017" w:hanging="695"/>
      </w:pPr>
    </w:lvl>
    <w:lvl w:ilvl="3" w:tplc="A5E6D6C4">
      <w:start w:val="1"/>
      <w:numFmt w:val="bullet"/>
      <w:lvlText w:val="•"/>
      <w:lvlJc w:val="left"/>
      <w:pPr>
        <w:ind w:left="2965" w:hanging="695"/>
      </w:pPr>
    </w:lvl>
    <w:lvl w:ilvl="4" w:tplc="A9CC9BF8">
      <w:start w:val="1"/>
      <w:numFmt w:val="bullet"/>
      <w:lvlText w:val="•"/>
      <w:lvlJc w:val="left"/>
      <w:pPr>
        <w:ind w:left="3913" w:hanging="695"/>
      </w:pPr>
    </w:lvl>
    <w:lvl w:ilvl="5" w:tplc="DF52FD36">
      <w:start w:val="1"/>
      <w:numFmt w:val="bullet"/>
      <w:lvlText w:val="•"/>
      <w:lvlJc w:val="left"/>
      <w:pPr>
        <w:ind w:left="4861" w:hanging="695"/>
      </w:pPr>
    </w:lvl>
    <w:lvl w:ilvl="6" w:tplc="C504E710">
      <w:start w:val="1"/>
      <w:numFmt w:val="bullet"/>
      <w:lvlText w:val="•"/>
      <w:lvlJc w:val="left"/>
      <w:pPr>
        <w:ind w:left="5808" w:hanging="695"/>
      </w:pPr>
    </w:lvl>
    <w:lvl w:ilvl="7" w:tplc="D81EA5CE">
      <w:start w:val="1"/>
      <w:numFmt w:val="bullet"/>
      <w:lvlText w:val="•"/>
      <w:lvlJc w:val="left"/>
      <w:pPr>
        <w:ind w:left="6756" w:hanging="695"/>
      </w:pPr>
    </w:lvl>
    <w:lvl w:ilvl="8" w:tplc="4162DF8C">
      <w:start w:val="1"/>
      <w:numFmt w:val="bullet"/>
      <w:lvlText w:val="•"/>
      <w:lvlJc w:val="left"/>
      <w:pPr>
        <w:ind w:left="7704" w:hanging="695"/>
      </w:pPr>
    </w:lvl>
  </w:abstractNum>
  <w:abstractNum w:abstractNumId="9">
    <w:nsid w:val="3D7E5BF9"/>
    <w:multiLevelType w:val="hybridMultilevel"/>
    <w:tmpl w:val="60AE84E4"/>
    <w:lvl w:ilvl="0" w:tplc="A09633D8">
      <w:start w:val="1"/>
      <w:numFmt w:val="decimal"/>
      <w:lvlText w:val="%1."/>
      <w:lvlJc w:val="left"/>
      <w:pPr>
        <w:ind w:left="136" w:hanging="688"/>
      </w:pPr>
      <w:rPr>
        <w:rFonts w:ascii="Times New Roman" w:eastAsia="Times New Roman" w:hAnsi="Times New Roman" w:cs="Times New Roman" w:hint="default"/>
        <w:color w:val="3B3B3B"/>
        <w:w w:val="106"/>
        <w:sz w:val="22"/>
        <w:szCs w:val="22"/>
      </w:rPr>
    </w:lvl>
    <w:lvl w:ilvl="1" w:tplc="65B6857A">
      <w:start w:val="1"/>
      <w:numFmt w:val="bullet"/>
      <w:lvlText w:val="•"/>
      <w:lvlJc w:val="left"/>
      <w:pPr>
        <w:ind w:left="1081" w:hanging="688"/>
      </w:pPr>
    </w:lvl>
    <w:lvl w:ilvl="2" w:tplc="0D526ADA">
      <w:start w:val="1"/>
      <w:numFmt w:val="bullet"/>
      <w:lvlText w:val="•"/>
      <w:lvlJc w:val="left"/>
      <w:pPr>
        <w:ind w:left="2025" w:hanging="688"/>
      </w:pPr>
    </w:lvl>
    <w:lvl w:ilvl="3" w:tplc="B414D728">
      <w:start w:val="1"/>
      <w:numFmt w:val="bullet"/>
      <w:lvlText w:val="•"/>
      <w:lvlJc w:val="left"/>
      <w:pPr>
        <w:ind w:left="2969" w:hanging="688"/>
      </w:pPr>
    </w:lvl>
    <w:lvl w:ilvl="4" w:tplc="DA323A90">
      <w:start w:val="1"/>
      <w:numFmt w:val="bullet"/>
      <w:lvlText w:val="•"/>
      <w:lvlJc w:val="left"/>
      <w:pPr>
        <w:ind w:left="3914" w:hanging="688"/>
      </w:pPr>
    </w:lvl>
    <w:lvl w:ilvl="5" w:tplc="099E30B2">
      <w:start w:val="1"/>
      <w:numFmt w:val="bullet"/>
      <w:lvlText w:val="•"/>
      <w:lvlJc w:val="left"/>
      <w:pPr>
        <w:ind w:left="4858" w:hanging="688"/>
      </w:pPr>
    </w:lvl>
    <w:lvl w:ilvl="6" w:tplc="6B480E9C">
      <w:start w:val="1"/>
      <w:numFmt w:val="bullet"/>
      <w:lvlText w:val="•"/>
      <w:lvlJc w:val="left"/>
      <w:pPr>
        <w:ind w:left="5802" w:hanging="688"/>
      </w:pPr>
    </w:lvl>
    <w:lvl w:ilvl="7" w:tplc="DCAAF44C">
      <w:start w:val="1"/>
      <w:numFmt w:val="bullet"/>
      <w:lvlText w:val="•"/>
      <w:lvlJc w:val="left"/>
      <w:pPr>
        <w:ind w:left="6747" w:hanging="688"/>
      </w:pPr>
    </w:lvl>
    <w:lvl w:ilvl="8" w:tplc="9F4C9840">
      <w:start w:val="1"/>
      <w:numFmt w:val="bullet"/>
      <w:lvlText w:val="•"/>
      <w:lvlJc w:val="left"/>
      <w:pPr>
        <w:ind w:left="7691" w:hanging="688"/>
      </w:pPr>
    </w:lvl>
  </w:abstractNum>
  <w:abstractNum w:abstractNumId="10">
    <w:nsid w:val="4F507AF6"/>
    <w:multiLevelType w:val="hybridMultilevel"/>
    <w:tmpl w:val="2E0A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D1A60"/>
    <w:multiLevelType w:val="hybridMultilevel"/>
    <w:tmpl w:val="03A2CD58"/>
    <w:lvl w:ilvl="0" w:tplc="8F0889D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A4FF3"/>
    <w:multiLevelType w:val="hybridMultilevel"/>
    <w:tmpl w:val="E9B0B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D7BF3"/>
    <w:multiLevelType w:val="hybridMultilevel"/>
    <w:tmpl w:val="8E223C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D9112F"/>
    <w:multiLevelType w:val="hybridMultilevel"/>
    <w:tmpl w:val="D8D06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115E6"/>
    <w:multiLevelType w:val="hybridMultilevel"/>
    <w:tmpl w:val="5738739C"/>
    <w:lvl w:ilvl="0" w:tplc="8E48E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573A2F"/>
    <w:multiLevelType w:val="hybridMultilevel"/>
    <w:tmpl w:val="2A30F826"/>
    <w:lvl w:ilvl="0" w:tplc="0FD0F9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946BCB"/>
    <w:multiLevelType w:val="hybridMultilevel"/>
    <w:tmpl w:val="08FCEB4E"/>
    <w:lvl w:ilvl="0" w:tplc="C5FCF558">
      <w:start w:val="1"/>
      <w:numFmt w:val="decimal"/>
      <w:lvlText w:val="%1."/>
      <w:lvlJc w:val="left"/>
      <w:pPr>
        <w:ind w:left="1416" w:hanging="696"/>
      </w:pPr>
      <w:rPr>
        <w:rFonts w:ascii="Times New Roman" w:eastAsia="Times New Roman" w:hAnsi="Times New Roman" w:cs="Times New Roman" w:hint="default"/>
        <w:color w:val="3A3A3A"/>
        <w:w w:val="102"/>
        <w:sz w:val="24"/>
        <w:szCs w:val="24"/>
      </w:rPr>
    </w:lvl>
    <w:lvl w:ilvl="1" w:tplc="C49082FA">
      <w:start w:val="1"/>
      <w:numFmt w:val="bullet"/>
      <w:lvlText w:val="•"/>
      <w:lvlJc w:val="left"/>
      <w:pPr>
        <w:ind w:left="2358" w:hanging="696"/>
      </w:pPr>
    </w:lvl>
    <w:lvl w:ilvl="2" w:tplc="34089518">
      <w:start w:val="1"/>
      <w:numFmt w:val="bullet"/>
      <w:lvlText w:val="•"/>
      <w:lvlJc w:val="left"/>
      <w:pPr>
        <w:ind w:left="3300" w:hanging="696"/>
      </w:pPr>
    </w:lvl>
    <w:lvl w:ilvl="3" w:tplc="2C9CDE74">
      <w:start w:val="1"/>
      <w:numFmt w:val="bullet"/>
      <w:lvlText w:val="•"/>
      <w:lvlJc w:val="left"/>
      <w:pPr>
        <w:ind w:left="4242" w:hanging="696"/>
      </w:pPr>
    </w:lvl>
    <w:lvl w:ilvl="4" w:tplc="9000EA5C">
      <w:start w:val="1"/>
      <w:numFmt w:val="bullet"/>
      <w:lvlText w:val="•"/>
      <w:lvlJc w:val="left"/>
      <w:pPr>
        <w:ind w:left="5185" w:hanging="696"/>
      </w:pPr>
    </w:lvl>
    <w:lvl w:ilvl="5" w:tplc="8348E3A8">
      <w:start w:val="1"/>
      <w:numFmt w:val="bullet"/>
      <w:lvlText w:val="•"/>
      <w:lvlJc w:val="left"/>
      <w:pPr>
        <w:ind w:left="6127" w:hanging="696"/>
      </w:pPr>
    </w:lvl>
    <w:lvl w:ilvl="6" w:tplc="4A6800A8">
      <w:start w:val="1"/>
      <w:numFmt w:val="bullet"/>
      <w:lvlText w:val="•"/>
      <w:lvlJc w:val="left"/>
      <w:pPr>
        <w:ind w:left="7069" w:hanging="696"/>
      </w:pPr>
    </w:lvl>
    <w:lvl w:ilvl="7" w:tplc="90FC7C5A">
      <w:start w:val="1"/>
      <w:numFmt w:val="bullet"/>
      <w:lvlText w:val="•"/>
      <w:lvlJc w:val="left"/>
      <w:pPr>
        <w:ind w:left="8011" w:hanging="696"/>
      </w:pPr>
    </w:lvl>
    <w:lvl w:ilvl="8" w:tplc="1D3603A4">
      <w:start w:val="1"/>
      <w:numFmt w:val="bullet"/>
      <w:lvlText w:val="•"/>
      <w:lvlJc w:val="left"/>
      <w:pPr>
        <w:ind w:left="8953" w:hanging="696"/>
      </w:pPr>
    </w:lvl>
  </w:abstractNum>
  <w:abstractNum w:abstractNumId="18">
    <w:nsid w:val="655254B0"/>
    <w:multiLevelType w:val="hybridMultilevel"/>
    <w:tmpl w:val="CA62BA4C"/>
    <w:lvl w:ilvl="0" w:tplc="7E24C6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9F57BD"/>
    <w:multiLevelType w:val="hybridMultilevel"/>
    <w:tmpl w:val="2A30F826"/>
    <w:lvl w:ilvl="0" w:tplc="0FD0F9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EC0B69"/>
    <w:multiLevelType w:val="hybridMultilevel"/>
    <w:tmpl w:val="B6B0F33A"/>
    <w:lvl w:ilvl="0" w:tplc="A6CC4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995AF4"/>
    <w:multiLevelType w:val="hybridMultilevel"/>
    <w:tmpl w:val="6BFE4A8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E58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22"/>
  </w:num>
  <w:num w:numId="4">
    <w:abstractNumId w:val="21"/>
  </w:num>
  <w:num w:numId="5">
    <w:abstractNumId w:val="5"/>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4"/>
  </w:num>
  <w:num w:numId="16">
    <w:abstractNumId w:val="2"/>
  </w:num>
  <w:num w:numId="17">
    <w:abstractNumId w:val="3"/>
  </w:num>
  <w:num w:numId="18">
    <w:abstractNumId w:val="7"/>
  </w:num>
  <w:num w:numId="19">
    <w:abstractNumId w:val="14"/>
  </w:num>
  <w:num w:numId="20">
    <w:abstractNumId w:val="16"/>
  </w:num>
  <w:num w:numId="21">
    <w:abstractNumId w:val="19"/>
  </w:num>
  <w:num w:numId="22">
    <w:abstractNumId w:val="18"/>
  </w:num>
  <w:num w:numId="23">
    <w:abstractNumId w:val="0"/>
  </w:num>
  <w:num w:numId="24">
    <w:abstractNumId w:val="1"/>
  </w:num>
  <w:num w:numId="25">
    <w:abstractNumId w:val="2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FormatFilter w:val="1024"/>
  <w:defaultTabStop w:val="720"/>
  <w:characterSpacingControl w:val="doNotCompress"/>
  <w:footnotePr>
    <w:footnote w:id="-1"/>
    <w:footnote w:id="0"/>
  </w:footnotePr>
  <w:endnotePr>
    <w:endnote w:id="-1"/>
    <w:endnote w:id="0"/>
  </w:endnotePr>
  <w:compat/>
  <w:rsids>
    <w:rsidRoot w:val="00302172"/>
    <w:rsid w:val="00013E38"/>
    <w:rsid w:val="00013F2D"/>
    <w:rsid w:val="00032A7C"/>
    <w:rsid w:val="00035DD2"/>
    <w:rsid w:val="00040A85"/>
    <w:rsid w:val="00041267"/>
    <w:rsid w:val="000424FB"/>
    <w:rsid w:val="0004465E"/>
    <w:rsid w:val="0005495D"/>
    <w:rsid w:val="00056324"/>
    <w:rsid w:val="00061A10"/>
    <w:rsid w:val="00065E27"/>
    <w:rsid w:val="00066F7B"/>
    <w:rsid w:val="00066FA5"/>
    <w:rsid w:val="00067570"/>
    <w:rsid w:val="0007795B"/>
    <w:rsid w:val="000866CB"/>
    <w:rsid w:val="0009079F"/>
    <w:rsid w:val="0009219D"/>
    <w:rsid w:val="000A0D87"/>
    <w:rsid w:val="000B1DCC"/>
    <w:rsid w:val="000B44B2"/>
    <w:rsid w:val="000B53D8"/>
    <w:rsid w:val="000D4660"/>
    <w:rsid w:val="000D6017"/>
    <w:rsid w:val="000F28AC"/>
    <w:rsid w:val="000F39EE"/>
    <w:rsid w:val="00100249"/>
    <w:rsid w:val="00100554"/>
    <w:rsid w:val="0010551C"/>
    <w:rsid w:val="0011270B"/>
    <w:rsid w:val="001159C1"/>
    <w:rsid w:val="00134D38"/>
    <w:rsid w:val="0013555B"/>
    <w:rsid w:val="00147724"/>
    <w:rsid w:val="00152788"/>
    <w:rsid w:val="00162075"/>
    <w:rsid w:val="00176D60"/>
    <w:rsid w:val="0018799B"/>
    <w:rsid w:val="00192BA9"/>
    <w:rsid w:val="001C429A"/>
    <w:rsid w:val="001E3786"/>
    <w:rsid w:val="001E495B"/>
    <w:rsid w:val="001E6083"/>
    <w:rsid w:val="001E6370"/>
    <w:rsid w:val="001F0E4A"/>
    <w:rsid w:val="001F4460"/>
    <w:rsid w:val="001F4B62"/>
    <w:rsid w:val="002013BE"/>
    <w:rsid w:val="00205700"/>
    <w:rsid w:val="00211E9F"/>
    <w:rsid w:val="00222019"/>
    <w:rsid w:val="0022651E"/>
    <w:rsid w:val="0023040A"/>
    <w:rsid w:val="0023347C"/>
    <w:rsid w:val="00241071"/>
    <w:rsid w:val="0024359C"/>
    <w:rsid w:val="00256011"/>
    <w:rsid w:val="0027461D"/>
    <w:rsid w:val="00280EB6"/>
    <w:rsid w:val="002855F9"/>
    <w:rsid w:val="00294BBF"/>
    <w:rsid w:val="002B29CB"/>
    <w:rsid w:val="002B2AAD"/>
    <w:rsid w:val="002C20D8"/>
    <w:rsid w:val="002C46C1"/>
    <w:rsid w:val="002C4BB1"/>
    <w:rsid w:val="002C50D1"/>
    <w:rsid w:val="002C5DBA"/>
    <w:rsid w:val="002D33A2"/>
    <w:rsid w:val="002D5069"/>
    <w:rsid w:val="002F3B68"/>
    <w:rsid w:val="00302172"/>
    <w:rsid w:val="003023B4"/>
    <w:rsid w:val="003050A8"/>
    <w:rsid w:val="003051CA"/>
    <w:rsid w:val="00314844"/>
    <w:rsid w:val="00314F70"/>
    <w:rsid w:val="003175B5"/>
    <w:rsid w:val="00326680"/>
    <w:rsid w:val="003326C7"/>
    <w:rsid w:val="00332898"/>
    <w:rsid w:val="00335867"/>
    <w:rsid w:val="00344B2F"/>
    <w:rsid w:val="0034507D"/>
    <w:rsid w:val="003527E5"/>
    <w:rsid w:val="003564ED"/>
    <w:rsid w:val="00357C7A"/>
    <w:rsid w:val="0037619F"/>
    <w:rsid w:val="003902DE"/>
    <w:rsid w:val="00396FFF"/>
    <w:rsid w:val="00397591"/>
    <w:rsid w:val="003A0187"/>
    <w:rsid w:val="003A36BF"/>
    <w:rsid w:val="003B5D71"/>
    <w:rsid w:val="003D2A26"/>
    <w:rsid w:val="003E0031"/>
    <w:rsid w:val="003F3BA4"/>
    <w:rsid w:val="003F4DF4"/>
    <w:rsid w:val="004032EE"/>
    <w:rsid w:val="004033B4"/>
    <w:rsid w:val="00411D94"/>
    <w:rsid w:val="00422CF3"/>
    <w:rsid w:val="00427E43"/>
    <w:rsid w:val="00431941"/>
    <w:rsid w:val="004326EB"/>
    <w:rsid w:val="004339DC"/>
    <w:rsid w:val="00436611"/>
    <w:rsid w:val="00440A9A"/>
    <w:rsid w:val="00444A6F"/>
    <w:rsid w:val="00456F51"/>
    <w:rsid w:val="004600D0"/>
    <w:rsid w:val="00463607"/>
    <w:rsid w:val="004725FC"/>
    <w:rsid w:val="00486640"/>
    <w:rsid w:val="004A11F0"/>
    <w:rsid w:val="004A1DAD"/>
    <w:rsid w:val="004A434E"/>
    <w:rsid w:val="004B211B"/>
    <w:rsid w:val="004B226A"/>
    <w:rsid w:val="004B2A51"/>
    <w:rsid w:val="004C31D3"/>
    <w:rsid w:val="004C59AB"/>
    <w:rsid w:val="004E34B8"/>
    <w:rsid w:val="004E3A9A"/>
    <w:rsid w:val="005016E1"/>
    <w:rsid w:val="00501E60"/>
    <w:rsid w:val="0051013A"/>
    <w:rsid w:val="00513B85"/>
    <w:rsid w:val="0052224D"/>
    <w:rsid w:val="00526280"/>
    <w:rsid w:val="00552D00"/>
    <w:rsid w:val="00557CF1"/>
    <w:rsid w:val="00564FF5"/>
    <w:rsid w:val="0057424E"/>
    <w:rsid w:val="00576E64"/>
    <w:rsid w:val="00577172"/>
    <w:rsid w:val="00580558"/>
    <w:rsid w:val="0058271C"/>
    <w:rsid w:val="00584D3D"/>
    <w:rsid w:val="005972D0"/>
    <w:rsid w:val="005B0B77"/>
    <w:rsid w:val="005B5B7C"/>
    <w:rsid w:val="005C2077"/>
    <w:rsid w:val="005C3BF9"/>
    <w:rsid w:val="005D1831"/>
    <w:rsid w:val="005D61FB"/>
    <w:rsid w:val="005E37A2"/>
    <w:rsid w:val="005F35BE"/>
    <w:rsid w:val="005F5586"/>
    <w:rsid w:val="006003B4"/>
    <w:rsid w:val="00610DEB"/>
    <w:rsid w:val="006231F0"/>
    <w:rsid w:val="0062549E"/>
    <w:rsid w:val="00630433"/>
    <w:rsid w:val="00630B91"/>
    <w:rsid w:val="006330A5"/>
    <w:rsid w:val="00635F85"/>
    <w:rsid w:val="00637D3F"/>
    <w:rsid w:val="00642231"/>
    <w:rsid w:val="006476A9"/>
    <w:rsid w:val="006525D4"/>
    <w:rsid w:val="006538C6"/>
    <w:rsid w:val="006540E2"/>
    <w:rsid w:val="00656F8A"/>
    <w:rsid w:val="006614C4"/>
    <w:rsid w:val="00662899"/>
    <w:rsid w:val="0066451D"/>
    <w:rsid w:val="00665AEC"/>
    <w:rsid w:val="006729DC"/>
    <w:rsid w:val="00674216"/>
    <w:rsid w:val="00682642"/>
    <w:rsid w:val="00682D6B"/>
    <w:rsid w:val="006841C7"/>
    <w:rsid w:val="00684BAE"/>
    <w:rsid w:val="006A2C94"/>
    <w:rsid w:val="006B7253"/>
    <w:rsid w:val="006C4435"/>
    <w:rsid w:val="006C785C"/>
    <w:rsid w:val="006D6592"/>
    <w:rsid w:val="006E70E2"/>
    <w:rsid w:val="006F3569"/>
    <w:rsid w:val="006F3F04"/>
    <w:rsid w:val="00703D76"/>
    <w:rsid w:val="00715B1F"/>
    <w:rsid w:val="00727D83"/>
    <w:rsid w:val="007312D3"/>
    <w:rsid w:val="0073520E"/>
    <w:rsid w:val="00741D9F"/>
    <w:rsid w:val="00741F79"/>
    <w:rsid w:val="00743C5D"/>
    <w:rsid w:val="0075166E"/>
    <w:rsid w:val="00752526"/>
    <w:rsid w:val="00752ADE"/>
    <w:rsid w:val="0076303A"/>
    <w:rsid w:val="00773A06"/>
    <w:rsid w:val="00774163"/>
    <w:rsid w:val="0078016E"/>
    <w:rsid w:val="0078543E"/>
    <w:rsid w:val="00795A8D"/>
    <w:rsid w:val="007A3032"/>
    <w:rsid w:val="007C1894"/>
    <w:rsid w:val="007E0FBA"/>
    <w:rsid w:val="007E2412"/>
    <w:rsid w:val="007E77C3"/>
    <w:rsid w:val="007F01CB"/>
    <w:rsid w:val="007F154A"/>
    <w:rsid w:val="007F6856"/>
    <w:rsid w:val="00810EC2"/>
    <w:rsid w:val="008173DC"/>
    <w:rsid w:val="00845F4E"/>
    <w:rsid w:val="00850259"/>
    <w:rsid w:val="00855379"/>
    <w:rsid w:val="00863605"/>
    <w:rsid w:val="00864097"/>
    <w:rsid w:val="0086496B"/>
    <w:rsid w:val="008818BF"/>
    <w:rsid w:val="008819FB"/>
    <w:rsid w:val="00895BA0"/>
    <w:rsid w:val="008A02CA"/>
    <w:rsid w:val="008A03FD"/>
    <w:rsid w:val="008A5E22"/>
    <w:rsid w:val="008B50CD"/>
    <w:rsid w:val="008C0294"/>
    <w:rsid w:val="008C1917"/>
    <w:rsid w:val="008C4362"/>
    <w:rsid w:val="008D3F73"/>
    <w:rsid w:val="008D6CA1"/>
    <w:rsid w:val="008E2CE1"/>
    <w:rsid w:val="008F6864"/>
    <w:rsid w:val="009035DD"/>
    <w:rsid w:val="00903824"/>
    <w:rsid w:val="0090616E"/>
    <w:rsid w:val="00911F6B"/>
    <w:rsid w:val="009263B5"/>
    <w:rsid w:val="00931ABF"/>
    <w:rsid w:val="009322FB"/>
    <w:rsid w:val="00943D1D"/>
    <w:rsid w:val="00950949"/>
    <w:rsid w:val="00954F90"/>
    <w:rsid w:val="009600CB"/>
    <w:rsid w:val="00963813"/>
    <w:rsid w:val="009673AA"/>
    <w:rsid w:val="0096756B"/>
    <w:rsid w:val="0097283E"/>
    <w:rsid w:val="009833E4"/>
    <w:rsid w:val="009A5A4E"/>
    <w:rsid w:val="009B3D01"/>
    <w:rsid w:val="009B6411"/>
    <w:rsid w:val="009C1755"/>
    <w:rsid w:val="009C5D8D"/>
    <w:rsid w:val="009D1CE9"/>
    <w:rsid w:val="009D3616"/>
    <w:rsid w:val="009D5086"/>
    <w:rsid w:val="009D592A"/>
    <w:rsid w:val="009D7353"/>
    <w:rsid w:val="009E7498"/>
    <w:rsid w:val="009F1091"/>
    <w:rsid w:val="009F244C"/>
    <w:rsid w:val="009F7BF2"/>
    <w:rsid w:val="00A00C0C"/>
    <w:rsid w:val="00A06273"/>
    <w:rsid w:val="00A1507B"/>
    <w:rsid w:val="00A27B1C"/>
    <w:rsid w:val="00A30F5A"/>
    <w:rsid w:val="00A33143"/>
    <w:rsid w:val="00A34818"/>
    <w:rsid w:val="00A36873"/>
    <w:rsid w:val="00A44F51"/>
    <w:rsid w:val="00A4791F"/>
    <w:rsid w:val="00A53973"/>
    <w:rsid w:val="00A54B3B"/>
    <w:rsid w:val="00A62A65"/>
    <w:rsid w:val="00A63FCC"/>
    <w:rsid w:val="00A64E58"/>
    <w:rsid w:val="00A71BFD"/>
    <w:rsid w:val="00A72641"/>
    <w:rsid w:val="00A72882"/>
    <w:rsid w:val="00A748DA"/>
    <w:rsid w:val="00A84D12"/>
    <w:rsid w:val="00A874EC"/>
    <w:rsid w:val="00A96331"/>
    <w:rsid w:val="00AA242D"/>
    <w:rsid w:val="00AA28E7"/>
    <w:rsid w:val="00AA6154"/>
    <w:rsid w:val="00AB5723"/>
    <w:rsid w:val="00AB791E"/>
    <w:rsid w:val="00AC1F49"/>
    <w:rsid w:val="00AC224F"/>
    <w:rsid w:val="00AC553F"/>
    <w:rsid w:val="00AD63BF"/>
    <w:rsid w:val="00AE4F81"/>
    <w:rsid w:val="00AF7674"/>
    <w:rsid w:val="00B10FDD"/>
    <w:rsid w:val="00B12D74"/>
    <w:rsid w:val="00B17CDE"/>
    <w:rsid w:val="00B21801"/>
    <w:rsid w:val="00B23554"/>
    <w:rsid w:val="00B24B35"/>
    <w:rsid w:val="00B26D3C"/>
    <w:rsid w:val="00B412F4"/>
    <w:rsid w:val="00B41693"/>
    <w:rsid w:val="00B45310"/>
    <w:rsid w:val="00B540EA"/>
    <w:rsid w:val="00B61021"/>
    <w:rsid w:val="00B72AEF"/>
    <w:rsid w:val="00B74A81"/>
    <w:rsid w:val="00B86DD8"/>
    <w:rsid w:val="00B937ED"/>
    <w:rsid w:val="00BA4047"/>
    <w:rsid w:val="00BB07F1"/>
    <w:rsid w:val="00BC1D88"/>
    <w:rsid w:val="00BD21D4"/>
    <w:rsid w:val="00BD3A38"/>
    <w:rsid w:val="00BE55AB"/>
    <w:rsid w:val="00BE7C77"/>
    <w:rsid w:val="00C121BA"/>
    <w:rsid w:val="00C1327E"/>
    <w:rsid w:val="00C14FF0"/>
    <w:rsid w:val="00C206DB"/>
    <w:rsid w:val="00C23C10"/>
    <w:rsid w:val="00C2607B"/>
    <w:rsid w:val="00C34B12"/>
    <w:rsid w:val="00C565DB"/>
    <w:rsid w:val="00C614E5"/>
    <w:rsid w:val="00C63D81"/>
    <w:rsid w:val="00C65229"/>
    <w:rsid w:val="00C66CD9"/>
    <w:rsid w:val="00C803EB"/>
    <w:rsid w:val="00C806AF"/>
    <w:rsid w:val="00C809FC"/>
    <w:rsid w:val="00C82A53"/>
    <w:rsid w:val="00C9231A"/>
    <w:rsid w:val="00C92BE3"/>
    <w:rsid w:val="00C95937"/>
    <w:rsid w:val="00CA16EB"/>
    <w:rsid w:val="00CB02FC"/>
    <w:rsid w:val="00CC2259"/>
    <w:rsid w:val="00CD05EB"/>
    <w:rsid w:val="00CD260B"/>
    <w:rsid w:val="00CE323C"/>
    <w:rsid w:val="00CE4898"/>
    <w:rsid w:val="00CE6598"/>
    <w:rsid w:val="00CE7760"/>
    <w:rsid w:val="00CF1EF9"/>
    <w:rsid w:val="00CF330D"/>
    <w:rsid w:val="00CF746F"/>
    <w:rsid w:val="00D1254B"/>
    <w:rsid w:val="00D344E3"/>
    <w:rsid w:val="00D347F6"/>
    <w:rsid w:val="00D46541"/>
    <w:rsid w:val="00D469DB"/>
    <w:rsid w:val="00D46B77"/>
    <w:rsid w:val="00D52256"/>
    <w:rsid w:val="00D60EC3"/>
    <w:rsid w:val="00D808A5"/>
    <w:rsid w:val="00D8759A"/>
    <w:rsid w:val="00D950F7"/>
    <w:rsid w:val="00DA0DDC"/>
    <w:rsid w:val="00DA4CC2"/>
    <w:rsid w:val="00DB16A6"/>
    <w:rsid w:val="00DC3672"/>
    <w:rsid w:val="00DC378F"/>
    <w:rsid w:val="00DE1955"/>
    <w:rsid w:val="00DE1D6F"/>
    <w:rsid w:val="00DE282E"/>
    <w:rsid w:val="00DE40D6"/>
    <w:rsid w:val="00DE46EE"/>
    <w:rsid w:val="00DE6165"/>
    <w:rsid w:val="00DF2B04"/>
    <w:rsid w:val="00DF39F1"/>
    <w:rsid w:val="00DF70B5"/>
    <w:rsid w:val="00E01689"/>
    <w:rsid w:val="00E02CAB"/>
    <w:rsid w:val="00E11A60"/>
    <w:rsid w:val="00E12C16"/>
    <w:rsid w:val="00E213E5"/>
    <w:rsid w:val="00E21FE0"/>
    <w:rsid w:val="00E222CF"/>
    <w:rsid w:val="00E30446"/>
    <w:rsid w:val="00E3084B"/>
    <w:rsid w:val="00E30BAC"/>
    <w:rsid w:val="00E3323F"/>
    <w:rsid w:val="00E37649"/>
    <w:rsid w:val="00E43E66"/>
    <w:rsid w:val="00E53379"/>
    <w:rsid w:val="00E54BBD"/>
    <w:rsid w:val="00E56E50"/>
    <w:rsid w:val="00E6493D"/>
    <w:rsid w:val="00E70FC2"/>
    <w:rsid w:val="00EA2381"/>
    <w:rsid w:val="00EA471D"/>
    <w:rsid w:val="00EB1484"/>
    <w:rsid w:val="00EB6C56"/>
    <w:rsid w:val="00ED2CB5"/>
    <w:rsid w:val="00ED36DA"/>
    <w:rsid w:val="00ED4274"/>
    <w:rsid w:val="00EE1B90"/>
    <w:rsid w:val="00EE2A59"/>
    <w:rsid w:val="00EE5D3C"/>
    <w:rsid w:val="00EE6A87"/>
    <w:rsid w:val="00F21A90"/>
    <w:rsid w:val="00F25A17"/>
    <w:rsid w:val="00F3050C"/>
    <w:rsid w:val="00F3275A"/>
    <w:rsid w:val="00F35065"/>
    <w:rsid w:val="00F507C4"/>
    <w:rsid w:val="00F55693"/>
    <w:rsid w:val="00F5713D"/>
    <w:rsid w:val="00F65440"/>
    <w:rsid w:val="00F6590B"/>
    <w:rsid w:val="00F84151"/>
    <w:rsid w:val="00FA069D"/>
    <w:rsid w:val="00FA140D"/>
    <w:rsid w:val="00FA6C83"/>
    <w:rsid w:val="00FA76A0"/>
    <w:rsid w:val="00FB1BAE"/>
    <w:rsid w:val="00FC5715"/>
    <w:rsid w:val="00FC6537"/>
    <w:rsid w:val="00FD162C"/>
    <w:rsid w:val="00FD544C"/>
    <w:rsid w:val="00FD7100"/>
    <w:rsid w:val="00FE0015"/>
    <w:rsid w:val="00FE366C"/>
    <w:rsid w:val="00FE5E54"/>
    <w:rsid w:val="00FE7C54"/>
    <w:rsid w:val="00FF6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FB"/>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uiPriority w:val="1"/>
    <w:qFormat/>
    <w:rsid w:val="00302172"/>
    <w:pPr>
      <w:spacing w:before="0" w:line="480" w:lineRule="auto"/>
      <w:outlineLvl w:val="0"/>
    </w:pPr>
    <w:rPr>
      <w:szCs w:val="24"/>
    </w:rPr>
  </w:style>
  <w:style w:type="paragraph" w:styleId="Heading2">
    <w:name w:val="heading 2"/>
    <w:basedOn w:val="Normal"/>
    <w:next w:val="Normal"/>
    <w:link w:val="Heading2Char"/>
    <w:uiPriority w:val="1"/>
    <w:unhideWhenUsed/>
    <w:qFormat/>
    <w:rsid w:val="00302172"/>
    <w:pPr>
      <w:keepNext/>
      <w:keepLines/>
      <w:numPr>
        <w:numId w:val="1"/>
      </w:numPr>
      <w:spacing w:before="200"/>
      <w:jc w:val="center"/>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02172"/>
    <w:rPr>
      <w:rFonts w:ascii="Times New Roman" w:eastAsia="Times New Roman" w:hAnsi="Times New Roman" w:cs="Times New Roman"/>
      <w:b/>
      <w:bCs/>
      <w:sz w:val="24"/>
      <w:szCs w:val="24"/>
    </w:rPr>
  </w:style>
  <w:style w:type="character" w:customStyle="1" w:styleId="Heading2Char">
    <w:name w:val="Heading 2 Char"/>
    <w:link w:val="Heading2"/>
    <w:uiPriority w:val="1"/>
    <w:rsid w:val="00302172"/>
    <w:rPr>
      <w:rFonts w:ascii="Times New Roman" w:eastAsia="Times New Roman" w:hAnsi="Times New Roman" w:cs="Times New Roman"/>
      <w:b/>
      <w:bCs/>
      <w:sz w:val="24"/>
      <w:szCs w:val="26"/>
    </w:rPr>
  </w:style>
  <w:style w:type="paragraph" w:styleId="Title">
    <w:name w:val="Title"/>
    <w:basedOn w:val="Normal"/>
    <w:next w:val="Normal"/>
    <w:link w:val="TitleChar"/>
    <w:uiPriority w:val="10"/>
    <w:qFormat/>
    <w:rsid w:val="00302172"/>
    <w:pPr>
      <w:outlineLvl w:val="0"/>
    </w:pPr>
  </w:style>
  <w:style w:type="character" w:customStyle="1" w:styleId="TitleChar">
    <w:name w:val="Title Char"/>
    <w:link w:val="Title"/>
    <w:uiPriority w:val="10"/>
    <w:rsid w:val="00302172"/>
    <w:rPr>
      <w:rFonts w:ascii="Times New Roman" w:eastAsia="Times New Roman" w:hAnsi="Times New Roman" w:cs="Times New Roman"/>
      <w:sz w:val="24"/>
      <w:szCs w:val="24"/>
    </w:rPr>
  </w:style>
  <w:style w:type="character" w:styleId="SubtleEmphasis">
    <w:name w:val="Subtle Emphasis"/>
    <w:uiPriority w:val="19"/>
    <w:qFormat/>
    <w:rsid w:val="00302172"/>
  </w:style>
  <w:style w:type="paragraph" w:customStyle="1" w:styleId="Default">
    <w:name w:val="Default"/>
    <w:rsid w:val="00302172"/>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302172"/>
    <w:pPr>
      <w:tabs>
        <w:tab w:val="center" w:pos="4680"/>
        <w:tab w:val="right" w:pos="9360"/>
      </w:tabs>
    </w:pPr>
  </w:style>
  <w:style w:type="character" w:customStyle="1" w:styleId="FooterChar">
    <w:name w:val="Footer Char"/>
    <w:link w:val="Footer"/>
    <w:uiPriority w:val="99"/>
    <w:rsid w:val="00302172"/>
    <w:rPr>
      <w:rFonts w:ascii="Times New Roman" w:eastAsia="Times New Roman" w:hAnsi="Times New Roman" w:cs="Times New Roman"/>
      <w:sz w:val="24"/>
      <w:szCs w:val="24"/>
    </w:rPr>
  </w:style>
  <w:style w:type="paragraph" w:styleId="ListParagraph">
    <w:name w:val="List Paragraph"/>
    <w:basedOn w:val="Normal"/>
    <w:uiPriority w:val="34"/>
    <w:qFormat/>
    <w:rsid w:val="00302172"/>
    <w:pPr>
      <w:ind w:left="720"/>
      <w:contextualSpacing/>
    </w:pPr>
  </w:style>
  <w:style w:type="character" w:styleId="CommentReference">
    <w:name w:val="annotation reference"/>
    <w:uiPriority w:val="99"/>
    <w:semiHidden/>
    <w:unhideWhenUsed/>
    <w:rsid w:val="00302172"/>
    <w:rPr>
      <w:sz w:val="16"/>
      <w:szCs w:val="16"/>
    </w:rPr>
  </w:style>
  <w:style w:type="paragraph" w:styleId="CommentText">
    <w:name w:val="annotation text"/>
    <w:basedOn w:val="Normal"/>
    <w:link w:val="CommentTextChar"/>
    <w:uiPriority w:val="99"/>
    <w:semiHidden/>
    <w:unhideWhenUsed/>
    <w:rsid w:val="00302172"/>
    <w:rPr>
      <w:sz w:val="20"/>
      <w:szCs w:val="20"/>
    </w:rPr>
  </w:style>
  <w:style w:type="character" w:customStyle="1" w:styleId="CommentTextChar">
    <w:name w:val="Comment Text Char"/>
    <w:link w:val="CommentText"/>
    <w:uiPriority w:val="99"/>
    <w:semiHidden/>
    <w:rsid w:val="003021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2172"/>
    <w:rPr>
      <w:rFonts w:ascii="Tahoma" w:hAnsi="Tahoma"/>
      <w:sz w:val="16"/>
      <w:szCs w:val="16"/>
    </w:rPr>
  </w:style>
  <w:style w:type="character" w:customStyle="1" w:styleId="BalloonTextChar">
    <w:name w:val="Balloon Text Char"/>
    <w:link w:val="BalloonText"/>
    <w:uiPriority w:val="99"/>
    <w:semiHidden/>
    <w:rsid w:val="0030217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53379"/>
    <w:rPr>
      <w:b/>
      <w:bCs/>
    </w:rPr>
  </w:style>
  <w:style w:type="character" w:customStyle="1" w:styleId="CommentSubjectChar">
    <w:name w:val="Comment Subject Char"/>
    <w:link w:val="CommentSubject"/>
    <w:uiPriority w:val="99"/>
    <w:semiHidden/>
    <w:rsid w:val="00E53379"/>
    <w:rPr>
      <w:rFonts w:ascii="Times New Roman" w:eastAsia="Times New Roman" w:hAnsi="Times New Roman" w:cs="Times New Roman"/>
      <w:b/>
      <w:bCs/>
      <w:sz w:val="20"/>
      <w:szCs w:val="20"/>
    </w:rPr>
  </w:style>
  <w:style w:type="paragraph" w:styleId="BodyText">
    <w:name w:val="Body Text"/>
    <w:basedOn w:val="Normal"/>
    <w:link w:val="BodyTextChar"/>
    <w:uiPriority w:val="1"/>
    <w:unhideWhenUsed/>
    <w:qFormat/>
    <w:rsid w:val="00205700"/>
    <w:pPr>
      <w:widowControl/>
      <w:autoSpaceDE/>
      <w:autoSpaceDN/>
      <w:adjustRightInd/>
      <w:spacing w:line="256" w:lineRule="auto"/>
      <w:ind w:left="113"/>
    </w:pPr>
    <w:rPr>
      <w:sz w:val="23"/>
      <w:szCs w:val="23"/>
    </w:rPr>
  </w:style>
  <w:style w:type="character" w:customStyle="1" w:styleId="BodyTextChar">
    <w:name w:val="Body Text Char"/>
    <w:link w:val="BodyText"/>
    <w:uiPriority w:val="1"/>
    <w:rsid w:val="00205700"/>
    <w:rPr>
      <w:rFonts w:ascii="Times New Roman" w:eastAsia="Times New Roman" w:hAnsi="Times New Roman"/>
      <w:sz w:val="23"/>
      <w:szCs w:val="23"/>
    </w:rPr>
  </w:style>
  <w:style w:type="paragraph" w:customStyle="1" w:styleId="statutory-body-2em">
    <w:name w:val="statutory-body-2em"/>
    <w:basedOn w:val="Normal"/>
    <w:rsid w:val="00703D76"/>
    <w:pPr>
      <w:widowControl/>
      <w:autoSpaceDE/>
      <w:autoSpaceDN/>
      <w:adjustRightInd/>
      <w:spacing w:before="100" w:beforeAutospacing="1" w:after="100" w:afterAutospacing="1"/>
    </w:pPr>
  </w:style>
  <w:style w:type="paragraph" w:customStyle="1" w:styleId="statutory-body-3em">
    <w:name w:val="statutory-body-3em"/>
    <w:basedOn w:val="Normal"/>
    <w:rsid w:val="00703D76"/>
    <w:pPr>
      <w:widowControl/>
      <w:autoSpaceDE/>
      <w:autoSpaceDN/>
      <w:adjustRightInd/>
      <w:spacing w:before="100" w:beforeAutospacing="1" w:after="100" w:afterAutospacing="1"/>
    </w:pPr>
  </w:style>
  <w:style w:type="paragraph" w:customStyle="1" w:styleId="TableParagraph">
    <w:name w:val="Table Paragraph"/>
    <w:basedOn w:val="Normal"/>
    <w:uiPriority w:val="1"/>
    <w:qFormat/>
    <w:rsid w:val="00703D76"/>
    <w:pPr>
      <w:widowControl/>
      <w:autoSpaceDE/>
      <w:autoSpaceDN/>
      <w:adjustRightInd/>
      <w:spacing w:line="256" w:lineRule="auto"/>
    </w:pPr>
    <w:rPr>
      <w:rFonts w:ascii="Calibri" w:eastAsia="Calibri" w:hAnsi="Calibri"/>
      <w:sz w:val="22"/>
      <w:szCs w:val="22"/>
    </w:rPr>
  </w:style>
  <w:style w:type="paragraph" w:styleId="FootnoteText">
    <w:name w:val="footnote text"/>
    <w:basedOn w:val="Normal"/>
    <w:link w:val="FootnoteTextChar"/>
    <w:uiPriority w:val="99"/>
    <w:semiHidden/>
    <w:unhideWhenUsed/>
    <w:rsid w:val="003D2A26"/>
    <w:rPr>
      <w:sz w:val="20"/>
      <w:szCs w:val="20"/>
    </w:rPr>
  </w:style>
  <w:style w:type="character" w:customStyle="1" w:styleId="FootnoteTextChar">
    <w:name w:val="Footnote Text Char"/>
    <w:basedOn w:val="DefaultParagraphFont"/>
    <w:link w:val="FootnoteText"/>
    <w:uiPriority w:val="99"/>
    <w:semiHidden/>
    <w:rsid w:val="003D2A26"/>
    <w:rPr>
      <w:rFonts w:ascii="Times New Roman" w:eastAsia="Times New Roman" w:hAnsi="Times New Roman"/>
    </w:rPr>
  </w:style>
  <w:style w:type="character" w:styleId="FootnoteReference">
    <w:name w:val="footnote reference"/>
    <w:basedOn w:val="DefaultParagraphFont"/>
    <w:uiPriority w:val="99"/>
    <w:semiHidden/>
    <w:unhideWhenUsed/>
    <w:rsid w:val="003D2A26"/>
    <w:rPr>
      <w:vertAlign w:val="superscript"/>
    </w:rPr>
  </w:style>
  <w:style w:type="paragraph" w:styleId="Header">
    <w:name w:val="header"/>
    <w:basedOn w:val="Normal"/>
    <w:link w:val="HeaderChar"/>
    <w:uiPriority w:val="99"/>
    <w:semiHidden/>
    <w:unhideWhenUsed/>
    <w:rsid w:val="0066451D"/>
    <w:pPr>
      <w:tabs>
        <w:tab w:val="center" w:pos="4680"/>
        <w:tab w:val="right" w:pos="9360"/>
      </w:tabs>
    </w:pPr>
  </w:style>
  <w:style w:type="character" w:customStyle="1" w:styleId="HeaderChar">
    <w:name w:val="Header Char"/>
    <w:basedOn w:val="DefaultParagraphFont"/>
    <w:link w:val="Header"/>
    <w:uiPriority w:val="99"/>
    <w:semiHidden/>
    <w:rsid w:val="0066451D"/>
    <w:rPr>
      <w:rFonts w:ascii="Times New Roman" w:eastAsia="Times New Roman" w:hAnsi="Times New Roman"/>
      <w:sz w:val="24"/>
      <w:szCs w:val="24"/>
    </w:rPr>
  </w:style>
  <w:style w:type="paragraph" w:styleId="Revision">
    <w:name w:val="Revision"/>
    <w:hidden/>
    <w:uiPriority w:val="99"/>
    <w:semiHidden/>
    <w:rsid w:val="00CB02F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0630949">
      <w:bodyDiv w:val="1"/>
      <w:marLeft w:val="0"/>
      <w:marRight w:val="0"/>
      <w:marTop w:val="0"/>
      <w:marBottom w:val="0"/>
      <w:divBdr>
        <w:top w:val="none" w:sz="0" w:space="0" w:color="auto"/>
        <w:left w:val="none" w:sz="0" w:space="0" w:color="auto"/>
        <w:bottom w:val="none" w:sz="0" w:space="0" w:color="auto"/>
        <w:right w:val="none" w:sz="0" w:space="0" w:color="auto"/>
      </w:divBdr>
      <w:divsChild>
        <w:div w:id="597642856">
          <w:marLeft w:val="0"/>
          <w:marRight w:val="0"/>
          <w:marTop w:val="0"/>
          <w:marBottom w:val="0"/>
          <w:divBdr>
            <w:top w:val="none" w:sz="0" w:space="0" w:color="auto"/>
            <w:left w:val="none" w:sz="0" w:space="0" w:color="auto"/>
            <w:bottom w:val="none" w:sz="0" w:space="0" w:color="auto"/>
            <w:right w:val="none" w:sz="0" w:space="0" w:color="auto"/>
          </w:divBdr>
          <w:divsChild>
            <w:div w:id="186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81062">
      <w:bodyDiv w:val="1"/>
      <w:marLeft w:val="0"/>
      <w:marRight w:val="0"/>
      <w:marTop w:val="0"/>
      <w:marBottom w:val="0"/>
      <w:divBdr>
        <w:top w:val="none" w:sz="0" w:space="0" w:color="auto"/>
        <w:left w:val="none" w:sz="0" w:space="0" w:color="auto"/>
        <w:bottom w:val="none" w:sz="0" w:space="0" w:color="auto"/>
        <w:right w:val="none" w:sz="0" w:space="0" w:color="auto"/>
      </w:divBdr>
    </w:div>
    <w:div w:id="299921310">
      <w:bodyDiv w:val="1"/>
      <w:marLeft w:val="0"/>
      <w:marRight w:val="0"/>
      <w:marTop w:val="0"/>
      <w:marBottom w:val="0"/>
      <w:divBdr>
        <w:top w:val="none" w:sz="0" w:space="0" w:color="auto"/>
        <w:left w:val="none" w:sz="0" w:space="0" w:color="auto"/>
        <w:bottom w:val="none" w:sz="0" w:space="0" w:color="auto"/>
        <w:right w:val="none" w:sz="0" w:space="0" w:color="auto"/>
      </w:divBdr>
    </w:div>
    <w:div w:id="760951370">
      <w:bodyDiv w:val="1"/>
      <w:marLeft w:val="0"/>
      <w:marRight w:val="0"/>
      <w:marTop w:val="0"/>
      <w:marBottom w:val="0"/>
      <w:divBdr>
        <w:top w:val="none" w:sz="0" w:space="0" w:color="auto"/>
        <w:left w:val="none" w:sz="0" w:space="0" w:color="auto"/>
        <w:bottom w:val="none" w:sz="0" w:space="0" w:color="auto"/>
        <w:right w:val="none" w:sz="0" w:space="0" w:color="auto"/>
      </w:divBdr>
    </w:div>
    <w:div w:id="872232241">
      <w:bodyDiv w:val="1"/>
      <w:marLeft w:val="0"/>
      <w:marRight w:val="0"/>
      <w:marTop w:val="0"/>
      <w:marBottom w:val="0"/>
      <w:divBdr>
        <w:top w:val="none" w:sz="0" w:space="0" w:color="auto"/>
        <w:left w:val="none" w:sz="0" w:space="0" w:color="auto"/>
        <w:bottom w:val="none" w:sz="0" w:space="0" w:color="auto"/>
        <w:right w:val="none" w:sz="0" w:space="0" w:color="auto"/>
      </w:divBdr>
      <w:divsChild>
        <w:div w:id="388111343">
          <w:marLeft w:val="0"/>
          <w:marRight w:val="0"/>
          <w:marTop w:val="0"/>
          <w:marBottom w:val="0"/>
          <w:divBdr>
            <w:top w:val="none" w:sz="0" w:space="0" w:color="auto"/>
            <w:left w:val="none" w:sz="0" w:space="0" w:color="auto"/>
            <w:bottom w:val="none" w:sz="0" w:space="0" w:color="auto"/>
            <w:right w:val="none" w:sz="0" w:space="0" w:color="auto"/>
          </w:divBdr>
          <w:divsChild>
            <w:div w:id="14084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519">
      <w:bodyDiv w:val="1"/>
      <w:marLeft w:val="0"/>
      <w:marRight w:val="0"/>
      <w:marTop w:val="0"/>
      <w:marBottom w:val="0"/>
      <w:divBdr>
        <w:top w:val="none" w:sz="0" w:space="0" w:color="auto"/>
        <w:left w:val="none" w:sz="0" w:space="0" w:color="auto"/>
        <w:bottom w:val="none" w:sz="0" w:space="0" w:color="auto"/>
        <w:right w:val="none" w:sz="0" w:space="0" w:color="auto"/>
      </w:divBdr>
    </w:div>
    <w:div w:id="1898197601">
      <w:bodyDiv w:val="1"/>
      <w:marLeft w:val="0"/>
      <w:marRight w:val="0"/>
      <w:marTop w:val="0"/>
      <w:marBottom w:val="0"/>
      <w:divBdr>
        <w:top w:val="none" w:sz="0" w:space="0" w:color="auto"/>
        <w:left w:val="none" w:sz="0" w:space="0" w:color="auto"/>
        <w:bottom w:val="none" w:sz="0" w:space="0" w:color="auto"/>
        <w:right w:val="none" w:sz="0" w:space="0" w:color="auto"/>
      </w:divBdr>
    </w:div>
    <w:div w:id="19940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955D-AC82-49E5-81F5-AFCB1B0A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4130</Words>
  <Characters>23547</Characters>
  <Application>Microsoft Office Word</Application>
  <DocSecurity>0</DocSecurity>
  <Lines>196</Lines>
  <Paragraphs>55</Paragraphs>
  <ScaleCrop>false</ScaleCrop>
  <LinksUpToDate>false</LinksUpToDate>
  <CharactersWithSpaces>27622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2016-09-29T19:17:00Z</dcterms:created>
  <dcterms:modified xsi:type="dcterms:W3CDTF">2016-09-29T19:17:00Z</dcterms:modified>
</cp:coreProperties>
</file>