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9CE" w:rsidRPr="006F0EED" w:rsidRDefault="00A45967" w:rsidP="000779CE">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bCs/>
          <w:szCs w:val="24"/>
        </w:rPr>
      </w:pPr>
      <w:r w:rsidRPr="006F0EED">
        <w:rPr>
          <w:szCs w:val="24"/>
          <w:lang w:val="en-CA"/>
        </w:rPr>
        <w:fldChar w:fldCharType="begin"/>
      </w:r>
      <w:r w:rsidR="000779CE" w:rsidRPr="006F0EED">
        <w:rPr>
          <w:szCs w:val="24"/>
          <w:lang w:val="en-CA"/>
        </w:rPr>
        <w:instrText xml:space="preserve"> SEQ CHAPTER \h \r 1</w:instrText>
      </w:r>
      <w:r w:rsidRPr="006F0EED">
        <w:rPr>
          <w:szCs w:val="24"/>
          <w:lang w:val="en-CA"/>
        </w:rPr>
        <w:fldChar w:fldCharType="end"/>
      </w:r>
      <w:r w:rsidR="000779CE" w:rsidRPr="006F0EED">
        <w:rPr>
          <w:szCs w:val="24"/>
        </w:rPr>
        <w:t>UNITED STATES DISTRICT COURT</w:t>
      </w:r>
      <w:r w:rsidR="000779CE" w:rsidRPr="006F0EED">
        <w:rPr>
          <w:szCs w:val="24"/>
        </w:rPr>
        <w:tab/>
      </w:r>
      <w:r w:rsidR="000779CE" w:rsidRPr="006F0EED">
        <w:rPr>
          <w:szCs w:val="24"/>
        </w:rPr>
        <w:tab/>
      </w:r>
      <w:r w:rsidR="000779CE" w:rsidRPr="006F0EED">
        <w:rPr>
          <w:szCs w:val="24"/>
        </w:rPr>
        <w:tab/>
      </w:r>
      <w:r w:rsidR="000779CE" w:rsidRPr="006F0EED">
        <w:rPr>
          <w:szCs w:val="24"/>
        </w:rPr>
        <w:tab/>
      </w:r>
      <w:r w:rsidR="000779CE" w:rsidRPr="006F0EED">
        <w:rPr>
          <w:bCs/>
          <w:szCs w:val="24"/>
        </w:rPr>
        <w:tab/>
      </w:r>
    </w:p>
    <w:p w:rsidR="000779CE" w:rsidRPr="006F0EED" w:rsidRDefault="000779CE" w:rsidP="000779CE">
      <w:pPr>
        <w:rPr>
          <w:szCs w:val="24"/>
        </w:rPr>
      </w:pPr>
      <w:r w:rsidRPr="006F0EED">
        <w:rPr>
          <w:szCs w:val="24"/>
        </w:rPr>
        <w:t>SOUTHERN DISTRICT OF NEW YORK</w:t>
      </w:r>
    </w:p>
    <w:tbl>
      <w:tblPr>
        <w:tblW w:w="0" w:type="auto"/>
        <w:tblInd w:w="118" w:type="dxa"/>
        <w:tblLayout w:type="fixed"/>
        <w:tblCellMar>
          <w:left w:w="118" w:type="dxa"/>
          <w:right w:w="118" w:type="dxa"/>
        </w:tblCellMar>
        <w:tblLook w:val="0000"/>
      </w:tblPr>
      <w:tblGrid>
        <w:gridCol w:w="4680"/>
        <w:gridCol w:w="4680"/>
      </w:tblGrid>
      <w:tr w:rsidR="000779CE" w:rsidTr="00B47CCC">
        <w:trPr>
          <w:cantSplit/>
        </w:trPr>
        <w:tc>
          <w:tcPr>
            <w:tcW w:w="4680" w:type="dxa"/>
            <w:tcBorders>
              <w:top w:val="single" w:sz="2" w:space="0" w:color="000000"/>
              <w:left w:val="nil"/>
              <w:bottom w:val="single" w:sz="2" w:space="0" w:color="000000"/>
              <w:right w:val="single" w:sz="2" w:space="0" w:color="000000"/>
            </w:tcBorders>
          </w:tcPr>
          <w:p w:rsidR="000779CE" w:rsidRPr="00815659" w:rsidRDefault="000779CE" w:rsidP="00815659">
            <w:pPr>
              <w:pStyle w:val="Title"/>
            </w:pPr>
            <w:r w:rsidRPr="00815659">
              <w:t>JONATHAN PESCE,</w:t>
            </w:r>
          </w:p>
          <w:p w:rsidR="000779CE" w:rsidRPr="00815659" w:rsidRDefault="000779CE" w:rsidP="00815659">
            <w:pPr>
              <w:pStyle w:val="Title"/>
            </w:pPr>
          </w:p>
          <w:p w:rsidR="000779CE" w:rsidRPr="00815659" w:rsidRDefault="000779CE" w:rsidP="00815659">
            <w:pPr>
              <w:pStyle w:val="Title"/>
            </w:pPr>
            <w:r w:rsidRPr="00815659">
              <w:t>Plaintiff,</w:t>
            </w:r>
          </w:p>
          <w:p w:rsidR="000779CE" w:rsidRPr="00815659" w:rsidRDefault="000779CE" w:rsidP="00815659">
            <w:pPr>
              <w:pStyle w:val="Title"/>
            </w:pPr>
          </w:p>
          <w:p w:rsidR="000779CE" w:rsidRPr="00815659" w:rsidRDefault="000779CE" w:rsidP="00815659">
            <w:pPr>
              <w:pStyle w:val="Title"/>
            </w:pPr>
            <w:proofErr w:type="gramStart"/>
            <w:r w:rsidRPr="00815659">
              <w:t>v</w:t>
            </w:r>
            <w:proofErr w:type="gramEnd"/>
            <w:r w:rsidRPr="00815659">
              <w:t>.</w:t>
            </w:r>
          </w:p>
          <w:p w:rsidR="000779CE" w:rsidRPr="00815659" w:rsidRDefault="000779CE" w:rsidP="00815659">
            <w:pPr>
              <w:pStyle w:val="Title"/>
            </w:pPr>
          </w:p>
          <w:p w:rsidR="000779CE" w:rsidRPr="00815659" w:rsidRDefault="000779CE" w:rsidP="00815659">
            <w:pPr>
              <w:pStyle w:val="Title"/>
            </w:pPr>
            <w:r w:rsidRPr="00815659">
              <w:t xml:space="preserve">THE </w:t>
            </w:r>
            <w:proofErr w:type="gramStart"/>
            <w:r w:rsidRPr="00815659">
              <w:t>NEW YORK CITY</w:t>
            </w:r>
            <w:proofErr w:type="gramEnd"/>
            <w:r w:rsidRPr="00815659">
              <w:t xml:space="preserve"> POLICE DEPARTMENT, THE CITY OF NE</w:t>
            </w:r>
            <w:r w:rsidR="004F7ACF" w:rsidRPr="00815659">
              <w:t>W</w:t>
            </w:r>
            <w:r w:rsidRPr="00815659">
              <w:t xml:space="preserve"> YORK, ELI J. KLEINMAN, AS CHIEF SURGEON OF THE NEW YORK CITY POLICE DEPARTMENT, AND RAYMOND W. KELLY, AS COMMISSIONER OF THE NEW YORK CITY POLICE DEPARTMENT,</w:t>
            </w:r>
          </w:p>
          <w:p w:rsidR="000779CE" w:rsidRPr="00815659" w:rsidRDefault="000779CE" w:rsidP="00815659">
            <w:pPr>
              <w:pStyle w:val="Title"/>
            </w:pPr>
            <w:r w:rsidRPr="00815659">
              <w:t xml:space="preserve"> </w:t>
            </w:r>
          </w:p>
          <w:p w:rsidR="000779CE" w:rsidRDefault="000779CE" w:rsidP="00815659">
            <w:pPr>
              <w:pStyle w:val="Title"/>
            </w:pPr>
            <w:proofErr w:type="gramStart"/>
            <w:r w:rsidRPr="00815659">
              <w:t>Defendants.</w:t>
            </w:r>
            <w:proofErr w:type="gramEnd"/>
          </w:p>
        </w:tc>
        <w:tc>
          <w:tcPr>
            <w:tcW w:w="4680" w:type="dxa"/>
            <w:tcBorders>
              <w:top w:val="nil"/>
              <w:left w:val="nil"/>
              <w:bottom w:val="nil"/>
              <w:right w:val="nil"/>
            </w:tcBorders>
          </w:tcPr>
          <w:p w:rsidR="000779CE" w:rsidRDefault="000779CE" w:rsidP="00B47CCC">
            <w:pPr>
              <w:spacing w:before="118"/>
              <w:rPr>
                <w:szCs w:val="24"/>
              </w:rPr>
            </w:pPr>
          </w:p>
          <w:p w:rsidR="000779CE" w:rsidRDefault="000779CE" w:rsidP="00B47CCC">
            <w:pPr>
              <w:rPr>
                <w:szCs w:val="24"/>
              </w:rPr>
            </w:pPr>
          </w:p>
          <w:p w:rsidR="000779CE" w:rsidRPr="006F0EED" w:rsidRDefault="000779CE" w:rsidP="00B47CCC">
            <w:pPr>
              <w:rPr>
                <w:szCs w:val="24"/>
              </w:rPr>
            </w:pPr>
          </w:p>
          <w:p w:rsidR="000779CE" w:rsidRPr="002F5282" w:rsidRDefault="000779CE" w:rsidP="00B47CCC">
            <w:pPr>
              <w:rPr>
                <w:szCs w:val="24"/>
              </w:rPr>
            </w:pPr>
          </w:p>
          <w:p w:rsidR="000779CE" w:rsidRDefault="000779CE" w:rsidP="00B47CCC">
            <w:pPr>
              <w:spacing w:after="56"/>
              <w:rPr>
                <w:szCs w:val="24"/>
              </w:rPr>
            </w:pPr>
          </w:p>
          <w:p w:rsidR="000779CE" w:rsidRDefault="000779CE" w:rsidP="00B47CCC">
            <w:pPr>
              <w:spacing w:after="56"/>
              <w:rPr>
                <w:szCs w:val="24"/>
              </w:rPr>
            </w:pPr>
            <w:r>
              <w:rPr>
                <w:szCs w:val="24"/>
              </w:rPr>
              <w:t>12 Civ. 8663 (</w:t>
            </w:r>
            <w:r w:rsidR="00BB33BA">
              <w:rPr>
                <w:szCs w:val="24"/>
              </w:rPr>
              <w:t>TPG</w:t>
            </w:r>
            <w:r>
              <w:rPr>
                <w:szCs w:val="24"/>
              </w:rPr>
              <w:t>)</w:t>
            </w:r>
          </w:p>
          <w:p w:rsidR="000779CE" w:rsidRDefault="000779CE" w:rsidP="00B47CCC">
            <w:pPr>
              <w:spacing w:after="56"/>
              <w:rPr>
                <w:szCs w:val="24"/>
              </w:rPr>
            </w:pPr>
          </w:p>
          <w:p w:rsidR="000779CE" w:rsidRPr="006F0EED" w:rsidRDefault="000779CE" w:rsidP="00B47CCC">
            <w:pPr>
              <w:spacing w:after="56"/>
              <w:rPr>
                <w:b/>
                <w:szCs w:val="24"/>
              </w:rPr>
            </w:pPr>
          </w:p>
        </w:tc>
      </w:tr>
    </w:tbl>
    <w:p w:rsidR="00F70597" w:rsidRPr="00813A30" w:rsidRDefault="00F70597" w:rsidP="00B243E6">
      <w:pPr>
        <w:widowControl w:val="0"/>
        <w:jc w:val="center"/>
        <w:rPr>
          <w:b/>
          <w:szCs w:val="24"/>
          <w:u w:val="single"/>
        </w:rPr>
      </w:pPr>
    </w:p>
    <w:p w:rsidR="00A35207" w:rsidRPr="00813A30" w:rsidRDefault="00A35207" w:rsidP="00B243E6">
      <w:pPr>
        <w:widowControl w:val="0"/>
        <w:jc w:val="center"/>
        <w:rPr>
          <w:b/>
          <w:szCs w:val="24"/>
          <w:u w:val="single"/>
        </w:rPr>
      </w:pPr>
    </w:p>
    <w:p w:rsidR="009A2F5F" w:rsidRPr="00815659" w:rsidRDefault="009A2F5F" w:rsidP="00815659">
      <w:pPr>
        <w:pStyle w:val="Heading1"/>
      </w:pPr>
      <w:r w:rsidRPr="00815659">
        <w:t>STATEMENT OF INTEREST</w:t>
      </w:r>
    </w:p>
    <w:p w:rsidR="00F70597" w:rsidRPr="00813A30" w:rsidRDefault="00F70597" w:rsidP="00815659">
      <w:pPr>
        <w:pStyle w:val="Heading1"/>
        <w:rPr>
          <w:u w:val="single"/>
        </w:rPr>
      </w:pPr>
      <w:r w:rsidRPr="00815659">
        <w:t>OF THE UNITED STATES OF AMERICA</w:t>
      </w:r>
    </w:p>
    <w:p w:rsidR="005C2B57" w:rsidRPr="00813A30" w:rsidRDefault="005C2B57" w:rsidP="00B243E6"/>
    <w:p w:rsidR="009A2F5F" w:rsidRPr="00813A30" w:rsidRDefault="009A2F5F" w:rsidP="00B243E6"/>
    <w:p w:rsidR="009A2F5F" w:rsidRPr="00813A30" w:rsidRDefault="009A2F5F" w:rsidP="00B243E6"/>
    <w:p w:rsidR="009A2F5F" w:rsidRPr="00813A30" w:rsidRDefault="009A2F5F" w:rsidP="00B243E6"/>
    <w:p w:rsidR="009A2F5F" w:rsidRPr="00813A30" w:rsidRDefault="009A2F5F" w:rsidP="00B243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rPr>
          <w:color w:val="000000"/>
        </w:rPr>
      </w:pPr>
      <w:r w:rsidRPr="00813A30">
        <w:rPr>
          <w:color w:val="000000"/>
        </w:rPr>
        <w:t>PREET BHARARA</w:t>
      </w:r>
    </w:p>
    <w:p w:rsidR="009A2F5F" w:rsidRPr="00813A30" w:rsidRDefault="009A2F5F" w:rsidP="00B243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rPr>
          <w:color w:val="000000"/>
        </w:rPr>
      </w:pPr>
      <w:r w:rsidRPr="00813A30">
        <w:rPr>
          <w:color w:val="000000"/>
        </w:rPr>
        <w:t>United States Attorney for the</w:t>
      </w:r>
    </w:p>
    <w:p w:rsidR="009A2F5F" w:rsidRPr="00813A30" w:rsidRDefault="009A2F5F" w:rsidP="00B243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rPr>
          <w:color w:val="000000"/>
        </w:rPr>
      </w:pPr>
      <w:r w:rsidRPr="00813A30">
        <w:rPr>
          <w:color w:val="000000"/>
        </w:rPr>
        <w:t>Southern District of New York</w:t>
      </w:r>
    </w:p>
    <w:p w:rsidR="009A2F5F" w:rsidRPr="00813A30" w:rsidRDefault="009A2F5F" w:rsidP="00B24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rPr>
          <w:color w:val="000000"/>
        </w:rPr>
      </w:pPr>
      <w:r w:rsidRPr="00813A30">
        <w:rPr>
          <w:color w:val="000000"/>
        </w:rPr>
        <w:t>86 Chambers Street, Third Floor</w:t>
      </w:r>
    </w:p>
    <w:p w:rsidR="009A2F5F" w:rsidRPr="00813A30" w:rsidRDefault="009A2F5F" w:rsidP="00B243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rPr>
          <w:color w:val="000000"/>
        </w:rPr>
      </w:pPr>
      <w:r w:rsidRPr="00813A30">
        <w:rPr>
          <w:color w:val="000000"/>
        </w:rPr>
        <w:t>New York, New York 10007</w:t>
      </w:r>
    </w:p>
    <w:p w:rsidR="009A2F5F" w:rsidRPr="00813A30" w:rsidRDefault="00156C21" w:rsidP="00B243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rPr>
          <w:color w:val="000000"/>
        </w:rPr>
      </w:pPr>
      <w:r>
        <w:rPr>
          <w:color w:val="000000"/>
        </w:rPr>
        <w:t>Tel.: (212) 637-27</w:t>
      </w:r>
      <w:r w:rsidR="00BB33BA">
        <w:rPr>
          <w:color w:val="000000"/>
        </w:rPr>
        <w:t>26</w:t>
      </w:r>
    </w:p>
    <w:p w:rsidR="009A2F5F" w:rsidRPr="00813A30" w:rsidRDefault="00156C21" w:rsidP="00B24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rPr>
          <w:color w:val="000000"/>
        </w:rPr>
      </w:pPr>
      <w:r>
        <w:rPr>
          <w:color w:val="000000"/>
        </w:rPr>
        <w:t>Fax:  (212) 637-27</w:t>
      </w:r>
      <w:r w:rsidR="00BB33BA">
        <w:rPr>
          <w:color w:val="000000"/>
        </w:rPr>
        <w:t>17</w:t>
      </w:r>
    </w:p>
    <w:p w:rsidR="009A2F5F" w:rsidRPr="00813A30" w:rsidRDefault="009A2F5F" w:rsidP="00B243E6">
      <w:pPr>
        <w:tabs>
          <w:tab w:val="left" w:pos="720"/>
          <w:tab w:val="left" w:pos="1440"/>
          <w:tab w:val="left" w:pos="2160"/>
          <w:tab w:val="left" w:pos="2880"/>
          <w:tab w:val="left" w:pos="3600"/>
          <w:tab w:val="left" w:pos="4320"/>
          <w:tab w:val="left" w:pos="5850"/>
          <w:tab w:val="left" w:pos="6480"/>
          <w:tab w:val="left" w:pos="7200"/>
          <w:tab w:val="left" w:pos="7920"/>
          <w:tab w:val="left" w:pos="8640"/>
        </w:tabs>
        <w:ind w:left="5040"/>
        <w:rPr>
          <w:color w:val="000000"/>
        </w:rPr>
      </w:pPr>
      <w:r w:rsidRPr="00813A30">
        <w:rPr>
          <w:color w:val="000000"/>
        </w:rPr>
        <w:t xml:space="preserve">Email: </w:t>
      </w:r>
      <w:r w:rsidR="00BB33BA">
        <w:t>jessica</w:t>
      </w:r>
      <w:r w:rsidR="00156C21">
        <w:t>.</w:t>
      </w:r>
      <w:r w:rsidR="00BB33BA">
        <w:t>hu</w:t>
      </w:r>
      <w:r w:rsidRPr="00813A30">
        <w:t>@usdoj.gov</w:t>
      </w:r>
    </w:p>
    <w:p w:rsidR="009A2F5F" w:rsidRPr="00813A30" w:rsidRDefault="009A2F5F" w:rsidP="00B243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9A2F5F" w:rsidRPr="00813A30" w:rsidRDefault="009A2F5F" w:rsidP="00B243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9A2F5F" w:rsidRPr="00813A30" w:rsidRDefault="00156C21" w:rsidP="00B243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        </w:t>
      </w:r>
      <w:r w:rsidR="00BB33BA">
        <w:rPr>
          <w:color w:val="000000"/>
        </w:rPr>
        <w:t>JESSICA JEAN HU</w:t>
      </w:r>
    </w:p>
    <w:p w:rsidR="009A2F5F" w:rsidRPr="00813A30" w:rsidRDefault="009A2F5F" w:rsidP="00B243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813A30">
        <w:rPr>
          <w:color w:val="000000"/>
        </w:rPr>
        <w:t>Assistant United States Attorney</w:t>
      </w:r>
    </w:p>
    <w:p w:rsidR="00F734C1" w:rsidRDefault="00EC70EE" w:rsidP="00B243E6">
      <w:pPr>
        <w:ind w:firstLine="720"/>
        <w:rPr>
          <w:bCs/>
        </w:rPr>
      </w:pPr>
      <w:r>
        <w:rPr>
          <w:bCs/>
        </w:rPr>
        <w:t>- Of Counsel</w:t>
      </w:r>
      <w:r w:rsidR="009C502A">
        <w:rPr>
          <w:bCs/>
        </w:rPr>
        <w:t xml:space="preserve"> -</w:t>
      </w:r>
      <w:r>
        <w:rPr>
          <w:bCs/>
        </w:rPr>
        <w:t xml:space="preserve"> </w:t>
      </w:r>
    </w:p>
    <w:p w:rsidR="00984746" w:rsidRPr="00984746" w:rsidRDefault="00F734C1" w:rsidP="00BB33BA">
      <w:pPr>
        <w:widowControl w:val="0"/>
        <w:numPr>
          <w:ilvl w:val="12"/>
          <w:numId w:val="0"/>
        </w:numPr>
        <w:ind w:right="90"/>
        <w:jc w:val="center"/>
        <w:rPr>
          <w:b/>
          <w:bCs/>
          <w:u w:val="single"/>
        </w:rPr>
      </w:pPr>
      <w:r>
        <w:rPr>
          <w:bCs/>
        </w:rPr>
        <w:br w:type="page"/>
      </w:r>
      <w:r w:rsidR="00984746" w:rsidRPr="00984746">
        <w:rPr>
          <w:b/>
          <w:bCs/>
          <w:u w:val="single"/>
        </w:rPr>
        <w:t>TABLE OF CONTENTS</w:t>
      </w:r>
    </w:p>
    <w:p w:rsidR="00984746" w:rsidRDefault="00984746" w:rsidP="00BB33BA">
      <w:pPr>
        <w:widowControl w:val="0"/>
        <w:numPr>
          <w:ilvl w:val="12"/>
          <w:numId w:val="0"/>
        </w:numPr>
        <w:ind w:right="90"/>
        <w:jc w:val="center"/>
        <w:rPr>
          <w:bCs/>
        </w:rPr>
      </w:pPr>
    </w:p>
    <w:p w:rsidR="007578C0" w:rsidRDefault="00A45967" w:rsidP="00815659">
      <w:pPr>
        <w:pStyle w:val="TOC1"/>
        <w:rPr>
          <w:rFonts w:asciiTheme="minorHAnsi" w:eastAsiaTheme="minorEastAsia" w:hAnsiTheme="minorHAnsi" w:cstheme="minorBidi"/>
          <w:sz w:val="22"/>
          <w:szCs w:val="22"/>
        </w:rPr>
      </w:pPr>
      <w:r w:rsidRPr="00815659">
        <w:fldChar w:fldCharType="begin"/>
      </w:r>
      <w:r w:rsidR="00984746" w:rsidRPr="00815659">
        <w:instrText xml:space="preserve"> TOC \o "1-3" \h \z \u </w:instrText>
      </w:r>
      <w:r w:rsidRPr="00815659">
        <w:fldChar w:fldCharType="separate"/>
      </w:r>
      <w:hyperlink w:anchor="_Toc422834392" w:history="1">
        <w:r w:rsidR="007578C0" w:rsidRPr="00815659">
          <w:rPr>
            <w:rStyle w:val="Hyperlink"/>
            <w:color w:val="auto"/>
            <w:u w:val="none"/>
          </w:rPr>
          <w:t>PRELIMINARY</w:t>
        </w:r>
        <w:r w:rsidR="007578C0" w:rsidRPr="001E124E">
          <w:rPr>
            <w:rStyle w:val="Hyperlink"/>
          </w:rPr>
          <w:t xml:space="preserve"> STATEMENT</w:t>
        </w:r>
        <w:r w:rsidR="007578C0">
          <w:rPr>
            <w:webHidden/>
          </w:rPr>
          <w:tab/>
        </w:r>
        <w:r>
          <w:rPr>
            <w:webHidden/>
          </w:rPr>
          <w:fldChar w:fldCharType="begin"/>
        </w:r>
        <w:r w:rsidR="007578C0">
          <w:rPr>
            <w:webHidden/>
          </w:rPr>
          <w:instrText xml:space="preserve"> PAGEREF _Toc422834392 \h </w:instrText>
        </w:r>
        <w:r>
          <w:rPr>
            <w:webHidden/>
          </w:rPr>
        </w:r>
        <w:r>
          <w:rPr>
            <w:webHidden/>
          </w:rPr>
          <w:fldChar w:fldCharType="separate"/>
        </w:r>
        <w:r w:rsidR="00952A54">
          <w:rPr>
            <w:webHidden/>
          </w:rPr>
          <w:t>1</w:t>
        </w:r>
        <w:r>
          <w:rPr>
            <w:webHidden/>
          </w:rPr>
          <w:fldChar w:fldCharType="end"/>
        </w:r>
      </w:hyperlink>
    </w:p>
    <w:p w:rsidR="007578C0" w:rsidRDefault="007578C0" w:rsidP="00815659">
      <w:pPr>
        <w:pStyle w:val="TOC1"/>
        <w:rPr>
          <w:rStyle w:val="Hyperlink"/>
        </w:rPr>
      </w:pPr>
    </w:p>
    <w:p w:rsidR="007578C0" w:rsidRDefault="00A45967" w:rsidP="00815659">
      <w:pPr>
        <w:pStyle w:val="TOC1"/>
        <w:rPr>
          <w:rFonts w:asciiTheme="minorHAnsi" w:eastAsiaTheme="minorEastAsia" w:hAnsiTheme="minorHAnsi" w:cstheme="minorBidi"/>
          <w:sz w:val="22"/>
          <w:szCs w:val="22"/>
        </w:rPr>
      </w:pPr>
      <w:hyperlink w:anchor="_Toc422834393" w:history="1">
        <w:r w:rsidR="007578C0" w:rsidRPr="001E124E">
          <w:rPr>
            <w:rStyle w:val="Hyperlink"/>
            <w:lang w:val="en-CA"/>
          </w:rPr>
          <w:t>BACKGROUND OF THE CASE</w:t>
        </w:r>
        <w:r w:rsidR="007578C0">
          <w:rPr>
            <w:webHidden/>
          </w:rPr>
          <w:tab/>
        </w:r>
        <w:r>
          <w:rPr>
            <w:webHidden/>
          </w:rPr>
          <w:fldChar w:fldCharType="begin"/>
        </w:r>
        <w:r w:rsidR="007578C0">
          <w:rPr>
            <w:webHidden/>
          </w:rPr>
          <w:instrText xml:space="preserve"> PAGEREF _Toc422834393 \h </w:instrText>
        </w:r>
        <w:r>
          <w:rPr>
            <w:webHidden/>
          </w:rPr>
        </w:r>
        <w:r>
          <w:rPr>
            <w:webHidden/>
          </w:rPr>
          <w:fldChar w:fldCharType="separate"/>
        </w:r>
        <w:r w:rsidR="00952A54">
          <w:rPr>
            <w:webHidden/>
          </w:rPr>
          <w:t>3</w:t>
        </w:r>
        <w:r>
          <w:rPr>
            <w:webHidden/>
          </w:rPr>
          <w:fldChar w:fldCharType="end"/>
        </w:r>
      </w:hyperlink>
    </w:p>
    <w:p w:rsidR="007578C0" w:rsidRDefault="007578C0" w:rsidP="00815659">
      <w:pPr>
        <w:pStyle w:val="TOC1"/>
        <w:rPr>
          <w:rStyle w:val="Hyperlink"/>
        </w:rPr>
      </w:pPr>
    </w:p>
    <w:p w:rsidR="007578C0" w:rsidRDefault="00A45967" w:rsidP="00815659">
      <w:pPr>
        <w:pStyle w:val="TOC1"/>
        <w:rPr>
          <w:rFonts w:asciiTheme="minorHAnsi" w:eastAsiaTheme="minorEastAsia" w:hAnsiTheme="minorHAnsi" w:cstheme="minorBidi"/>
          <w:sz w:val="22"/>
          <w:szCs w:val="22"/>
        </w:rPr>
      </w:pPr>
      <w:hyperlink w:anchor="_Toc422834394" w:history="1">
        <w:r w:rsidR="007578C0" w:rsidRPr="001E124E">
          <w:rPr>
            <w:rStyle w:val="Hyperlink"/>
          </w:rPr>
          <w:t>STATUTORY AND REGULATORY BACKGROUND</w:t>
        </w:r>
        <w:r w:rsidR="007578C0">
          <w:rPr>
            <w:webHidden/>
          </w:rPr>
          <w:tab/>
        </w:r>
        <w:r>
          <w:rPr>
            <w:webHidden/>
          </w:rPr>
          <w:fldChar w:fldCharType="begin"/>
        </w:r>
        <w:r w:rsidR="007578C0">
          <w:rPr>
            <w:webHidden/>
          </w:rPr>
          <w:instrText xml:space="preserve"> PAGEREF _Toc422834394 \h </w:instrText>
        </w:r>
        <w:r>
          <w:rPr>
            <w:webHidden/>
          </w:rPr>
        </w:r>
        <w:r>
          <w:rPr>
            <w:webHidden/>
          </w:rPr>
          <w:fldChar w:fldCharType="separate"/>
        </w:r>
        <w:r w:rsidR="00952A54">
          <w:rPr>
            <w:webHidden/>
          </w:rPr>
          <w:t>6</w:t>
        </w:r>
        <w:r>
          <w:rPr>
            <w:webHidden/>
          </w:rPr>
          <w:fldChar w:fldCharType="end"/>
        </w:r>
      </w:hyperlink>
    </w:p>
    <w:p w:rsidR="007578C0" w:rsidRDefault="00A45967" w:rsidP="007578C0">
      <w:pPr>
        <w:pStyle w:val="TOC2"/>
        <w:rPr>
          <w:rFonts w:asciiTheme="minorHAnsi" w:eastAsiaTheme="minorEastAsia" w:hAnsiTheme="minorHAnsi" w:cstheme="minorBidi"/>
          <w:noProof/>
          <w:sz w:val="22"/>
          <w:szCs w:val="22"/>
        </w:rPr>
      </w:pPr>
      <w:hyperlink w:anchor="_Toc422834395" w:history="1">
        <w:r w:rsidR="007578C0" w:rsidRPr="001E124E">
          <w:rPr>
            <w:rStyle w:val="Hyperlink"/>
            <w:noProof/>
          </w:rPr>
          <w:t>I.</w:t>
        </w:r>
        <w:r w:rsidR="007578C0">
          <w:rPr>
            <w:rFonts w:asciiTheme="minorHAnsi" w:eastAsiaTheme="minorEastAsia" w:hAnsiTheme="minorHAnsi" w:cstheme="minorBidi"/>
            <w:noProof/>
            <w:sz w:val="22"/>
            <w:szCs w:val="22"/>
          </w:rPr>
          <w:tab/>
        </w:r>
        <w:r w:rsidR="007578C0" w:rsidRPr="001E124E">
          <w:rPr>
            <w:rStyle w:val="Hyperlink"/>
            <w:noProof/>
          </w:rPr>
          <w:t>Title I of the ADA</w:t>
        </w:r>
        <w:r w:rsidR="007578C0">
          <w:rPr>
            <w:noProof/>
            <w:webHidden/>
          </w:rPr>
          <w:tab/>
        </w:r>
        <w:r>
          <w:rPr>
            <w:noProof/>
            <w:webHidden/>
          </w:rPr>
          <w:fldChar w:fldCharType="begin"/>
        </w:r>
        <w:r w:rsidR="007578C0">
          <w:rPr>
            <w:noProof/>
            <w:webHidden/>
          </w:rPr>
          <w:instrText xml:space="preserve"> PAGEREF _Toc422834395 \h </w:instrText>
        </w:r>
        <w:r>
          <w:rPr>
            <w:noProof/>
            <w:webHidden/>
          </w:rPr>
        </w:r>
        <w:r>
          <w:rPr>
            <w:noProof/>
            <w:webHidden/>
          </w:rPr>
          <w:fldChar w:fldCharType="separate"/>
        </w:r>
        <w:r w:rsidR="00952A54">
          <w:rPr>
            <w:noProof/>
            <w:webHidden/>
          </w:rPr>
          <w:t>7</w:t>
        </w:r>
        <w:r>
          <w:rPr>
            <w:noProof/>
            <w:webHidden/>
          </w:rPr>
          <w:fldChar w:fldCharType="end"/>
        </w:r>
      </w:hyperlink>
    </w:p>
    <w:p w:rsidR="007578C0" w:rsidRDefault="00A45967" w:rsidP="007578C0">
      <w:pPr>
        <w:pStyle w:val="TOC2"/>
        <w:rPr>
          <w:rFonts w:asciiTheme="minorHAnsi" w:eastAsiaTheme="minorEastAsia" w:hAnsiTheme="minorHAnsi" w:cstheme="minorBidi"/>
          <w:noProof/>
          <w:sz w:val="22"/>
          <w:szCs w:val="22"/>
        </w:rPr>
      </w:pPr>
      <w:hyperlink w:anchor="_Toc422834396" w:history="1">
        <w:r w:rsidR="007578C0" w:rsidRPr="001E124E">
          <w:rPr>
            <w:rStyle w:val="Hyperlink"/>
            <w:rFonts w:eastAsia="Calibri"/>
            <w:noProof/>
          </w:rPr>
          <w:t>II.</w:t>
        </w:r>
        <w:r w:rsidR="007578C0">
          <w:rPr>
            <w:rFonts w:asciiTheme="minorHAnsi" w:eastAsiaTheme="minorEastAsia" w:hAnsiTheme="minorHAnsi" w:cstheme="minorBidi"/>
            <w:noProof/>
            <w:sz w:val="22"/>
            <w:szCs w:val="22"/>
          </w:rPr>
          <w:tab/>
        </w:r>
        <w:r w:rsidR="007578C0" w:rsidRPr="001E124E">
          <w:rPr>
            <w:rStyle w:val="Hyperlink"/>
            <w:noProof/>
          </w:rPr>
          <w:t>EEOC Regulations</w:t>
        </w:r>
        <w:r w:rsidR="007578C0">
          <w:rPr>
            <w:noProof/>
            <w:webHidden/>
          </w:rPr>
          <w:tab/>
        </w:r>
        <w:r>
          <w:rPr>
            <w:noProof/>
            <w:webHidden/>
          </w:rPr>
          <w:fldChar w:fldCharType="begin"/>
        </w:r>
        <w:r w:rsidR="007578C0">
          <w:rPr>
            <w:noProof/>
            <w:webHidden/>
          </w:rPr>
          <w:instrText xml:space="preserve"> PAGEREF _Toc422834396 \h </w:instrText>
        </w:r>
        <w:r>
          <w:rPr>
            <w:noProof/>
            <w:webHidden/>
          </w:rPr>
        </w:r>
        <w:r>
          <w:rPr>
            <w:noProof/>
            <w:webHidden/>
          </w:rPr>
          <w:fldChar w:fldCharType="separate"/>
        </w:r>
        <w:r w:rsidR="00952A54">
          <w:rPr>
            <w:noProof/>
            <w:webHidden/>
          </w:rPr>
          <w:t>9</w:t>
        </w:r>
        <w:r>
          <w:rPr>
            <w:noProof/>
            <w:webHidden/>
          </w:rPr>
          <w:fldChar w:fldCharType="end"/>
        </w:r>
      </w:hyperlink>
    </w:p>
    <w:p w:rsidR="007578C0" w:rsidRDefault="007578C0" w:rsidP="00815659">
      <w:pPr>
        <w:pStyle w:val="TOC1"/>
        <w:rPr>
          <w:rStyle w:val="Hyperlink"/>
        </w:rPr>
      </w:pPr>
    </w:p>
    <w:p w:rsidR="007578C0" w:rsidRDefault="00A45967" w:rsidP="00815659">
      <w:pPr>
        <w:pStyle w:val="TOC1"/>
        <w:rPr>
          <w:rFonts w:asciiTheme="minorHAnsi" w:eastAsiaTheme="minorEastAsia" w:hAnsiTheme="minorHAnsi" w:cstheme="minorBidi"/>
          <w:sz w:val="22"/>
          <w:szCs w:val="22"/>
        </w:rPr>
      </w:pPr>
      <w:hyperlink w:anchor="_Toc422834397" w:history="1">
        <w:r w:rsidR="007578C0" w:rsidRPr="001E124E">
          <w:rPr>
            <w:rStyle w:val="Hyperlink"/>
          </w:rPr>
          <w:t>DISCUSSION</w:t>
        </w:r>
        <w:r w:rsidR="007578C0">
          <w:rPr>
            <w:webHidden/>
          </w:rPr>
          <w:tab/>
        </w:r>
        <w:r>
          <w:rPr>
            <w:webHidden/>
          </w:rPr>
          <w:fldChar w:fldCharType="begin"/>
        </w:r>
        <w:r w:rsidR="007578C0">
          <w:rPr>
            <w:webHidden/>
          </w:rPr>
          <w:instrText xml:space="preserve"> PAGEREF _Toc422834397 \h </w:instrText>
        </w:r>
        <w:r>
          <w:rPr>
            <w:webHidden/>
          </w:rPr>
        </w:r>
        <w:r>
          <w:rPr>
            <w:webHidden/>
          </w:rPr>
          <w:fldChar w:fldCharType="separate"/>
        </w:r>
        <w:r w:rsidR="00952A54">
          <w:rPr>
            <w:webHidden/>
          </w:rPr>
          <w:t>11</w:t>
        </w:r>
        <w:r>
          <w:rPr>
            <w:webHidden/>
          </w:rPr>
          <w:fldChar w:fldCharType="end"/>
        </w:r>
      </w:hyperlink>
    </w:p>
    <w:p w:rsidR="007578C0" w:rsidRDefault="00A45967" w:rsidP="007578C0">
      <w:pPr>
        <w:pStyle w:val="TOC2"/>
        <w:rPr>
          <w:rFonts w:asciiTheme="minorHAnsi" w:eastAsiaTheme="minorEastAsia" w:hAnsiTheme="minorHAnsi" w:cstheme="minorBidi"/>
          <w:noProof/>
          <w:sz w:val="22"/>
          <w:szCs w:val="22"/>
        </w:rPr>
      </w:pPr>
      <w:hyperlink w:anchor="_Toc422834398" w:history="1">
        <w:r w:rsidR="007578C0" w:rsidRPr="001E124E">
          <w:rPr>
            <w:rStyle w:val="Hyperlink"/>
            <w:noProof/>
          </w:rPr>
          <w:t>I.</w:t>
        </w:r>
        <w:r w:rsidR="007578C0">
          <w:rPr>
            <w:rFonts w:asciiTheme="minorHAnsi" w:eastAsiaTheme="minorEastAsia" w:hAnsiTheme="minorHAnsi" w:cstheme="minorBidi"/>
            <w:noProof/>
            <w:sz w:val="22"/>
            <w:szCs w:val="22"/>
          </w:rPr>
          <w:tab/>
        </w:r>
        <w:r w:rsidR="007578C0" w:rsidRPr="001E124E">
          <w:rPr>
            <w:rStyle w:val="Hyperlink"/>
            <w:noProof/>
          </w:rPr>
          <w:t>The Court Should Deny the City’s Motion for Summary Judgment Because the NYPD Failed to Conduct an Individualized Assessment to Determine if Plaintiff Is Qualified to Perform the Essential Functions of the Job</w:t>
        </w:r>
        <w:r w:rsidR="007578C0">
          <w:rPr>
            <w:noProof/>
            <w:webHidden/>
          </w:rPr>
          <w:tab/>
        </w:r>
        <w:r>
          <w:rPr>
            <w:noProof/>
            <w:webHidden/>
          </w:rPr>
          <w:fldChar w:fldCharType="begin"/>
        </w:r>
        <w:r w:rsidR="007578C0">
          <w:rPr>
            <w:noProof/>
            <w:webHidden/>
          </w:rPr>
          <w:instrText xml:space="preserve"> PAGEREF _Toc422834398 \h </w:instrText>
        </w:r>
        <w:r>
          <w:rPr>
            <w:noProof/>
            <w:webHidden/>
          </w:rPr>
        </w:r>
        <w:r>
          <w:rPr>
            <w:noProof/>
            <w:webHidden/>
          </w:rPr>
          <w:fldChar w:fldCharType="separate"/>
        </w:r>
        <w:r w:rsidR="00952A54">
          <w:rPr>
            <w:noProof/>
            <w:webHidden/>
          </w:rPr>
          <w:t>11</w:t>
        </w:r>
        <w:r>
          <w:rPr>
            <w:noProof/>
            <w:webHidden/>
          </w:rPr>
          <w:fldChar w:fldCharType="end"/>
        </w:r>
      </w:hyperlink>
    </w:p>
    <w:p w:rsidR="007578C0" w:rsidRDefault="00A45967" w:rsidP="007578C0">
      <w:pPr>
        <w:pStyle w:val="TOC2"/>
        <w:rPr>
          <w:rFonts w:asciiTheme="minorHAnsi" w:eastAsiaTheme="minorEastAsia" w:hAnsiTheme="minorHAnsi" w:cstheme="minorBidi"/>
          <w:noProof/>
          <w:sz w:val="22"/>
          <w:szCs w:val="22"/>
        </w:rPr>
      </w:pPr>
      <w:hyperlink w:anchor="_Toc422834399" w:history="1">
        <w:r w:rsidR="007578C0" w:rsidRPr="001E124E">
          <w:rPr>
            <w:rStyle w:val="Hyperlink"/>
            <w:noProof/>
          </w:rPr>
          <w:t>II.</w:t>
        </w:r>
        <w:r w:rsidR="007578C0">
          <w:rPr>
            <w:rFonts w:asciiTheme="minorHAnsi" w:eastAsiaTheme="minorEastAsia" w:hAnsiTheme="minorHAnsi" w:cstheme="minorBidi"/>
            <w:noProof/>
            <w:sz w:val="22"/>
            <w:szCs w:val="22"/>
          </w:rPr>
          <w:tab/>
        </w:r>
        <w:r w:rsidR="007578C0" w:rsidRPr="001E124E">
          <w:rPr>
            <w:rStyle w:val="Hyperlink"/>
            <w:noProof/>
          </w:rPr>
          <w:t>The Court Should Deny the City’s Motion for Summary Judgment Because the Record Reflects Disputes of Material Fact as to Whether the City Has Articulated a Legitimate Non-Discriminatory Reason for Disqualifying Plaintiff</w:t>
        </w:r>
        <w:r w:rsidR="007578C0">
          <w:rPr>
            <w:noProof/>
            <w:webHidden/>
          </w:rPr>
          <w:tab/>
        </w:r>
        <w:r>
          <w:rPr>
            <w:noProof/>
            <w:webHidden/>
          </w:rPr>
          <w:fldChar w:fldCharType="begin"/>
        </w:r>
        <w:r w:rsidR="007578C0">
          <w:rPr>
            <w:noProof/>
            <w:webHidden/>
          </w:rPr>
          <w:instrText xml:space="preserve"> PAGEREF _Toc422834399 \h </w:instrText>
        </w:r>
        <w:r>
          <w:rPr>
            <w:noProof/>
            <w:webHidden/>
          </w:rPr>
        </w:r>
        <w:r>
          <w:rPr>
            <w:noProof/>
            <w:webHidden/>
          </w:rPr>
          <w:fldChar w:fldCharType="separate"/>
        </w:r>
        <w:r w:rsidR="00952A54">
          <w:rPr>
            <w:noProof/>
            <w:webHidden/>
          </w:rPr>
          <w:t>14</w:t>
        </w:r>
        <w:r>
          <w:rPr>
            <w:noProof/>
            <w:webHidden/>
          </w:rPr>
          <w:fldChar w:fldCharType="end"/>
        </w:r>
      </w:hyperlink>
    </w:p>
    <w:p w:rsidR="007578C0" w:rsidRDefault="00A45967" w:rsidP="007578C0">
      <w:pPr>
        <w:pStyle w:val="TOC2"/>
        <w:rPr>
          <w:rFonts w:asciiTheme="minorHAnsi" w:eastAsiaTheme="minorEastAsia" w:hAnsiTheme="minorHAnsi" w:cstheme="minorBidi"/>
          <w:noProof/>
          <w:sz w:val="22"/>
          <w:szCs w:val="22"/>
        </w:rPr>
      </w:pPr>
      <w:hyperlink w:anchor="_Toc422834400" w:history="1">
        <w:r w:rsidR="007578C0" w:rsidRPr="001E124E">
          <w:rPr>
            <w:rStyle w:val="Hyperlink"/>
            <w:noProof/>
          </w:rPr>
          <w:t>III.</w:t>
        </w:r>
        <w:r w:rsidR="007578C0">
          <w:rPr>
            <w:rFonts w:asciiTheme="minorHAnsi" w:eastAsiaTheme="minorEastAsia" w:hAnsiTheme="minorHAnsi" w:cstheme="minorBidi"/>
            <w:noProof/>
            <w:sz w:val="22"/>
            <w:szCs w:val="22"/>
          </w:rPr>
          <w:tab/>
        </w:r>
        <w:r w:rsidR="007578C0" w:rsidRPr="001E124E">
          <w:rPr>
            <w:rStyle w:val="Hyperlink"/>
            <w:noProof/>
          </w:rPr>
          <w:t>The Court Should Deny the City’s Motion for Summary Judgment Because the Record Suggests That the City Has Not Met Its Burden of Demonstrating That Plaintiff Poses a Direct Threat</w:t>
        </w:r>
        <w:r w:rsidR="007578C0">
          <w:rPr>
            <w:noProof/>
            <w:webHidden/>
          </w:rPr>
          <w:tab/>
        </w:r>
        <w:r>
          <w:rPr>
            <w:noProof/>
            <w:webHidden/>
          </w:rPr>
          <w:fldChar w:fldCharType="begin"/>
        </w:r>
        <w:r w:rsidR="007578C0">
          <w:rPr>
            <w:noProof/>
            <w:webHidden/>
          </w:rPr>
          <w:instrText xml:space="preserve"> PAGEREF _Toc422834400 \h </w:instrText>
        </w:r>
        <w:r>
          <w:rPr>
            <w:noProof/>
            <w:webHidden/>
          </w:rPr>
        </w:r>
        <w:r>
          <w:rPr>
            <w:noProof/>
            <w:webHidden/>
          </w:rPr>
          <w:fldChar w:fldCharType="separate"/>
        </w:r>
        <w:r w:rsidR="00952A54">
          <w:rPr>
            <w:noProof/>
            <w:webHidden/>
          </w:rPr>
          <w:t>15</w:t>
        </w:r>
        <w:r>
          <w:rPr>
            <w:noProof/>
            <w:webHidden/>
          </w:rPr>
          <w:fldChar w:fldCharType="end"/>
        </w:r>
      </w:hyperlink>
    </w:p>
    <w:p w:rsidR="007578C0" w:rsidRDefault="007578C0" w:rsidP="00815659">
      <w:pPr>
        <w:pStyle w:val="TOC1"/>
        <w:rPr>
          <w:rStyle w:val="Hyperlink"/>
        </w:rPr>
      </w:pPr>
    </w:p>
    <w:p w:rsidR="007578C0" w:rsidRDefault="00A45967" w:rsidP="00815659">
      <w:pPr>
        <w:pStyle w:val="TOC1"/>
        <w:rPr>
          <w:rFonts w:asciiTheme="minorHAnsi" w:eastAsiaTheme="minorEastAsia" w:hAnsiTheme="minorHAnsi" w:cstheme="minorBidi"/>
          <w:sz w:val="22"/>
          <w:szCs w:val="22"/>
        </w:rPr>
      </w:pPr>
      <w:hyperlink w:anchor="_Toc422834401" w:history="1">
        <w:r w:rsidR="007578C0" w:rsidRPr="001E124E">
          <w:rPr>
            <w:rStyle w:val="Hyperlink"/>
          </w:rPr>
          <w:t>CONCLUSION</w:t>
        </w:r>
        <w:r w:rsidR="007578C0">
          <w:rPr>
            <w:webHidden/>
          </w:rPr>
          <w:tab/>
        </w:r>
        <w:r>
          <w:rPr>
            <w:webHidden/>
          </w:rPr>
          <w:fldChar w:fldCharType="begin"/>
        </w:r>
        <w:r w:rsidR="007578C0">
          <w:rPr>
            <w:webHidden/>
          </w:rPr>
          <w:instrText xml:space="preserve"> PAGEREF _Toc422834401 \h </w:instrText>
        </w:r>
        <w:r>
          <w:rPr>
            <w:webHidden/>
          </w:rPr>
        </w:r>
        <w:r>
          <w:rPr>
            <w:webHidden/>
          </w:rPr>
          <w:fldChar w:fldCharType="separate"/>
        </w:r>
        <w:r w:rsidR="00952A54">
          <w:rPr>
            <w:webHidden/>
          </w:rPr>
          <w:t>17</w:t>
        </w:r>
        <w:r>
          <w:rPr>
            <w:webHidden/>
          </w:rPr>
          <w:fldChar w:fldCharType="end"/>
        </w:r>
      </w:hyperlink>
    </w:p>
    <w:p w:rsidR="00984746" w:rsidRDefault="00A45967" w:rsidP="00B454B0">
      <w:pPr>
        <w:widowControl w:val="0"/>
        <w:numPr>
          <w:ilvl w:val="12"/>
          <w:numId w:val="0"/>
        </w:numPr>
        <w:tabs>
          <w:tab w:val="right" w:leader="dot" w:pos="9360"/>
        </w:tabs>
        <w:ind w:right="720"/>
        <w:jc w:val="center"/>
      </w:pPr>
      <w:r>
        <w:fldChar w:fldCharType="end"/>
      </w:r>
    </w:p>
    <w:p w:rsidR="00984746" w:rsidRPr="00984746" w:rsidRDefault="00984746" w:rsidP="00BB33BA">
      <w:pPr>
        <w:widowControl w:val="0"/>
        <w:numPr>
          <w:ilvl w:val="12"/>
          <w:numId w:val="0"/>
        </w:numPr>
        <w:ind w:right="90"/>
        <w:jc w:val="center"/>
        <w:rPr>
          <w:b/>
          <w:u w:val="single"/>
        </w:rPr>
      </w:pPr>
      <w:r>
        <w:br w:type="page"/>
      </w:r>
      <w:r w:rsidRPr="00984746">
        <w:rPr>
          <w:b/>
          <w:u w:val="single"/>
        </w:rPr>
        <w:t>TABLE OF AUTHORITIES</w:t>
      </w:r>
    </w:p>
    <w:p w:rsidR="00F734C1" w:rsidRDefault="00BB33BA" w:rsidP="00BB33BA">
      <w:pPr>
        <w:widowControl w:val="0"/>
        <w:numPr>
          <w:ilvl w:val="12"/>
          <w:numId w:val="0"/>
        </w:numPr>
        <w:ind w:right="90"/>
        <w:jc w:val="center"/>
      </w:pPr>
      <w:r>
        <w:t xml:space="preserve"> </w:t>
      </w:r>
    </w:p>
    <w:p w:rsidR="00AA47AB" w:rsidRDefault="00A45967">
      <w:pPr>
        <w:pStyle w:val="TOAHeading"/>
        <w:tabs>
          <w:tab w:val="right" w:leader="dot" w:pos="9350"/>
        </w:tabs>
        <w:rPr>
          <w:rFonts w:asciiTheme="minorHAnsi" w:eastAsiaTheme="minorEastAsia" w:hAnsiTheme="minorHAnsi" w:cstheme="minorBidi"/>
          <w:b w:val="0"/>
          <w:bCs w:val="0"/>
          <w:noProof/>
          <w:sz w:val="22"/>
          <w:szCs w:val="22"/>
        </w:rPr>
      </w:pPr>
      <w:r w:rsidRPr="00391B7C">
        <w:rPr>
          <w:rFonts w:ascii="Times New Roman" w:hAnsi="Times New Roman"/>
        </w:rPr>
        <w:fldChar w:fldCharType="begin"/>
      </w:r>
      <w:r w:rsidR="00391B7C" w:rsidRPr="00391B7C">
        <w:rPr>
          <w:rFonts w:ascii="Times New Roman" w:hAnsi="Times New Roman"/>
        </w:rPr>
        <w:instrText xml:space="preserve"> TOA \h \c "1" \p </w:instrText>
      </w:r>
      <w:r w:rsidRPr="00391B7C">
        <w:rPr>
          <w:rFonts w:ascii="Times New Roman" w:hAnsi="Times New Roman"/>
        </w:rPr>
        <w:fldChar w:fldCharType="separate"/>
      </w:r>
      <w:r w:rsidR="00AA47AB">
        <w:rPr>
          <w:noProof/>
        </w:rPr>
        <w:t>Federal Cases</w:t>
      </w:r>
    </w:p>
    <w:p w:rsidR="00AA47AB" w:rsidRDefault="00AA47AB">
      <w:pPr>
        <w:pStyle w:val="TableofAuthorities"/>
        <w:tabs>
          <w:tab w:val="right" w:leader="dot" w:pos="9350"/>
        </w:tabs>
        <w:rPr>
          <w:noProof/>
        </w:rPr>
      </w:pPr>
      <w:r w:rsidRPr="00805BEA">
        <w:rPr>
          <w:i/>
          <w:noProof/>
        </w:rPr>
        <w:t>Castellano v. City of N.Y.</w:t>
      </w:r>
      <w:r w:rsidRPr="00805BEA">
        <w:rPr>
          <w:noProof/>
        </w:rPr>
        <w:t>, 142 F.3d 58 (2d Cir. 1998)</w:t>
      </w:r>
      <w:r>
        <w:rPr>
          <w:noProof/>
        </w:rPr>
        <w:tab/>
        <w:t>7</w:t>
      </w:r>
    </w:p>
    <w:p w:rsidR="00AA47AB" w:rsidRDefault="00AA47AB">
      <w:pPr>
        <w:pStyle w:val="TableofAuthorities"/>
        <w:tabs>
          <w:tab w:val="right" w:leader="dot" w:pos="9350"/>
        </w:tabs>
        <w:rPr>
          <w:noProof/>
        </w:rPr>
      </w:pPr>
      <w:r w:rsidRPr="00805BEA">
        <w:rPr>
          <w:i/>
          <w:noProof/>
        </w:rPr>
        <w:t>Chevron U.S.A., Inc.</w:t>
      </w:r>
      <w:r w:rsidRPr="00805BEA">
        <w:rPr>
          <w:i/>
          <w:noProof/>
          <w:spacing w:val="32"/>
        </w:rPr>
        <w:t xml:space="preserve"> </w:t>
      </w:r>
      <w:r w:rsidRPr="00805BEA">
        <w:rPr>
          <w:i/>
          <w:noProof/>
        </w:rPr>
        <w:t>v.</w:t>
      </w:r>
      <w:r w:rsidRPr="00805BEA">
        <w:rPr>
          <w:i/>
          <w:noProof/>
          <w:spacing w:val="32"/>
        </w:rPr>
        <w:t xml:space="preserve"> </w:t>
      </w:r>
      <w:r w:rsidRPr="00805BEA">
        <w:rPr>
          <w:i/>
          <w:noProof/>
        </w:rPr>
        <w:t>Echazabal</w:t>
      </w:r>
      <w:r>
        <w:rPr>
          <w:noProof/>
        </w:rPr>
        <w:t>,</w:t>
      </w:r>
      <w:r w:rsidRPr="00805BEA">
        <w:rPr>
          <w:noProof/>
          <w:spacing w:val="32"/>
        </w:rPr>
        <w:t xml:space="preserve"> </w:t>
      </w:r>
      <w:r>
        <w:rPr>
          <w:noProof/>
        </w:rPr>
        <w:t>536</w:t>
      </w:r>
      <w:r w:rsidRPr="00805BEA">
        <w:rPr>
          <w:noProof/>
          <w:spacing w:val="32"/>
        </w:rPr>
        <w:t xml:space="preserve"> </w:t>
      </w:r>
      <w:r>
        <w:rPr>
          <w:noProof/>
        </w:rPr>
        <w:t>U.S.</w:t>
      </w:r>
      <w:r w:rsidRPr="00805BEA">
        <w:rPr>
          <w:noProof/>
          <w:spacing w:val="32"/>
        </w:rPr>
        <w:t xml:space="preserve"> </w:t>
      </w:r>
      <w:r>
        <w:rPr>
          <w:noProof/>
        </w:rPr>
        <w:t>73</w:t>
      </w:r>
      <w:r w:rsidRPr="00805BEA">
        <w:rPr>
          <w:noProof/>
          <w:spacing w:val="33"/>
        </w:rPr>
        <w:t xml:space="preserve"> </w:t>
      </w:r>
      <w:r>
        <w:rPr>
          <w:noProof/>
        </w:rPr>
        <w:t>(2002)</w:t>
      </w:r>
      <w:r>
        <w:rPr>
          <w:noProof/>
        </w:rPr>
        <w:tab/>
        <w:t>3, 11</w:t>
      </w:r>
    </w:p>
    <w:p w:rsidR="00AA47AB" w:rsidRDefault="00AA47AB">
      <w:pPr>
        <w:pStyle w:val="TableofAuthorities"/>
        <w:tabs>
          <w:tab w:val="right" w:leader="dot" w:pos="9350"/>
        </w:tabs>
        <w:rPr>
          <w:noProof/>
        </w:rPr>
      </w:pPr>
      <w:r w:rsidRPr="00805BEA">
        <w:rPr>
          <w:i/>
          <w:noProof/>
        </w:rPr>
        <w:t>Civic Assoc. of the Deaf of N.Y. City, Inc.</w:t>
      </w:r>
      <w:r>
        <w:rPr>
          <w:noProof/>
        </w:rPr>
        <w:t>, 915 F. Supp. 622 (S.D.N.Y. 1996)</w:t>
      </w:r>
      <w:r>
        <w:rPr>
          <w:noProof/>
        </w:rPr>
        <w:tab/>
        <w:t>9</w:t>
      </w:r>
    </w:p>
    <w:p w:rsidR="00AA47AB" w:rsidRDefault="00AA47AB">
      <w:pPr>
        <w:pStyle w:val="TableofAuthorities"/>
        <w:tabs>
          <w:tab w:val="right" w:leader="dot" w:pos="9350"/>
        </w:tabs>
        <w:rPr>
          <w:noProof/>
        </w:rPr>
      </w:pPr>
      <w:r w:rsidRPr="00805BEA">
        <w:rPr>
          <w:i/>
          <w:noProof/>
        </w:rPr>
        <w:t>Delaney v. Bank of Am. Corp.</w:t>
      </w:r>
      <w:r>
        <w:rPr>
          <w:noProof/>
        </w:rPr>
        <w:t>, 766 F.3d 163 (2d Cir. 2014)</w:t>
      </w:r>
      <w:r>
        <w:rPr>
          <w:noProof/>
        </w:rPr>
        <w:tab/>
        <w:t>3</w:t>
      </w:r>
    </w:p>
    <w:p w:rsidR="00AA47AB" w:rsidRDefault="00AA47AB">
      <w:pPr>
        <w:pStyle w:val="TableofAuthorities"/>
        <w:tabs>
          <w:tab w:val="right" w:leader="dot" w:pos="9350"/>
        </w:tabs>
        <w:rPr>
          <w:noProof/>
        </w:rPr>
      </w:pPr>
      <w:r w:rsidRPr="00805BEA">
        <w:rPr>
          <w:i/>
          <w:noProof/>
        </w:rPr>
        <w:t>Dipol v. New York City Transit Auth.</w:t>
      </w:r>
      <w:r>
        <w:rPr>
          <w:noProof/>
        </w:rPr>
        <w:t>, 999 F. Supp. 309 (E.D.N.Y. 1998)</w:t>
      </w:r>
      <w:r>
        <w:rPr>
          <w:noProof/>
        </w:rPr>
        <w:tab/>
        <w:t>12</w:t>
      </w:r>
    </w:p>
    <w:p w:rsidR="00AA47AB" w:rsidRDefault="00AA47AB">
      <w:pPr>
        <w:pStyle w:val="TableofAuthorities"/>
        <w:tabs>
          <w:tab w:val="right" w:leader="dot" w:pos="9350"/>
        </w:tabs>
        <w:rPr>
          <w:noProof/>
        </w:rPr>
      </w:pPr>
      <w:r w:rsidRPr="00805BEA">
        <w:rPr>
          <w:bCs/>
          <w:i/>
          <w:noProof/>
        </w:rPr>
        <w:t>Doe v. Deer Mountain Day Camp, Inc.</w:t>
      </w:r>
      <w:r w:rsidRPr="00805BEA">
        <w:rPr>
          <w:bCs/>
          <w:noProof/>
        </w:rPr>
        <w:t>, 682 F. Supp. 2d 324 (S.D.N.Y. 2010)</w:t>
      </w:r>
      <w:r>
        <w:rPr>
          <w:noProof/>
        </w:rPr>
        <w:tab/>
        <w:t>16</w:t>
      </w:r>
    </w:p>
    <w:p w:rsidR="00AA47AB" w:rsidRDefault="00AA47AB">
      <w:pPr>
        <w:pStyle w:val="TableofAuthorities"/>
        <w:tabs>
          <w:tab w:val="right" w:leader="dot" w:pos="9350"/>
        </w:tabs>
        <w:rPr>
          <w:noProof/>
        </w:rPr>
      </w:pPr>
      <w:r w:rsidRPr="00805BEA">
        <w:rPr>
          <w:i/>
          <w:noProof/>
        </w:rPr>
        <w:t>Glaser v. Gap, Inc.</w:t>
      </w:r>
      <w:r>
        <w:rPr>
          <w:noProof/>
        </w:rPr>
        <w:t>, 994 F. Supp. 2d 569 (S.D.N.Y. 2014)</w:t>
      </w:r>
      <w:r>
        <w:rPr>
          <w:noProof/>
        </w:rPr>
        <w:tab/>
        <w:t>8</w:t>
      </w:r>
    </w:p>
    <w:p w:rsidR="00AA47AB" w:rsidRDefault="00AA47AB">
      <w:pPr>
        <w:pStyle w:val="TableofAuthorities"/>
        <w:tabs>
          <w:tab w:val="right" w:leader="dot" w:pos="9350"/>
        </w:tabs>
        <w:rPr>
          <w:noProof/>
        </w:rPr>
      </w:pPr>
      <w:r w:rsidRPr="00805BEA">
        <w:rPr>
          <w:bCs/>
          <w:i/>
          <w:noProof/>
        </w:rPr>
        <w:t>Hargrave v. Vermont</w:t>
      </w:r>
      <w:r w:rsidRPr="00805BEA">
        <w:rPr>
          <w:bCs/>
          <w:noProof/>
        </w:rPr>
        <w:t>, 340 F.3d 27 (2d Cir. 2003)</w:t>
      </w:r>
      <w:r>
        <w:rPr>
          <w:noProof/>
        </w:rPr>
        <w:tab/>
        <w:t>8, 15</w:t>
      </w:r>
    </w:p>
    <w:p w:rsidR="00AA47AB" w:rsidRDefault="00AA47AB">
      <w:pPr>
        <w:pStyle w:val="TableofAuthorities"/>
        <w:tabs>
          <w:tab w:val="right" w:leader="dot" w:pos="9350"/>
        </w:tabs>
        <w:rPr>
          <w:noProof/>
        </w:rPr>
      </w:pPr>
      <w:r w:rsidRPr="00805BEA">
        <w:rPr>
          <w:i/>
          <w:noProof/>
        </w:rPr>
        <w:t>Henrietta D. v. Bloomberg</w:t>
      </w:r>
      <w:r>
        <w:rPr>
          <w:noProof/>
        </w:rPr>
        <w:t>, 331 F.3d 261 (2d Cir. 2003)</w:t>
      </w:r>
      <w:r>
        <w:rPr>
          <w:noProof/>
        </w:rPr>
        <w:tab/>
        <w:t>6</w:t>
      </w:r>
    </w:p>
    <w:p w:rsidR="00AA47AB" w:rsidRDefault="00AA47AB">
      <w:pPr>
        <w:pStyle w:val="TableofAuthorities"/>
        <w:tabs>
          <w:tab w:val="right" w:leader="dot" w:pos="9350"/>
        </w:tabs>
        <w:rPr>
          <w:noProof/>
        </w:rPr>
      </w:pPr>
      <w:r w:rsidRPr="00805BEA">
        <w:rPr>
          <w:i/>
          <w:noProof/>
        </w:rPr>
        <w:t>Lovejoy-Wilson v. NOCO Motor Fuel, Inc.</w:t>
      </w:r>
      <w:r>
        <w:rPr>
          <w:noProof/>
        </w:rPr>
        <w:t>, 263 F.3d 208 (2d Cir. 2001)</w:t>
      </w:r>
      <w:r>
        <w:rPr>
          <w:noProof/>
        </w:rPr>
        <w:tab/>
        <w:t>passim</w:t>
      </w:r>
    </w:p>
    <w:p w:rsidR="00AA47AB" w:rsidRDefault="00AA47AB">
      <w:pPr>
        <w:pStyle w:val="TableofAuthorities"/>
        <w:tabs>
          <w:tab w:val="right" w:leader="dot" w:pos="9350"/>
        </w:tabs>
        <w:rPr>
          <w:noProof/>
        </w:rPr>
      </w:pPr>
      <w:r w:rsidRPr="00805BEA">
        <w:rPr>
          <w:i/>
          <w:noProof/>
        </w:rPr>
        <w:t>Lyons v. Legal Aid Soc’y</w:t>
      </w:r>
      <w:r w:rsidRPr="00805BEA">
        <w:rPr>
          <w:noProof/>
        </w:rPr>
        <w:t>, 68 F.3d 1512 (2d Cir. 1995)</w:t>
      </w:r>
      <w:r>
        <w:rPr>
          <w:noProof/>
        </w:rPr>
        <w:tab/>
        <w:t>7</w:t>
      </w:r>
    </w:p>
    <w:p w:rsidR="00AA47AB" w:rsidRDefault="00AA47AB">
      <w:pPr>
        <w:pStyle w:val="TableofAuthorities"/>
        <w:tabs>
          <w:tab w:val="right" w:leader="dot" w:pos="9350"/>
        </w:tabs>
        <w:rPr>
          <w:noProof/>
        </w:rPr>
      </w:pPr>
      <w:r w:rsidRPr="00805BEA">
        <w:rPr>
          <w:i/>
          <w:noProof/>
        </w:rPr>
        <w:t>Makinen v. City of N.Y.</w:t>
      </w:r>
      <w:r>
        <w:rPr>
          <w:noProof/>
        </w:rPr>
        <w:t>, 53 F. Supp. 3d 676 (S.D.N.Y. 2014)</w:t>
      </w:r>
      <w:r>
        <w:rPr>
          <w:noProof/>
        </w:rPr>
        <w:tab/>
        <w:t>12</w:t>
      </w:r>
    </w:p>
    <w:p w:rsidR="00AA47AB" w:rsidRDefault="00AA47AB">
      <w:pPr>
        <w:pStyle w:val="TableofAuthorities"/>
        <w:tabs>
          <w:tab w:val="right" w:leader="dot" w:pos="9350"/>
        </w:tabs>
        <w:rPr>
          <w:noProof/>
        </w:rPr>
      </w:pPr>
      <w:r w:rsidRPr="00805BEA">
        <w:rPr>
          <w:rFonts w:eastAsia="Calibri"/>
          <w:i/>
          <w:noProof/>
        </w:rPr>
        <w:t>McDonnell Douglas Corp. v. Green</w:t>
      </w:r>
      <w:r w:rsidRPr="00805BEA">
        <w:rPr>
          <w:rFonts w:eastAsia="Calibri"/>
          <w:noProof/>
        </w:rPr>
        <w:t>, 411 U.S. 792 (1973)</w:t>
      </w:r>
      <w:r>
        <w:rPr>
          <w:noProof/>
        </w:rPr>
        <w:tab/>
        <w:t>7</w:t>
      </w:r>
    </w:p>
    <w:p w:rsidR="00AA47AB" w:rsidRDefault="00AA47AB">
      <w:pPr>
        <w:pStyle w:val="TableofAuthorities"/>
        <w:tabs>
          <w:tab w:val="right" w:leader="dot" w:pos="9350"/>
        </w:tabs>
        <w:rPr>
          <w:noProof/>
        </w:rPr>
      </w:pPr>
      <w:r w:rsidRPr="00805BEA">
        <w:rPr>
          <w:i/>
          <w:noProof/>
        </w:rPr>
        <w:t>Nunes v. Wal-Mart Stores, Inc.</w:t>
      </w:r>
      <w:r>
        <w:rPr>
          <w:noProof/>
        </w:rPr>
        <w:t>, 164 F.3d 1243 (9th Cir. 1999)</w:t>
      </w:r>
      <w:r>
        <w:rPr>
          <w:noProof/>
        </w:rPr>
        <w:tab/>
        <w:t>8</w:t>
      </w:r>
    </w:p>
    <w:p w:rsidR="00AA47AB" w:rsidRDefault="00AA47AB">
      <w:pPr>
        <w:pStyle w:val="TableofAuthorities"/>
        <w:tabs>
          <w:tab w:val="right" w:leader="dot" w:pos="9350"/>
        </w:tabs>
        <w:rPr>
          <w:noProof/>
        </w:rPr>
      </w:pPr>
      <w:r w:rsidRPr="00805BEA">
        <w:rPr>
          <w:i/>
          <w:noProof/>
        </w:rPr>
        <w:t>PGA Tour, Inc. v. Martin</w:t>
      </w:r>
      <w:r>
        <w:rPr>
          <w:noProof/>
        </w:rPr>
        <w:t>, 532 U.S. 661 (2001)</w:t>
      </w:r>
      <w:r>
        <w:rPr>
          <w:noProof/>
        </w:rPr>
        <w:tab/>
        <w:t>6</w:t>
      </w:r>
    </w:p>
    <w:p w:rsidR="00AA47AB" w:rsidRDefault="00AA47AB">
      <w:pPr>
        <w:pStyle w:val="TableofAuthorities"/>
        <w:tabs>
          <w:tab w:val="right" w:leader="dot" w:pos="9350"/>
        </w:tabs>
        <w:rPr>
          <w:noProof/>
        </w:rPr>
      </w:pPr>
      <w:r w:rsidRPr="00805BEA">
        <w:rPr>
          <w:i/>
          <w:noProof/>
        </w:rPr>
        <w:t>Rodal v. Anesthesia Grp. of Onondaga, P.C.</w:t>
      </w:r>
      <w:r>
        <w:rPr>
          <w:noProof/>
        </w:rPr>
        <w:t>, 369 F.3d 113 (2d Cir. 2004)</w:t>
      </w:r>
      <w:r>
        <w:rPr>
          <w:noProof/>
        </w:rPr>
        <w:tab/>
        <w:t>2</w:t>
      </w:r>
    </w:p>
    <w:p w:rsidR="00AA47AB" w:rsidRDefault="00AA47AB">
      <w:pPr>
        <w:pStyle w:val="TableofAuthorities"/>
        <w:tabs>
          <w:tab w:val="right" w:leader="dot" w:pos="9350"/>
        </w:tabs>
        <w:rPr>
          <w:noProof/>
        </w:rPr>
      </w:pPr>
      <w:r w:rsidRPr="00805BEA">
        <w:rPr>
          <w:i/>
          <w:noProof/>
        </w:rPr>
        <w:t>School Board of Nassau County, Fla. v. Arline</w:t>
      </w:r>
      <w:r>
        <w:rPr>
          <w:noProof/>
        </w:rPr>
        <w:t>, 480 U.S. 273 (1987)</w:t>
      </w:r>
      <w:r>
        <w:rPr>
          <w:noProof/>
        </w:rPr>
        <w:tab/>
        <w:t>11</w:t>
      </w:r>
    </w:p>
    <w:p w:rsidR="00AA47AB" w:rsidRDefault="00AA47AB">
      <w:pPr>
        <w:pStyle w:val="TableofAuthorities"/>
        <w:tabs>
          <w:tab w:val="right" w:leader="dot" w:pos="9350"/>
        </w:tabs>
        <w:rPr>
          <w:noProof/>
        </w:rPr>
      </w:pPr>
      <w:r w:rsidRPr="00805BEA">
        <w:rPr>
          <w:i/>
          <w:noProof/>
        </w:rPr>
        <w:t>Shannon v. N.Y. City Transit Auth.</w:t>
      </w:r>
      <w:r>
        <w:rPr>
          <w:noProof/>
        </w:rPr>
        <w:t>, 332 F.3d 95 (2d Cir. 2003)</w:t>
      </w:r>
      <w:r>
        <w:rPr>
          <w:noProof/>
        </w:rPr>
        <w:tab/>
        <w:t>14</w:t>
      </w:r>
    </w:p>
    <w:p w:rsidR="00AA47AB" w:rsidRDefault="00AA47AB">
      <w:pPr>
        <w:pStyle w:val="TableofAuthorities"/>
        <w:tabs>
          <w:tab w:val="right" w:leader="dot" w:pos="9350"/>
        </w:tabs>
        <w:rPr>
          <w:noProof/>
        </w:rPr>
      </w:pPr>
      <w:r w:rsidRPr="00805BEA">
        <w:rPr>
          <w:i/>
          <w:noProof/>
        </w:rPr>
        <w:t>Sista v. CDC IXIS North America, Inc.</w:t>
      </w:r>
      <w:r>
        <w:rPr>
          <w:noProof/>
        </w:rPr>
        <w:t>, 445 F.3d 161 (2d Cir. 2006)</w:t>
      </w:r>
      <w:r>
        <w:rPr>
          <w:noProof/>
        </w:rPr>
        <w:tab/>
        <w:t>11, 12</w:t>
      </w:r>
    </w:p>
    <w:p w:rsidR="00AA47AB" w:rsidRDefault="00AA47AB">
      <w:pPr>
        <w:pStyle w:val="TableofAuthorities"/>
        <w:tabs>
          <w:tab w:val="right" w:leader="dot" w:pos="9350"/>
        </w:tabs>
        <w:rPr>
          <w:noProof/>
        </w:rPr>
      </w:pPr>
      <w:r w:rsidRPr="00805BEA">
        <w:rPr>
          <w:i/>
          <w:noProof/>
        </w:rPr>
        <w:t>Stone v. City of Mount Vernon</w:t>
      </w:r>
      <w:r>
        <w:rPr>
          <w:noProof/>
        </w:rPr>
        <w:t>, 118 F.3d 92 (2d Cir. 1997)</w:t>
      </w:r>
      <w:r>
        <w:rPr>
          <w:noProof/>
        </w:rPr>
        <w:tab/>
        <w:t>10</w:t>
      </w:r>
    </w:p>
    <w:p w:rsidR="00AA47AB" w:rsidRDefault="00AA47AB">
      <w:pPr>
        <w:pStyle w:val="TableofAuthorities"/>
        <w:tabs>
          <w:tab w:val="right" w:leader="dot" w:pos="9350"/>
        </w:tabs>
        <w:rPr>
          <w:noProof/>
        </w:rPr>
      </w:pPr>
      <w:r w:rsidRPr="00805BEA">
        <w:rPr>
          <w:i/>
          <w:noProof/>
        </w:rPr>
        <w:t>Tcherepnin v. Knight</w:t>
      </w:r>
      <w:r>
        <w:rPr>
          <w:noProof/>
        </w:rPr>
        <w:t>, 389 U.S. 332 (1967)</w:t>
      </w:r>
      <w:r>
        <w:rPr>
          <w:noProof/>
        </w:rPr>
        <w:tab/>
        <w:t>6</w:t>
      </w:r>
    </w:p>
    <w:p w:rsidR="00AA47AB" w:rsidRDefault="00AA47AB">
      <w:pPr>
        <w:pStyle w:val="TableofAuthorities"/>
        <w:tabs>
          <w:tab w:val="right" w:leader="dot" w:pos="9350"/>
        </w:tabs>
        <w:rPr>
          <w:noProof/>
        </w:rPr>
      </w:pPr>
      <w:r w:rsidRPr="00805BEA">
        <w:rPr>
          <w:i/>
          <w:noProof/>
        </w:rPr>
        <w:t>United States v. Morton</w:t>
      </w:r>
      <w:r>
        <w:rPr>
          <w:noProof/>
        </w:rPr>
        <w:t>, 467 U.S. 822 (1984)</w:t>
      </w:r>
      <w:r>
        <w:rPr>
          <w:noProof/>
        </w:rPr>
        <w:tab/>
        <w:t>9</w:t>
      </w:r>
    </w:p>
    <w:p w:rsidR="00AA47AB" w:rsidRDefault="00AA47AB">
      <w:pPr>
        <w:pStyle w:val="TableofAuthorities"/>
        <w:tabs>
          <w:tab w:val="right" w:leader="dot" w:pos="9350"/>
        </w:tabs>
        <w:rPr>
          <w:noProof/>
        </w:rPr>
      </w:pPr>
      <w:r w:rsidRPr="00805BEA">
        <w:rPr>
          <w:i/>
          <w:noProof/>
        </w:rPr>
        <w:t>Young v. Westchester Cnty. Dept. Soc. Svcs.</w:t>
      </w:r>
      <w:r>
        <w:rPr>
          <w:noProof/>
        </w:rPr>
        <w:t>, 57 Fed. App’x. 492 (2d Cir. 2003)</w:t>
      </w:r>
      <w:r>
        <w:rPr>
          <w:noProof/>
        </w:rPr>
        <w:tab/>
        <w:t>7</w:t>
      </w:r>
    </w:p>
    <w:p w:rsidR="00AA47AB" w:rsidRDefault="00A45967">
      <w:pPr>
        <w:pStyle w:val="TOAHeading"/>
        <w:tabs>
          <w:tab w:val="right" w:leader="dot" w:pos="9350"/>
        </w:tabs>
        <w:rPr>
          <w:rFonts w:asciiTheme="minorHAnsi" w:eastAsiaTheme="minorEastAsia" w:hAnsiTheme="minorHAnsi" w:cstheme="minorBidi"/>
          <w:b w:val="0"/>
          <w:bCs w:val="0"/>
          <w:noProof/>
          <w:sz w:val="22"/>
          <w:szCs w:val="22"/>
        </w:rPr>
      </w:pPr>
      <w:r w:rsidRPr="00391B7C">
        <w:rPr>
          <w:rFonts w:ascii="Times New Roman" w:hAnsi="Times New Roman"/>
        </w:rPr>
        <w:fldChar w:fldCharType="end"/>
      </w:r>
      <w:r w:rsidRPr="00391B7C">
        <w:rPr>
          <w:rFonts w:ascii="Times New Roman" w:hAnsi="Times New Roman"/>
        </w:rPr>
        <w:fldChar w:fldCharType="begin"/>
      </w:r>
      <w:r w:rsidR="00391B7C" w:rsidRPr="00391B7C">
        <w:rPr>
          <w:rFonts w:ascii="Times New Roman" w:hAnsi="Times New Roman"/>
        </w:rPr>
        <w:instrText xml:space="preserve"> TOA \h \c "4" \p </w:instrText>
      </w:r>
      <w:r w:rsidRPr="00391B7C">
        <w:rPr>
          <w:rFonts w:ascii="Times New Roman" w:hAnsi="Times New Roman"/>
        </w:rPr>
        <w:fldChar w:fldCharType="separate"/>
      </w:r>
      <w:r w:rsidR="00AA47AB">
        <w:rPr>
          <w:noProof/>
        </w:rPr>
        <w:t>Federal Statutes</w:t>
      </w:r>
    </w:p>
    <w:p w:rsidR="00AA47AB" w:rsidRDefault="00AA47AB">
      <w:pPr>
        <w:pStyle w:val="TableofAuthorities"/>
        <w:tabs>
          <w:tab w:val="right" w:leader="dot" w:pos="9350"/>
        </w:tabs>
        <w:rPr>
          <w:noProof/>
        </w:rPr>
      </w:pPr>
      <w:r>
        <w:rPr>
          <w:noProof/>
        </w:rPr>
        <w:t>28 U.S.C. § 517</w:t>
      </w:r>
      <w:r>
        <w:rPr>
          <w:noProof/>
        </w:rPr>
        <w:tab/>
        <w:t>1</w:t>
      </w:r>
    </w:p>
    <w:p w:rsidR="00AA47AB" w:rsidRDefault="00AA47AB">
      <w:pPr>
        <w:pStyle w:val="TableofAuthorities"/>
        <w:tabs>
          <w:tab w:val="right" w:leader="dot" w:pos="9350"/>
        </w:tabs>
        <w:rPr>
          <w:noProof/>
        </w:rPr>
      </w:pPr>
      <w:r>
        <w:rPr>
          <w:noProof/>
        </w:rPr>
        <w:t xml:space="preserve">29 U.S.C. § 794, </w:t>
      </w:r>
      <w:r w:rsidRPr="00A070D8">
        <w:rPr>
          <w:i/>
          <w:noProof/>
        </w:rPr>
        <w:t>et seq.</w:t>
      </w:r>
      <w:r>
        <w:rPr>
          <w:noProof/>
        </w:rPr>
        <w:tab/>
        <w:t>1, 7</w:t>
      </w:r>
    </w:p>
    <w:p w:rsidR="00AA47AB" w:rsidRDefault="00AA47AB">
      <w:pPr>
        <w:pStyle w:val="TableofAuthorities"/>
        <w:tabs>
          <w:tab w:val="right" w:leader="dot" w:pos="9350"/>
        </w:tabs>
        <w:rPr>
          <w:noProof/>
        </w:rPr>
      </w:pPr>
      <w:r>
        <w:rPr>
          <w:noProof/>
        </w:rPr>
        <w:t xml:space="preserve">42 U.S.C. § 12101, </w:t>
      </w:r>
      <w:r w:rsidRPr="00A070D8">
        <w:rPr>
          <w:i/>
          <w:noProof/>
        </w:rPr>
        <w:t>et seq</w:t>
      </w:r>
      <w:r>
        <w:rPr>
          <w:noProof/>
        </w:rPr>
        <w:t>.</w:t>
      </w:r>
      <w:r>
        <w:rPr>
          <w:noProof/>
        </w:rPr>
        <w:tab/>
        <w:t>passim</w:t>
      </w:r>
    </w:p>
    <w:p w:rsidR="00AA47AB" w:rsidRDefault="00A45967">
      <w:pPr>
        <w:pStyle w:val="TOAHeading"/>
        <w:tabs>
          <w:tab w:val="right" w:leader="dot" w:pos="9350"/>
        </w:tabs>
        <w:rPr>
          <w:rFonts w:asciiTheme="minorHAnsi" w:eastAsiaTheme="minorEastAsia" w:hAnsiTheme="minorHAnsi" w:cstheme="minorBidi"/>
          <w:b w:val="0"/>
          <w:bCs w:val="0"/>
          <w:noProof/>
          <w:sz w:val="22"/>
          <w:szCs w:val="22"/>
        </w:rPr>
      </w:pPr>
      <w:r w:rsidRPr="00391B7C">
        <w:rPr>
          <w:rFonts w:ascii="Times New Roman" w:hAnsi="Times New Roman"/>
        </w:rPr>
        <w:fldChar w:fldCharType="end"/>
      </w:r>
      <w:r w:rsidRPr="00391B7C">
        <w:rPr>
          <w:rFonts w:ascii="Times New Roman" w:hAnsi="Times New Roman"/>
        </w:rPr>
        <w:fldChar w:fldCharType="begin"/>
      </w:r>
      <w:r w:rsidR="00391B7C" w:rsidRPr="00391B7C">
        <w:rPr>
          <w:rFonts w:ascii="Times New Roman" w:hAnsi="Times New Roman"/>
        </w:rPr>
        <w:instrText xml:space="preserve"> TOA \h \c "10" \p </w:instrText>
      </w:r>
      <w:r w:rsidRPr="00391B7C">
        <w:rPr>
          <w:rFonts w:ascii="Times New Roman" w:hAnsi="Times New Roman"/>
        </w:rPr>
        <w:fldChar w:fldCharType="separate"/>
      </w:r>
      <w:r w:rsidR="00AA47AB">
        <w:rPr>
          <w:noProof/>
        </w:rPr>
        <w:t>Federal Regulations</w:t>
      </w:r>
    </w:p>
    <w:p w:rsidR="00AA47AB" w:rsidRDefault="00AA47AB">
      <w:pPr>
        <w:pStyle w:val="TableofAuthorities"/>
        <w:tabs>
          <w:tab w:val="right" w:leader="dot" w:pos="9350"/>
        </w:tabs>
        <w:rPr>
          <w:noProof/>
        </w:rPr>
      </w:pPr>
      <w:r>
        <w:rPr>
          <w:noProof/>
        </w:rPr>
        <w:t>29 C.F.R. § 1630.2</w:t>
      </w:r>
      <w:r>
        <w:rPr>
          <w:noProof/>
        </w:rPr>
        <w:tab/>
        <w:t>passim</w:t>
      </w:r>
    </w:p>
    <w:p w:rsidR="00AA47AB" w:rsidRDefault="00AA47AB">
      <w:pPr>
        <w:pStyle w:val="TableofAuthorities"/>
        <w:tabs>
          <w:tab w:val="right" w:leader="dot" w:pos="9350"/>
        </w:tabs>
        <w:rPr>
          <w:noProof/>
        </w:rPr>
      </w:pPr>
      <w:r w:rsidRPr="00A616D9">
        <w:rPr>
          <w:rFonts w:eastAsia="Calibri"/>
          <w:noProof/>
        </w:rPr>
        <w:t>29 C.F.R. § 1630.4</w:t>
      </w:r>
      <w:r>
        <w:rPr>
          <w:noProof/>
        </w:rPr>
        <w:tab/>
        <w:t>7</w:t>
      </w:r>
    </w:p>
    <w:p w:rsidR="00AA47AB" w:rsidRDefault="00A45967">
      <w:pPr>
        <w:pStyle w:val="TOAHeading"/>
        <w:tabs>
          <w:tab w:val="right" w:leader="dot" w:pos="9350"/>
        </w:tabs>
        <w:rPr>
          <w:rFonts w:asciiTheme="minorHAnsi" w:eastAsiaTheme="minorEastAsia" w:hAnsiTheme="minorHAnsi" w:cstheme="minorBidi"/>
          <w:b w:val="0"/>
          <w:bCs w:val="0"/>
          <w:noProof/>
          <w:sz w:val="22"/>
          <w:szCs w:val="22"/>
        </w:rPr>
      </w:pPr>
      <w:r w:rsidRPr="00391B7C">
        <w:rPr>
          <w:rFonts w:ascii="Times New Roman" w:hAnsi="Times New Roman"/>
        </w:rPr>
        <w:fldChar w:fldCharType="end"/>
      </w:r>
      <w:r w:rsidRPr="00A45967">
        <w:rPr>
          <w:rFonts w:ascii="Times New Roman" w:hAnsi="Times New Roman"/>
        </w:rPr>
        <w:fldChar w:fldCharType="begin"/>
      </w:r>
      <w:r w:rsidR="00391B7C" w:rsidRPr="00391B7C">
        <w:rPr>
          <w:rFonts w:ascii="Times New Roman" w:hAnsi="Times New Roman"/>
        </w:rPr>
        <w:instrText xml:space="preserve"> TOA \h \c "13" \p </w:instrText>
      </w:r>
      <w:r w:rsidRPr="00A45967">
        <w:rPr>
          <w:rFonts w:ascii="Times New Roman" w:hAnsi="Times New Roman"/>
        </w:rPr>
        <w:fldChar w:fldCharType="separate"/>
      </w:r>
      <w:r w:rsidR="00AA47AB">
        <w:rPr>
          <w:noProof/>
        </w:rPr>
        <w:t>Other Authorities</w:t>
      </w:r>
      <w:bookmarkStart w:id="0" w:name="_GoBack"/>
      <w:bookmarkEnd w:id="0"/>
    </w:p>
    <w:p w:rsidR="00AA47AB" w:rsidRDefault="00AA47AB">
      <w:pPr>
        <w:pStyle w:val="TableofAuthorities"/>
        <w:tabs>
          <w:tab w:val="right" w:leader="dot" w:pos="9350"/>
        </w:tabs>
        <w:rPr>
          <w:noProof/>
        </w:rPr>
      </w:pPr>
      <w:r>
        <w:rPr>
          <w:noProof/>
        </w:rPr>
        <w:t>H.R. Rep. No. 101-485 (II), at 50 (1990)</w:t>
      </w:r>
      <w:r>
        <w:rPr>
          <w:noProof/>
        </w:rPr>
        <w:tab/>
        <w:t>6</w:t>
      </w:r>
    </w:p>
    <w:p w:rsidR="00AA47AB" w:rsidRDefault="00AA47AB">
      <w:pPr>
        <w:pStyle w:val="TableofAuthorities"/>
        <w:tabs>
          <w:tab w:val="right" w:leader="dot" w:pos="9350"/>
        </w:tabs>
        <w:rPr>
          <w:noProof/>
        </w:rPr>
      </w:pPr>
      <w:r>
        <w:rPr>
          <w:noProof/>
        </w:rPr>
        <w:t xml:space="preserve">N.Y.C. Admin. Code §§ 8-101, </w:t>
      </w:r>
      <w:r w:rsidRPr="00F45D02">
        <w:rPr>
          <w:i/>
          <w:noProof/>
        </w:rPr>
        <w:t>et seq.</w:t>
      </w:r>
      <w:r>
        <w:rPr>
          <w:noProof/>
        </w:rPr>
        <w:tab/>
        <w:t>1</w:t>
      </w:r>
    </w:p>
    <w:p w:rsidR="00D60747" w:rsidRDefault="00A45967" w:rsidP="00B243E6">
      <w:pPr>
        <w:ind w:firstLine="720"/>
        <w:rPr>
          <w:szCs w:val="24"/>
        </w:rPr>
        <w:sectPr w:rsidR="00D60747" w:rsidSect="00D60747">
          <w:pgSz w:w="12240" w:h="15840"/>
          <w:pgMar w:top="1440" w:right="1440" w:bottom="1440" w:left="1440" w:header="720" w:footer="720" w:gutter="0"/>
          <w:pgNumType w:fmt="lowerRoman"/>
          <w:cols w:space="720"/>
          <w:titlePg/>
          <w:docGrid w:linePitch="360"/>
        </w:sectPr>
      </w:pPr>
      <w:r w:rsidRPr="00391B7C">
        <w:rPr>
          <w:szCs w:val="24"/>
        </w:rPr>
        <w:fldChar w:fldCharType="end"/>
      </w:r>
    </w:p>
    <w:p w:rsidR="009A2F5F" w:rsidRPr="00813A30" w:rsidRDefault="002F16FE" w:rsidP="00971B4B">
      <w:pPr>
        <w:autoSpaceDE w:val="0"/>
        <w:autoSpaceDN w:val="0"/>
        <w:adjustRightInd w:val="0"/>
        <w:spacing w:line="480" w:lineRule="auto"/>
        <w:ind w:firstLine="720"/>
        <w:rPr>
          <w:szCs w:val="24"/>
        </w:rPr>
      </w:pPr>
      <w:r w:rsidRPr="00813A30">
        <w:rPr>
          <w:szCs w:val="24"/>
        </w:rPr>
        <w:t>The United States</w:t>
      </w:r>
      <w:r w:rsidR="009A1CBA" w:rsidRPr="00813A30">
        <w:rPr>
          <w:szCs w:val="24"/>
        </w:rPr>
        <w:t>, by its attorney</w:t>
      </w:r>
      <w:r w:rsidR="002F7CFC">
        <w:rPr>
          <w:szCs w:val="24"/>
        </w:rPr>
        <w:t>,</w:t>
      </w:r>
      <w:r w:rsidR="009A1CBA" w:rsidRPr="00813A30">
        <w:rPr>
          <w:szCs w:val="24"/>
        </w:rPr>
        <w:t xml:space="preserve"> Preet Bharara, </w:t>
      </w:r>
      <w:r w:rsidR="009A1CBA" w:rsidRPr="00813A30">
        <w:t>United States Attorney for the Southern District of New York,</w:t>
      </w:r>
      <w:r w:rsidRPr="00813A30">
        <w:rPr>
          <w:szCs w:val="24"/>
        </w:rPr>
        <w:t xml:space="preserve"> respectfully submits this Statement of Interest, pursuant to 28 U.S.C. §</w:t>
      </w:r>
      <w:r w:rsidR="008C14D9" w:rsidRPr="00813A30">
        <w:rPr>
          <w:szCs w:val="24"/>
        </w:rPr>
        <w:t> </w:t>
      </w:r>
      <w:r w:rsidRPr="00813A30">
        <w:rPr>
          <w:szCs w:val="24"/>
        </w:rPr>
        <w:t>517</w:t>
      </w:r>
      <w:r w:rsidR="00A45967">
        <w:rPr>
          <w:szCs w:val="24"/>
        </w:rPr>
        <w:fldChar w:fldCharType="begin"/>
      </w:r>
      <w:r w:rsidR="009626C5">
        <w:instrText xml:space="preserve"> TA \l "</w:instrText>
      </w:r>
      <w:r w:rsidR="009626C5" w:rsidRPr="00B37397">
        <w:rPr>
          <w:szCs w:val="24"/>
        </w:rPr>
        <w:instrText>28 U.S.C. § 517</w:instrText>
      </w:r>
      <w:r w:rsidR="009626C5">
        <w:instrText xml:space="preserve">" \s "28 U.S.C. § 517" \c 4 </w:instrText>
      </w:r>
      <w:r w:rsidR="00A45967">
        <w:rPr>
          <w:szCs w:val="24"/>
        </w:rPr>
        <w:fldChar w:fldCharType="end"/>
      </w:r>
      <w:r w:rsidRPr="00813A30">
        <w:rPr>
          <w:szCs w:val="24"/>
        </w:rPr>
        <w:t>,</w:t>
      </w:r>
      <w:r w:rsidR="008574F6" w:rsidRPr="00813A30">
        <w:rPr>
          <w:rStyle w:val="FootnoteReference"/>
          <w:szCs w:val="24"/>
        </w:rPr>
        <w:footnoteReference w:id="1"/>
      </w:r>
      <w:r w:rsidR="00BB4B95">
        <w:rPr>
          <w:szCs w:val="24"/>
        </w:rPr>
        <w:t xml:space="preserve"> in</w:t>
      </w:r>
      <w:r w:rsidR="0092196D">
        <w:rPr>
          <w:szCs w:val="24"/>
        </w:rPr>
        <w:t xml:space="preserve"> support of Plaintiff’s</w:t>
      </w:r>
      <w:r w:rsidR="00BB4B95">
        <w:rPr>
          <w:szCs w:val="24"/>
        </w:rPr>
        <w:t xml:space="preserve"> </w:t>
      </w:r>
      <w:r w:rsidR="000008E9">
        <w:rPr>
          <w:szCs w:val="24"/>
        </w:rPr>
        <w:t xml:space="preserve">opposition to </w:t>
      </w:r>
      <w:r w:rsidR="004F7ACF">
        <w:rPr>
          <w:szCs w:val="24"/>
        </w:rPr>
        <w:t xml:space="preserve">the motion for summary judgment filed by </w:t>
      </w:r>
      <w:r w:rsidR="000008E9">
        <w:rPr>
          <w:szCs w:val="24"/>
        </w:rPr>
        <w:t>defendants the New York City Police Department</w:t>
      </w:r>
      <w:r w:rsidR="00BF4B98">
        <w:rPr>
          <w:szCs w:val="24"/>
        </w:rPr>
        <w:t xml:space="preserve"> (the “NYPD”)</w:t>
      </w:r>
      <w:r w:rsidR="000008E9">
        <w:rPr>
          <w:szCs w:val="24"/>
        </w:rPr>
        <w:t>, the City of New York, Eli J. Kleinman, as Chief Surgeo</w:t>
      </w:r>
      <w:r w:rsidR="00517256">
        <w:rPr>
          <w:szCs w:val="24"/>
        </w:rPr>
        <w:t>n</w:t>
      </w:r>
      <w:r w:rsidR="000008E9">
        <w:rPr>
          <w:szCs w:val="24"/>
        </w:rPr>
        <w:t xml:space="preserve"> of the</w:t>
      </w:r>
      <w:r w:rsidR="006518F9">
        <w:rPr>
          <w:szCs w:val="24"/>
        </w:rPr>
        <w:t xml:space="preserve"> New York City Policy Department</w:t>
      </w:r>
      <w:r w:rsidR="00CA21E2">
        <w:rPr>
          <w:szCs w:val="24"/>
        </w:rPr>
        <w:t xml:space="preserve"> (“Dr. </w:t>
      </w:r>
      <w:proofErr w:type="spellStart"/>
      <w:r w:rsidR="00CA21E2">
        <w:rPr>
          <w:szCs w:val="24"/>
        </w:rPr>
        <w:t>Kleinman</w:t>
      </w:r>
      <w:proofErr w:type="spellEnd"/>
      <w:r w:rsidR="00CA21E2">
        <w:rPr>
          <w:szCs w:val="24"/>
        </w:rPr>
        <w:t>”)</w:t>
      </w:r>
      <w:r w:rsidR="006518F9">
        <w:rPr>
          <w:szCs w:val="24"/>
        </w:rPr>
        <w:t>,</w:t>
      </w:r>
      <w:r w:rsidR="000008E9">
        <w:rPr>
          <w:szCs w:val="24"/>
        </w:rPr>
        <w:t xml:space="preserve"> and Raymond W. Kelly, as Commissioner of the New York City Police Department (collectively the “City” or “Defendants”)</w:t>
      </w:r>
      <w:r w:rsidR="00517256">
        <w:rPr>
          <w:szCs w:val="24"/>
        </w:rPr>
        <w:t>.</w:t>
      </w:r>
      <w:r w:rsidR="009A1CBA" w:rsidRPr="00813A30">
        <w:rPr>
          <w:szCs w:val="24"/>
        </w:rPr>
        <w:t xml:space="preserve"> </w:t>
      </w:r>
      <w:r w:rsidR="00BB4B95">
        <w:rPr>
          <w:szCs w:val="24"/>
        </w:rPr>
        <w:t xml:space="preserve"> </w:t>
      </w:r>
    </w:p>
    <w:p w:rsidR="009A2F5F" w:rsidRPr="00815659" w:rsidRDefault="009A2F5F" w:rsidP="00815659">
      <w:pPr>
        <w:pStyle w:val="Heading2"/>
      </w:pPr>
      <w:bookmarkStart w:id="1" w:name="_Toc422834392"/>
      <w:r w:rsidRPr="00815659">
        <w:t>PRELIMINARY STATEMENT</w:t>
      </w:r>
      <w:bookmarkEnd w:id="1"/>
    </w:p>
    <w:p w:rsidR="005F4487" w:rsidRPr="005F4487" w:rsidRDefault="005F4487" w:rsidP="005F4487"/>
    <w:p w:rsidR="009626C5" w:rsidRDefault="00517256" w:rsidP="00B6392F">
      <w:pPr>
        <w:autoSpaceDE w:val="0"/>
        <w:autoSpaceDN w:val="0"/>
        <w:adjustRightInd w:val="0"/>
        <w:spacing w:line="480" w:lineRule="auto"/>
        <w:ind w:firstLine="720"/>
        <w:rPr>
          <w:szCs w:val="24"/>
        </w:rPr>
      </w:pPr>
      <w:r>
        <w:rPr>
          <w:szCs w:val="24"/>
        </w:rPr>
        <w:t>Pl</w:t>
      </w:r>
      <w:r w:rsidR="009C77A1">
        <w:rPr>
          <w:szCs w:val="24"/>
        </w:rPr>
        <w:t xml:space="preserve">aintiff Jonathan Pesce (“Plaintiff”) </w:t>
      </w:r>
      <w:r w:rsidR="00E64C48">
        <w:rPr>
          <w:szCs w:val="24"/>
        </w:rPr>
        <w:t xml:space="preserve">asserts causes of action </w:t>
      </w:r>
      <w:r>
        <w:rPr>
          <w:szCs w:val="24"/>
        </w:rPr>
        <w:t xml:space="preserve">against the City </w:t>
      </w:r>
      <w:r w:rsidR="00E64C48">
        <w:rPr>
          <w:szCs w:val="24"/>
        </w:rPr>
        <w:t>pursuant to</w:t>
      </w:r>
      <w:r>
        <w:rPr>
          <w:szCs w:val="24"/>
        </w:rPr>
        <w:t xml:space="preserve"> Section 504 of the Rehabilitation Act of 1973 (“Section 504”), 29 U.S.C. § 794, </w:t>
      </w:r>
      <w:r>
        <w:rPr>
          <w:i/>
          <w:szCs w:val="24"/>
        </w:rPr>
        <w:t>et seq.</w:t>
      </w:r>
      <w:r w:rsidR="00A45967">
        <w:rPr>
          <w:i/>
          <w:szCs w:val="24"/>
        </w:rPr>
        <w:fldChar w:fldCharType="begin"/>
      </w:r>
      <w:r w:rsidR="009626C5">
        <w:instrText xml:space="preserve"> TA \l "</w:instrText>
      </w:r>
      <w:r w:rsidR="009626C5" w:rsidRPr="003048AB">
        <w:rPr>
          <w:szCs w:val="24"/>
        </w:rPr>
        <w:instrText xml:space="preserve">29 U.S.C. § 794, </w:instrText>
      </w:r>
      <w:r w:rsidR="009626C5" w:rsidRPr="003048AB">
        <w:rPr>
          <w:i/>
          <w:szCs w:val="24"/>
        </w:rPr>
        <w:instrText>et seq.</w:instrText>
      </w:r>
      <w:r w:rsidR="009626C5">
        <w:instrText xml:space="preserve">" \s "29 U.S.C. § 794, et seq." \c 4 </w:instrText>
      </w:r>
      <w:r w:rsidR="00A45967">
        <w:rPr>
          <w:i/>
          <w:szCs w:val="24"/>
        </w:rPr>
        <w:fldChar w:fldCharType="end"/>
      </w:r>
      <w:r>
        <w:rPr>
          <w:szCs w:val="24"/>
        </w:rPr>
        <w:t>, t</w:t>
      </w:r>
      <w:r w:rsidRPr="00813A30">
        <w:rPr>
          <w:szCs w:val="24"/>
        </w:rPr>
        <w:t>he Americans with Disabilities Act of 1990, as amended,</w:t>
      </w:r>
      <w:r>
        <w:rPr>
          <w:szCs w:val="24"/>
        </w:rPr>
        <w:t xml:space="preserve"> (“ADA”), 42 U.S.C. § 12101,</w:t>
      </w:r>
      <w:r w:rsidRPr="00813A30">
        <w:rPr>
          <w:szCs w:val="24"/>
        </w:rPr>
        <w:t xml:space="preserve"> </w:t>
      </w:r>
      <w:r w:rsidRPr="00813A30">
        <w:rPr>
          <w:i/>
          <w:szCs w:val="24"/>
        </w:rPr>
        <w:t>et seq</w:t>
      </w:r>
      <w:r w:rsidRPr="00813A30">
        <w:rPr>
          <w:szCs w:val="24"/>
        </w:rPr>
        <w:t>.</w:t>
      </w:r>
      <w:r w:rsidR="00A45967">
        <w:rPr>
          <w:szCs w:val="24"/>
        </w:rPr>
        <w:fldChar w:fldCharType="begin"/>
      </w:r>
      <w:r w:rsidR="009626C5">
        <w:instrText xml:space="preserve"> TA \l "</w:instrText>
      </w:r>
      <w:r w:rsidR="009626C5" w:rsidRPr="008F7AE0">
        <w:rPr>
          <w:szCs w:val="24"/>
        </w:rPr>
        <w:instrText xml:space="preserve">42 U.S.C. § 12101, </w:instrText>
      </w:r>
      <w:r w:rsidR="009626C5" w:rsidRPr="008F7AE0">
        <w:rPr>
          <w:i/>
          <w:szCs w:val="24"/>
        </w:rPr>
        <w:instrText>et seq</w:instrText>
      </w:r>
      <w:r w:rsidR="009626C5" w:rsidRPr="008F7AE0">
        <w:rPr>
          <w:szCs w:val="24"/>
        </w:rPr>
        <w:instrText>.</w:instrText>
      </w:r>
      <w:r w:rsidR="009626C5">
        <w:instrText xml:space="preserve">" \s "42 U.S.C. § 12101, et seq." \c 4 </w:instrText>
      </w:r>
      <w:r w:rsidR="00A45967">
        <w:rPr>
          <w:szCs w:val="24"/>
        </w:rPr>
        <w:fldChar w:fldCharType="end"/>
      </w:r>
      <w:r w:rsidR="00E64C48">
        <w:rPr>
          <w:szCs w:val="24"/>
        </w:rPr>
        <w:t xml:space="preserve">, and the New York City Human Rights Law (“NYCHRL”), N.Y.C. Admin. Code §§ 8-101, </w:t>
      </w:r>
      <w:r w:rsidR="00E64C48">
        <w:rPr>
          <w:i/>
          <w:szCs w:val="24"/>
        </w:rPr>
        <w:t>et seq.</w:t>
      </w:r>
      <w:r w:rsidR="00A45967">
        <w:rPr>
          <w:i/>
          <w:szCs w:val="24"/>
        </w:rPr>
        <w:fldChar w:fldCharType="begin"/>
      </w:r>
      <w:r w:rsidR="009626C5">
        <w:instrText xml:space="preserve"> TA \l "</w:instrText>
      </w:r>
      <w:r w:rsidR="009626C5" w:rsidRPr="00FA328A">
        <w:rPr>
          <w:szCs w:val="24"/>
        </w:rPr>
        <w:instrText xml:space="preserve">N.Y.C. Admin. Code §§ 8-101, </w:instrText>
      </w:r>
      <w:r w:rsidR="009626C5" w:rsidRPr="00FA328A">
        <w:rPr>
          <w:i/>
          <w:szCs w:val="24"/>
        </w:rPr>
        <w:instrText>et seq.</w:instrText>
      </w:r>
      <w:r w:rsidR="009626C5">
        <w:instrText xml:space="preserve">" \s "N.Y.C. Admin. Code §§ 8-101, et seq." \c 13 </w:instrText>
      </w:r>
      <w:r w:rsidR="00A45967">
        <w:rPr>
          <w:i/>
          <w:szCs w:val="24"/>
        </w:rPr>
        <w:fldChar w:fldCharType="end"/>
      </w:r>
      <w:r w:rsidR="00C910DA">
        <w:rPr>
          <w:szCs w:val="24"/>
        </w:rPr>
        <w:t xml:space="preserve"> </w:t>
      </w:r>
      <w:r w:rsidR="00E64C48">
        <w:rPr>
          <w:szCs w:val="24"/>
        </w:rPr>
        <w:t xml:space="preserve"> In his complaint, Plaintiff alleges that, in violation of these federal and municipal statutes, t</w:t>
      </w:r>
      <w:r>
        <w:rPr>
          <w:szCs w:val="24"/>
        </w:rPr>
        <w:t>he City improperly disqualified him for employment as a</w:t>
      </w:r>
      <w:r w:rsidR="00BF4B98">
        <w:rPr>
          <w:szCs w:val="24"/>
        </w:rPr>
        <w:t>n</w:t>
      </w:r>
      <w:r w:rsidR="00E64C48">
        <w:rPr>
          <w:szCs w:val="24"/>
        </w:rPr>
        <w:t xml:space="preserve"> </w:t>
      </w:r>
      <w:r w:rsidR="00BF4B98">
        <w:rPr>
          <w:szCs w:val="24"/>
        </w:rPr>
        <w:t>NYPD</w:t>
      </w:r>
      <w:r w:rsidR="00E64C48">
        <w:rPr>
          <w:szCs w:val="24"/>
        </w:rPr>
        <w:t xml:space="preserve"> officer</w:t>
      </w:r>
      <w:r w:rsidR="00C910DA">
        <w:rPr>
          <w:szCs w:val="24"/>
        </w:rPr>
        <w:t>.</w:t>
      </w:r>
      <w:r>
        <w:rPr>
          <w:szCs w:val="24"/>
        </w:rPr>
        <w:t xml:space="preserve">  </w:t>
      </w:r>
    </w:p>
    <w:p w:rsidR="00770CED" w:rsidRPr="0010678D" w:rsidRDefault="009626C5" w:rsidP="00B6392F">
      <w:pPr>
        <w:autoSpaceDE w:val="0"/>
        <w:autoSpaceDN w:val="0"/>
        <w:adjustRightInd w:val="0"/>
        <w:spacing w:line="480" w:lineRule="auto"/>
        <w:ind w:firstLine="720"/>
        <w:rPr>
          <w:szCs w:val="24"/>
        </w:rPr>
      </w:pPr>
      <w:r>
        <w:rPr>
          <w:szCs w:val="24"/>
        </w:rPr>
        <w:t xml:space="preserve">The City has now moved for </w:t>
      </w:r>
      <w:r w:rsidR="00517256">
        <w:rPr>
          <w:szCs w:val="24"/>
        </w:rPr>
        <w:t>summary</w:t>
      </w:r>
      <w:r w:rsidR="00DE69CC">
        <w:rPr>
          <w:szCs w:val="24"/>
        </w:rPr>
        <w:t xml:space="preserve"> judgment</w:t>
      </w:r>
      <w:r w:rsidR="00517256">
        <w:rPr>
          <w:szCs w:val="24"/>
        </w:rPr>
        <w:t xml:space="preserve">, </w:t>
      </w:r>
      <w:r>
        <w:rPr>
          <w:szCs w:val="24"/>
        </w:rPr>
        <w:t xml:space="preserve">and in its motion, </w:t>
      </w:r>
      <w:r w:rsidR="00517256">
        <w:rPr>
          <w:szCs w:val="24"/>
        </w:rPr>
        <w:t xml:space="preserve">the City does not dispute that </w:t>
      </w:r>
      <w:r w:rsidR="00E64C48">
        <w:rPr>
          <w:szCs w:val="24"/>
        </w:rPr>
        <w:t xml:space="preserve">Plaintiff was disqualified from employment with the NYPD.  </w:t>
      </w:r>
      <w:r w:rsidR="00E64C48" w:rsidRPr="00517256">
        <w:rPr>
          <w:i/>
          <w:szCs w:val="24"/>
        </w:rPr>
        <w:t>See</w:t>
      </w:r>
      <w:r w:rsidR="00E64C48" w:rsidRPr="00517256">
        <w:rPr>
          <w:szCs w:val="24"/>
        </w:rPr>
        <w:t xml:space="preserve"> Defs. Mem. Law Support Mot. Summ. J. </w:t>
      </w:r>
      <w:r w:rsidR="00BA12DB">
        <w:rPr>
          <w:szCs w:val="24"/>
        </w:rPr>
        <w:t>(“Def</w:t>
      </w:r>
      <w:r w:rsidR="00833CCA">
        <w:rPr>
          <w:szCs w:val="24"/>
        </w:rPr>
        <w:t>s</w:t>
      </w:r>
      <w:r w:rsidR="00BA12DB">
        <w:rPr>
          <w:szCs w:val="24"/>
        </w:rPr>
        <w:t xml:space="preserve">. Mem.”) </w:t>
      </w:r>
      <w:r w:rsidR="00E64C48" w:rsidRPr="00517256">
        <w:rPr>
          <w:szCs w:val="24"/>
        </w:rPr>
        <w:t>6.</w:t>
      </w:r>
      <w:r w:rsidR="00E64C48">
        <w:rPr>
          <w:szCs w:val="24"/>
        </w:rPr>
        <w:t xml:space="preserve">  Nor does the City dispute</w:t>
      </w:r>
      <w:r w:rsidR="0053575C">
        <w:rPr>
          <w:szCs w:val="24"/>
        </w:rPr>
        <w:t xml:space="preserve"> that</w:t>
      </w:r>
      <w:r w:rsidR="00E64C48">
        <w:rPr>
          <w:szCs w:val="24"/>
        </w:rPr>
        <w:t xml:space="preserve">: (1) it is subject to Section 504, the ADA, </w:t>
      </w:r>
      <w:r w:rsidR="004F7ACF">
        <w:rPr>
          <w:szCs w:val="24"/>
        </w:rPr>
        <w:t>and</w:t>
      </w:r>
      <w:r w:rsidR="00E64C48">
        <w:rPr>
          <w:szCs w:val="24"/>
        </w:rPr>
        <w:t xml:space="preserve"> the NYCHRL; or (2) </w:t>
      </w:r>
      <w:r w:rsidR="00517256">
        <w:rPr>
          <w:szCs w:val="24"/>
        </w:rPr>
        <w:t>Plaintiff, as someone who has been diagnosed with epilepsy and has experienced seizures</w:t>
      </w:r>
      <w:r w:rsidR="00381B2B">
        <w:rPr>
          <w:szCs w:val="24"/>
        </w:rPr>
        <w:t xml:space="preserve"> in the past</w:t>
      </w:r>
      <w:r w:rsidR="00517256">
        <w:rPr>
          <w:szCs w:val="24"/>
        </w:rPr>
        <w:t xml:space="preserve">, meets the definition of </w:t>
      </w:r>
      <w:r w:rsidR="0092196D">
        <w:rPr>
          <w:szCs w:val="24"/>
        </w:rPr>
        <w:t xml:space="preserve">an individual with a disability </w:t>
      </w:r>
      <w:r w:rsidR="00517256">
        <w:rPr>
          <w:szCs w:val="24"/>
        </w:rPr>
        <w:t xml:space="preserve">under those statutes.  </w:t>
      </w:r>
      <w:r w:rsidR="00E64C48">
        <w:rPr>
          <w:i/>
          <w:szCs w:val="24"/>
        </w:rPr>
        <w:t>Id.</w:t>
      </w:r>
      <w:r w:rsidR="00517256">
        <w:rPr>
          <w:szCs w:val="24"/>
        </w:rPr>
        <w:t xml:space="preserve">  Instead, the City</w:t>
      </w:r>
      <w:r w:rsidR="00320CEB">
        <w:rPr>
          <w:szCs w:val="24"/>
        </w:rPr>
        <w:t>’s sole argument i</w:t>
      </w:r>
      <w:r w:rsidR="00517256">
        <w:rPr>
          <w:szCs w:val="24"/>
        </w:rPr>
        <w:t xml:space="preserve">s that </w:t>
      </w:r>
      <w:r w:rsidR="00BA12DB">
        <w:rPr>
          <w:szCs w:val="24"/>
        </w:rPr>
        <w:t xml:space="preserve">summary judgment is warranted because </w:t>
      </w:r>
      <w:r w:rsidR="00517256">
        <w:rPr>
          <w:szCs w:val="24"/>
        </w:rPr>
        <w:t xml:space="preserve">Plaintiff was not qualified to </w:t>
      </w:r>
      <w:r w:rsidR="00320CEB">
        <w:rPr>
          <w:szCs w:val="24"/>
        </w:rPr>
        <w:t>perform the essential functions of an NYPD police officer</w:t>
      </w:r>
      <w:r w:rsidR="00CD21ED">
        <w:rPr>
          <w:szCs w:val="24"/>
        </w:rPr>
        <w:t xml:space="preserve"> based on its </w:t>
      </w:r>
      <w:r w:rsidR="00001CFD">
        <w:rPr>
          <w:szCs w:val="24"/>
        </w:rPr>
        <w:t xml:space="preserve">de facto </w:t>
      </w:r>
      <w:r w:rsidR="00CD21ED">
        <w:rPr>
          <w:szCs w:val="24"/>
        </w:rPr>
        <w:t xml:space="preserve">blanket policy </w:t>
      </w:r>
      <w:r w:rsidR="000C6B6F">
        <w:rPr>
          <w:szCs w:val="24"/>
        </w:rPr>
        <w:t>of disqualifying</w:t>
      </w:r>
      <w:r w:rsidR="00CD21ED">
        <w:rPr>
          <w:szCs w:val="24"/>
        </w:rPr>
        <w:t xml:space="preserve"> individuals with epilepsy who use seizure medication</w:t>
      </w:r>
      <w:r w:rsidR="00320CEB">
        <w:rPr>
          <w:szCs w:val="24"/>
        </w:rPr>
        <w:t xml:space="preserve">.  </w:t>
      </w:r>
      <w:r w:rsidR="00E64C48">
        <w:rPr>
          <w:i/>
          <w:szCs w:val="24"/>
        </w:rPr>
        <w:t>See i</w:t>
      </w:r>
      <w:r w:rsidR="00320CEB">
        <w:rPr>
          <w:i/>
          <w:szCs w:val="24"/>
        </w:rPr>
        <w:t>d.</w:t>
      </w:r>
      <w:r w:rsidR="00320CEB">
        <w:rPr>
          <w:szCs w:val="24"/>
        </w:rPr>
        <w:t xml:space="preserve">  </w:t>
      </w:r>
      <w:r w:rsidR="0010678D">
        <w:rPr>
          <w:szCs w:val="24"/>
        </w:rPr>
        <w:t>Specifically, the City argues that Plaintiff</w:t>
      </w:r>
      <w:r w:rsidR="00F6060A">
        <w:rPr>
          <w:szCs w:val="24"/>
        </w:rPr>
        <w:t>, as a result of his disability</w:t>
      </w:r>
      <w:r w:rsidR="006518F9">
        <w:rPr>
          <w:szCs w:val="24"/>
        </w:rPr>
        <w:t xml:space="preserve"> cannot</w:t>
      </w:r>
      <w:r w:rsidR="00F6060A">
        <w:rPr>
          <w:szCs w:val="24"/>
        </w:rPr>
        <w:t xml:space="preserve">: (1) qualify and remain qualified for firearms usage and possession; and (2) </w:t>
      </w:r>
      <w:proofErr w:type="gramStart"/>
      <w:r w:rsidR="00F6060A">
        <w:rPr>
          <w:szCs w:val="24"/>
        </w:rPr>
        <w:t>be</w:t>
      </w:r>
      <w:proofErr w:type="gramEnd"/>
      <w:r w:rsidR="00F6060A">
        <w:rPr>
          <w:szCs w:val="24"/>
        </w:rPr>
        <w:t xml:space="preserve"> competent and prepared for an emergency at any hour.</w:t>
      </w:r>
      <w:r w:rsidR="0010678D">
        <w:rPr>
          <w:szCs w:val="24"/>
        </w:rPr>
        <w:t xml:space="preserve"> </w:t>
      </w:r>
      <w:r w:rsidR="00F6060A">
        <w:rPr>
          <w:szCs w:val="24"/>
        </w:rPr>
        <w:t xml:space="preserve"> </w:t>
      </w:r>
      <w:r w:rsidR="00F6060A">
        <w:rPr>
          <w:i/>
          <w:szCs w:val="24"/>
        </w:rPr>
        <w:t xml:space="preserve">Id. </w:t>
      </w:r>
      <w:r w:rsidR="00F6060A">
        <w:rPr>
          <w:szCs w:val="24"/>
        </w:rPr>
        <w:t xml:space="preserve">at 9-10.  As a result, the City argues that Plaintiff </w:t>
      </w:r>
      <w:r w:rsidR="0010678D">
        <w:rPr>
          <w:szCs w:val="24"/>
        </w:rPr>
        <w:t xml:space="preserve">cannot establish a </w:t>
      </w:r>
      <w:r w:rsidR="0010678D">
        <w:rPr>
          <w:i/>
          <w:szCs w:val="24"/>
        </w:rPr>
        <w:t xml:space="preserve">prima facie </w:t>
      </w:r>
      <w:r w:rsidR="0010678D">
        <w:rPr>
          <w:szCs w:val="24"/>
        </w:rPr>
        <w:t>case</w:t>
      </w:r>
      <w:r w:rsidR="004F7ACF">
        <w:rPr>
          <w:szCs w:val="24"/>
        </w:rPr>
        <w:t xml:space="preserve"> of discrimination on the basis of his disability</w:t>
      </w:r>
      <w:r w:rsidR="0010678D">
        <w:rPr>
          <w:szCs w:val="24"/>
        </w:rPr>
        <w:t xml:space="preserve"> because “for reasons of public safety, candidates with active epilepsy or seizure disorders on medication, like plaintiff, cannot be qualified as a police officer.”  </w:t>
      </w:r>
      <w:r w:rsidR="0010678D">
        <w:rPr>
          <w:i/>
          <w:szCs w:val="24"/>
        </w:rPr>
        <w:t>See</w:t>
      </w:r>
      <w:r w:rsidR="0010678D">
        <w:rPr>
          <w:szCs w:val="24"/>
        </w:rPr>
        <w:t xml:space="preserve"> </w:t>
      </w:r>
      <w:r w:rsidR="0010678D">
        <w:rPr>
          <w:i/>
          <w:szCs w:val="24"/>
        </w:rPr>
        <w:t>id.</w:t>
      </w:r>
      <w:r w:rsidR="0010678D">
        <w:rPr>
          <w:szCs w:val="24"/>
        </w:rPr>
        <w:t xml:space="preserve"> at 10.</w:t>
      </w:r>
    </w:p>
    <w:p w:rsidR="00B6392F" w:rsidRDefault="00B90BEA" w:rsidP="00651568">
      <w:pPr>
        <w:autoSpaceDE w:val="0"/>
        <w:autoSpaceDN w:val="0"/>
        <w:adjustRightInd w:val="0"/>
        <w:spacing w:line="480" w:lineRule="auto"/>
        <w:ind w:firstLine="720"/>
        <w:rPr>
          <w:szCs w:val="24"/>
        </w:rPr>
      </w:pPr>
      <w:r>
        <w:rPr>
          <w:szCs w:val="24"/>
        </w:rPr>
        <w:t xml:space="preserve">Although </w:t>
      </w:r>
      <w:r w:rsidR="0010678D">
        <w:rPr>
          <w:szCs w:val="24"/>
        </w:rPr>
        <w:t>a</w:t>
      </w:r>
      <w:r w:rsidR="00E64C48">
        <w:rPr>
          <w:szCs w:val="24"/>
        </w:rPr>
        <w:t xml:space="preserve"> plaintiff </w:t>
      </w:r>
      <w:r w:rsidR="00770CED">
        <w:rPr>
          <w:szCs w:val="24"/>
        </w:rPr>
        <w:t xml:space="preserve">alleging employment discrimination </w:t>
      </w:r>
      <w:r w:rsidR="00E64C48">
        <w:rPr>
          <w:szCs w:val="24"/>
        </w:rPr>
        <w:t xml:space="preserve">bears the </w:t>
      </w:r>
      <w:r w:rsidR="00506397">
        <w:rPr>
          <w:szCs w:val="24"/>
        </w:rPr>
        <w:t xml:space="preserve">initial </w:t>
      </w:r>
      <w:r w:rsidR="00E64C48">
        <w:rPr>
          <w:szCs w:val="24"/>
        </w:rPr>
        <w:t>burden of establishing</w:t>
      </w:r>
      <w:r w:rsidR="00770CED">
        <w:rPr>
          <w:szCs w:val="24"/>
        </w:rPr>
        <w:t xml:space="preserve"> a</w:t>
      </w:r>
      <w:r w:rsidR="00190010">
        <w:rPr>
          <w:szCs w:val="24"/>
        </w:rPr>
        <w:t>s part of his</w:t>
      </w:r>
      <w:r w:rsidR="00770CED">
        <w:rPr>
          <w:szCs w:val="24"/>
        </w:rPr>
        <w:t xml:space="preserve"> </w:t>
      </w:r>
      <w:r w:rsidR="00E64C48">
        <w:rPr>
          <w:i/>
          <w:szCs w:val="24"/>
        </w:rPr>
        <w:t>prima facie</w:t>
      </w:r>
      <w:r w:rsidR="00E64C48">
        <w:rPr>
          <w:szCs w:val="24"/>
        </w:rPr>
        <w:t xml:space="preserve"> case</w:t>
      </w:r>
      <w:r w:rsidR="00770CED">
        <w:rPr>
          <w:szCs w:val="24"/>
        </w:rPr>
        <w:t xml:space="preserve"> that he was qualified for the position in question,</w:t>
      </w:r>
      <w:r w:rsidR="00E64C48">
        <w:rPr>
          <w:szCs w:val="24"/>
        </w:rPr>
        <w:t xml:space="preserve"> </w:t>
      </w:r>
      <w:r w:rsidR="00770CED">
        <w:rPr>
          <w:szCs w:val="24"/>
        </w:rPr>
        <w:t>the factfinder must loo</w:t>
      </w:r>
      <w:r w:rsidR="0010678D">
        <w:rPr>
          <w:szCs w:val="24"/>
        </w:rPr>
        <w:t>k</w:t>
      </w:r>
      <w:r w:rsidR="00770CED">
        <w:rPr>
          <w:szCs w:val="24"/>
        </w:rPr>
        <w:t xml:space="preserve"> not</w:t>
      </w:r>
      <w:r w:rsidR="00ED1D10">
        <w:rPr>
          <w:szCs w:val="24"/>
        </w:rPr>
        <w:t xml:space="preserve"> only</w:t>
      </w:r>
      <w:r w:rsidR="00770CED">
        <w:rPr>
          <w:szCs w:val="24"/>
        </w:rPr>
        <w:t xml:space="preserve"> at the employer’s judgment as to what functions are essential </w:t>
      </w:r>
      <w:r w:rsidR="0010678D">
        <w:rPr>
          <w:szCs w:val="24"/>
        </w:rPr>
        <w:t xml:space="preserve">to that position, </w:t>
      </w:r>
      <w:r w:rsidR="00770CED">
        <w:rPr>
          <w:szCs w:val="24"/>
        </w:rPr>
        <w:t xml:space="preserve">but </w:t>
      </w:r>
      <w:r w:rsidR="00ED1D10">
        <w:rPr>
          <w:szCs w:val="24"/>
        </w:rPr>
        <w:t xml:space="preserve">also </w:t>
      </w:r>
      <w:r w:rsidR="00770CED">
        <w:rPr>
          <w:szCs w:val="24"/>
        </w:rPr>
        <w:t xml:space="preserve">at </w:t>
      </w:r>
      <w:r w:rsidR="00CD21ED">
        <w:rPr>
          <w:szCs w:val="24"/>
        </w:rPr>
        <w:t xml:space="preserve">objective data and </w:t>
      </w:r>
      <w:r w:rsidR="00770CED">
        <w:rPr>
          <w:szCs w:val="24"/>
        </w:rPr>
        <w:t>the totality of the circumstances</w:t>
      </w:r>
      <w:r w:rsidR="0010678D">
        <w:rPr>
          <w:szCs w:val="24"/>
        </w:rPr>
        <w:t xml:space="preserve"> at issue.  </w:t>
      </w:r>
      <w:r w:rsidR="0010678D">
        <w:rPr>
          <w:i/>
          <w:szCs w:val="24"/>
        </w:rPr>
        <w:t xml:space="preserve">See </w:t>
      </w:r>
      <w:r w:rsidR="0010678D">
        <w:rPr>
          <w:szCs w:val="24"/>
        </w:rPr>
        <w:t>29 C.F.R. § 1630.2</w:t>
      </w:r>
      <w:r w:rsidR="00A45967">
        <w:rPr>
          <w:szCs w:val="24"/>
        </w:rPr>
        <w:fldChar w:fldCharType="begin"/>
      </w:r>
      <w:r w:rsidR="00D77009">
        <w:instrText xml:space="preserve"> TA \l "</w:instrText>
      </w:r>
      <w:r w:rsidR="00D77009" w:rsidRPr="00081507">
        <w:rPr>
          <w:szCs w:val="24"/>
        </w:rPr>
        <w:instrText>29 C.F.R. § 1630.2</w:instrText>
      </w:r>
      <w:r w:rsidR="00D77009">
        <w:instrText xml:space="preserve">" \s "29 C.F.R. § 1630.2" \c 10 </w:instrText>
      </w:r>
      <w:r w:rsidR="00A45967">
        <w:rPr>
          <w:szCs w:val="24"/>
        </w:rPr>
        <w:fldChar w:fldCharType="end"/>
      </w:r>
      <w:r w:rsidR="0010678D">
        <w:rPr>
          <w:szCs w:val="24"/>
        </w:rPr>
        <w:t xml:space="preserve">(n)(3)(i)-(vii); </w:t>
      </w:r>
      <w:r w:rsidR="0010678D" w:rsidRPr="00715C1A">
        <w:rPr>
          <w:i/>
          <w:szCs w:val="24"/>
        </w:rPr>
        <w:t>Rodal v. Anesthesia Grp. of Onondaga, P.C.</w:t>
      </w:r>
      <w:r w:rsidR="0010678D" w:rsidRPr="00715C1A">
        <w:rPr>
          <w:szCs w:val="24"/>
        </w:rPr>
        <w:t>, 369 F.3d 113, 120 (2d Cir. 2004)</w:t>
      </w:r>
      <w:r w:rsidR="00A45967">
        <w:rPr>
          <w:szCs w:val="24"/>
        </w:rPr>
        <w:fldChar w:fldCharType="begin"/>
      </w:r>
      <w:r w:rsidR="009626C5">
        <w:instrText xml:space="preserve"> TA \l "</w:instrText>
      </w:r>
      <w:r w:rsidR="009626C5" w:rsidRPr="00756413">
        <w:rPr>
          <w:i/>
          <w:szCs w:val="24"/>
        </w:rPr>
        <w:instrText>Rodal v. Anesthesia Grp. of Onondaga, P.C.</w:instrText>
      </w:r>
      <w:r w:rsidR="009626C5" w:rsidRPr="00756413">
        <w:rPr>
          <w:szCs w:val="24"/>
        </w:rPr>
        <w:instrText>, 369 F.3d 113 (2d Cir. 2004)</w:instrText>
      </w:r>
      <w:r w:rsidR="009626C5">
        <w:instrText xml:space="preserve">" \s "Rodal v. Anesthesia Grp. of Onondaga, P.C., 369 F.3d 113, 120 (2d Cir. 2004)" \c 1 </w:instrText>
      </w:r>
      <w:r w:rsidR="00A45967">
        <w:rPr>
          <w:szCs w:val="24"/>
        </w:rPr>
        <w:fldChar w:fldCharType="end"/>
      </w:r>
      <w:r w:rsidR="0010678D">
        <w:rPr>
          <w:szCs w:val="24"/>
        </w:rPr>
        <w:t xml:space="preserve"> (“</w:t>
      </w:r>
      <w:r w:rsidR="00BA12DB">
        <w:rPr>
          <w:szCs w:val="24"/>
        </w:rPr>
        <w:t>[</w:t>
      </w:r>
      <w:r w:rsidR="0010678D">
        <w:rPr>
          <w:szCs w:val="24"/>
        </w:rPr>
        <w:t>Plaintiff’s</w:t>
      </w:r>
      <w:r w:rsidR="00BA12DB">
        <w:rPr>
          <w:szCs w:val="24"/>
        </w:rPr>
        <w:t>]</w:t>
      </w:r>
      <w:r w:rsidR="0010678D">
        <w:rPr>
          <w:szCs w:val="24"/>
        </w:rPr>
        <w:t xml:space="preserve"> statements, together with all other relevant evidence, will have to be weighed by the factfinder to determine whether the doctor has established a claim of disability discrimination.”)</w:t>
      </w:r>
      <w:r w:rsidR="00833CCA">
        <w:rPr>
          <w:szCs w:val="24"/>
        </w:rPr>
        <w:t>.</w:t>
      </w:r>
      <w:r w:rsidR="00770CED">
        <w:rPr>
          <w:szCs w:val="24"/>
        </w:rPr>
        <w:t xml:space="preserve"> </w:t>
      </w:r>
      <w:r w:rsidR="00281700">
        <w:rPr>
          <w:szCs w:val="24"/>
        </w:rPr>
        <w:t xml:space="preserve"> </w:t>
      </w:r>
      <w:r w:rsidR="0010678D">
        <w:rPr>
          <w:szCs w:val="24"/>
        </w:rPr>
        <w:t xml:space="preserve"> </w:t>
      </w:r>
      <w:r w:rsidR="00EA3960">
        <w:rPr>
          <w:szCs w:val="24"/>
        </w:rPr>
        <w:t>Furthermore</w:t>
      </w:r>
      <w:r w:rsidR="0010678D">
        <w:rPr>
          <w:szCs w:val="24"/>
        </w:rPr>
        <w:t xml:space="preserve">, </w:t>
      </w:r>
      <w:r w:rsidR="00BA12DB">
        <w:rPr>
          <w:szCs w:val="24"/>
        </w:rPr>
        <w:t>to the extent a defendant</w:t>
      </w:r>
      <w:r w:rsidR="0010678D">
        <w:rPr>
          <w:szCs w:val="24"/>
        </w:rPr>
        <w:t xml:space="preserve"> asserts</w:t>
      </w:r>
      <w:r w:rsidR="00BA12DB">
        <w:rPr>
          <w:szCs w:val="24"/>
        </w:rPr>
        <w:t>, as the City does here,</w:t>
      </w:r>
      <w:r w:rsidR="00EF4966">
        <w:rPr>
          <w:szCs w:val="24"/>
        </w:rPr>
        <w:t xml:space="preserve"> </w:t>
      </w:r>
      <w:r w:rsidR="0010678D" w:rsidRPr="00BA12DB">
        <w:rPr>
          <w:szCs w:val="24"/>
        </w:rPr>
        <w:t>that</w:t>
      </w:r>
      <w:r w:rsidR="0010678D">
        <w:rPr>
          <w:szCs w:val="24"/>
        </w:rPr>
        <w:t xml:space="preserve"> </w:t>
      </w:r>
      <w:r w:rsidR="00BA12DB">
        <w:rPr>
          <w:szCs w:val="24"/>
        </w:rPr>
        <w:t>the plaintiff’s disability would</w:t>
      </w:r>
      <w:r w:rsidR="0010678D">
        <w:rPr>
          <w:szCs w:val="24"/>
        </w:rPr>
        <w:t xml:space="preserve"> present a “direct threat” to </w:t>
      </w:r>
      <w:r w:rsidR="00BA12DB">
        <w:rPr>
          <w:szCs w:val="24"/>
        </w:rPr>
        <w:t xml:space="preserve">the health or safety of others, that </w:t>
      </w:r>
      <w:r w:rsidR="00DE69CC">
        <w:rPr>
          <w:szCs w:val="24"/>
        </w:rPr>
        <w:t>assertion</w:t>
      </w:r>
      <w:r w:rsidR="00BA12DB">
        <w:rPr>
          <w:szCs w:val="24"/>
        </w:rPr>
        <w:t xml:space="preserve"> must be based “upon an expressly individualized assessment of the individual’s present ability to safely perform the essential functions of the job</w:t>
      </w:r>
      <w:r w:rsidR="00EF4966">
        <w:rPr>
          <w:szCs w:val="24"/>
        </w:rPr>
        <w:t>.</w:t>
      </w:r>
      <w:r w:rsidR="00BA12DB">
        <w:rPr>
          <w:szCs w:val="24"/>
        </w:rPr>
        <w:t>”</w:t>
      </w:r>
      <w:r w:rsidR="00EF4966">
        <w:rPr>
          <w:szCs w:val="24"/>
        </w:rPr>
        <w:t xml:space="preserve">  </w:t>
      </w:r>
      <w:r w:rsidR="00EF4966" w:rsidRPr="00F469A2">
        <w:rPr>
          <w:i/>
          <w:szCs w:val="24"/>
        </w:rPr>
        <w:t>Chevron U.S.A., Inc.</w:t>
      </w:r>
      <w:r w:rsidR="00EF4966" w:rsidRPr="00F469A2">
        <w:rPr>
          <w:i/>
          <w:spacing w:val="32"/>
          <w:szCs w:val="24"/>
        </w:rPr>
        <w:t xml:space="preserve"> </w:t>
      </w:r>
      <w:r w:rsidR="00EF4966" w:rsidRPr="00F469A2">
        <w:rPr>
          <w:i/>
          <w:szCs w:val="24"/>
        </w:rPr>
        <w:t>v.</w:t>
      </w:r>
      <w:r w:rsidR="00EF4966" w:rsidRPr="00F469A2">
        <w:rPr>
          <w:i/>
          <w:spacing w:val="32"/>
          <w:szCs w:val="24"/>
        </w:rPr>
        <w:t xml:space="preserve"> </w:t>
      </w:r>
      <w:r w:rsidR="00EF4966" w:rsidRPr="00F469A2">
        <w:rPr>
          <w:i/>
          <w:szCs w:val="24"/>
        </w:rPr>
        <w:t>Echazabal</w:t>
      </w:r>
      <w:r w:rsidR="00EF4966" w:rsidRPr="00F469A2">
        <w:rPr>
          <w:szCs w:val="24"/>
        </w:rPr>
        <w:t>,</w:t>
      </w:r>
      <w:r w:rsidR="00EF4966" w:rsidRPr="00F469A2">
        <w:rPr>
          <w:spacing w:val="32"/>
          <w:szCs w:val="24"/>
        </w:rPr>
        <w:t xml:space="preserve"> </w:t>
      </w:r>
      <w:r w:rsidR="00EF4966" w:rsidRPr="00F469A2">
        <w:rPr>
          <w:szCs w:val="24"/>
        </w:rPr>
        <w:t>536</w:t>
      </w:r>
      <w:r w:rsidR="00EF4966" w:rsidRPr="00F469A2">
        <w:rPr>
          <w:spacing w:val="32"/>
          <w:szCs w:val="24"/>
        </w:rPr>
        <w:t xml:space="preserve"> </w:t>
      </w:r>
      <w:r w:rsidR="00EF4966" w:rsidRPr="00F469A2">
        <w:rPr>
          <w:szCs w:val="24"/>
        </w:rPr>
        <w:t>U.S.</w:t>
      </w:r>
      <w:r w:rsidR="00EF4966" w:rsidRPr="00F469A2">
        <w:rPr>
          <w:spacing w:val="32"/>
          <w:szCs w:val="24"/>
        </w:rPr>
        <w:t xml:space="preserve"> </w:t>
      </w:r>
      <w:r w:rsidR="00EF4966" w:rsidRPr="00F469A2">
        <w:rPr>
          <w:szCs w:val="24"/>
        </w:rPr>
        <w:t>73,</w:t>
      </w:r>
      <w:r w:rsidR="00EF4966" w:rsidRPr="00F469A2">
        <w:rPr>
          <w:spacing w:val="32"/>
          <w:szCs w:val="24"/>
        </w:rPr>
        <w:t xml:space="preserve"> </w:t>
      </w:r>
      <w:r w:rsidR="00EF4966" w:rsidRPr="00F469A2">
        <w:rPr>
          <w:szCs w:val="24"/>
        </w:rPr>
        <w:t>86</w:t>
      </w:r>
      <w:r w:rsidR="00EF4966" w:rsidRPr="00F469A2">
        <w:rPr>
          <w:spacing w:val="33"/>
          <w:szCs w:val="24"/>
        </w:rPr>
        <w:t xml:space="preserve"> </w:t>
      </w:r>
      <w:r w:rsidR="00EF4966" w:rsidRPr="00F469A2">
        <w:rPr>
          <w:szCs w:val="24"/>
        </w:rPr>
        <w:t>(2002)</w:t>
      </w:r>
      <w:r w:rsidR="00796203">
        <w:rPr>
          <w:szCs w:val="24"/>
        </w:rPr>
        <w:t xml:space="preserve"> (internal quotation marks omitted)</w:t>
      </w:r>
      <w:r w:rsidR="00A45967">
        <w:rPr>
          <w:szCs w:val="24"/>
        </w:rPr>
        <w:fldChar w:fldCharType="begin"/>
      </w:r>
      <w:r w:rsidR="009626C5">
        <w:instrText xml:space="preserve"> TA \l "</w:instrText>
      </w:r>
      <w:r w:rsidR="009626C5" w:rsidRPr="00AB2087">
        <w:rPr>
          <w:i/>
          <w:szCs w:val="24"/>
        </w:rPr>
        <w:instrText>Chevron U.S.A., Inc.</w:instrText>
      </w:r>
      <w:r w:rsidR="009626C5" w:rsidRPr="00AB2087">
        <w:rPr>
          <w:i/>
          <w:spacing w:val="32"/>
          <w:szCs w:val="24"/>
        </w:rPr>
        <w:instrText xml:space="preserve"> </w:instrText>
      </w:r>
      <w:r w:rsidR="009626C5" w:rsidRPr="00AB2087">
        <w:rPr>
          <w:i/>
          <w:szCs w:val="24"/>
        </w:rPr>
        <w:instrText>v.</w:instrText>
      </w:r>
      <w:r w:rsidR="009626C5" w:rsidRPr="00AB2087">
        <w:rPr>
          <w:i/>
          <w:spacing w:val="32"/>
          <w:szCs w:val="24"/>
        </w:rPr>
        <w:instrText xml:space="preserve"> </w:instrText>
      </w:r>
      <w:r w:rsidR="009626C5" w:rsidRPr="00AB2087">
        <w:rPr>
          <w:i/>
          <w:szCs w:val="24"/>
        </w:rPr>
        <w:instrText>Echazabal</w:instrText>
      </w:r>
      <w:r w:rsidR="009626C5" w:rsidRPr="00AB2087">
        <w:rPr>
          <w:szCs w:val="24"/>
        </w:rPr>
        <w:instrText>,</w:instrText>
      </w:r>
      <w:r w:rsidR="009626C5" w:rsidRPr="00AB2087">
        <w:rPr>
          <w:spacing w:val="32"/>
          <w:szCs w:val="24"/>
        </w:rPr>
        <w:instrText xml:space="preserve"> </w:instrText>
      </w:r>
      <w:r w:rsidR="009626C5" w:rsidRPr="00AB2087">
        <w:rPr>
          <w:szCs w:val="24"/>
        </w:rPr>
        <w:instrText>536</w:instrText>
      </w:r>
      <w:r w:rsidR="009626C5" w:rsidRPr="00AB2087">
        <w:rPr>
          <w:spacing w:val="32"/>
          <w:szCs w:val="24"/>
        </w:rPr>
        <w:instrText xml:space="preserve"> </w:instrText>
      </w:r>
      <w:r w:rsidR="009626C5" w:rsidRPr="00AB2087">
        <w:rPr>
          <w:szCs w:val="24"/>
        </w:rPr>
        <w:instrText>U.S.</w:instrText>
      </w:r>
      <w:r w:rsidR="009626C5" w:rsidRPr="00AB2087">
        <w:rPr>
          <w:spacing w:val="32"/>
          <w:szCs w:val="24"/>
        </w:rPr>
        <w:instrText xml:space="preserve"> </w:instrText>
      </w:r>
      <w:r w:rsidR="009626C5" w:rsidRPr="00AB2087">
        <w:rPr>
          <w:szCs w:val="24"/>
        </w:rPr>
        <w:instrText>73</w:instrText>
      </w:r>
      <w:r w:rsidR="009626C5" w:rsidRPr="00AB2087">
        <w:rPr>
          <w:spacing w:val="33"/>
          <w:szCs w:val="24"/>
        </w:rPr>
        <w:instrText xml:space="preserve"> </w:instrText>
      </w:r>
      <w:r w:rsidR="009626C5" w:rsidRPr="00AB2087">
        <w:rPr>
          <w:szCs w:val="24"/>
        </w:rPr>
        <w:instrText>(2002)</w:instrText>
      </w:r>
      <w:r w:rsidR="009626C5">
        <w:instrText xml:space="preserve">" \s "Chevron U.S.A., Inc. v. Echazabal, 536 U.S. 73, 86 (2002)" \c 1 </w:instrText>
      </w:r>
      <w:r w:rsidR="00A45967">
        <w:rPr>
          <w:szCs w:val="24"/>
        </w:rPr>
        <w:fldChar w:fldCharType="end"/>
      </w:r>
      <w:r w:rsidR="00EF4966">
        <w:rPr>
          <w:szCs w:val="24"/>
        </w:rPr>
        <w:t xml:space="preserve">.  </w:t>
      </w:r>
    </w:p>
    <w:p w:rsidR="00506397" w:rsidRDefault="00385DE3" w:rsidP="00AA51BA">
      <w:pPr>
        <w:autoSpaceDE w:val="0"/>
        <w:autoSpaceDN w:val="0"/>
        <w:adjustRightInd w:val="0"/>
        <w:spacing w:line="480" w:lineRule="auto"/>
        <w:ind w:firstLine="720"/>
        <w:rPr>
          <w:szCs w:val="24"/>
        </w:rPr>
      </w:pPr>
      <w:r>
        <w:rPr>
          <w:szCs w:val="24"/>
        </w:rPr>
        <w:t>The record i</w:t>
      </w:r>
      <w:r w:rsidR="00506397">
        <w:rPr>
          <w:szCs w:val="24"/>
        </w:rPr>
        <w:t>n the present case</w:t>
      </w:r>
      <w:r>
        <w:rPr>
          <w:szCs w:val="24"/>
        </w:rPr>
        <w:t xml:space="preserve"> reflects that</w:t>
      </w:r>
      <w:r w:rsidR="00506397">
        <w:rPr>
          <w:szCs w:val="24"/>
        </w:rPr>
        <w:t xml:space="preserve">, </w:t>
      </w:r>
      <w:r w:rsidR="00C6642A">
        <w:rPr>
          <w:szCs w:val="24"/>
        </w:rPr>
        <w:t xml:space="preserve">in direct violation of its obligations under the ADA and its implementing regulations, the NYPD </w:t>
      </w:r>
      <w:r w:rsidR="00360B4A">
        <w:rPr>
          <w:szCs w:val="24"/>
        </w:rPr>
        <w:t xml:space="preserve">disqualified Plaintiff without </w:t>
      </w:r>
      <w:r w:rsidR="00004741">
        <w:rPr>
          <w:szCs w:val="24"/>
        </w:rPr>
        <w:t>c</w:t>
      </w:r>
      <w:r w:rsidR="00360B4A">
        <w:rPr>
          <w:szCs w:val="24"/>
        </w:rPr>
        <w:t xml:space="preserve">onducting an individualized assessment.  </w:t>
      </w:r>
      <w:r w:rsidR="00D674CB">
        <w:rPr>
          <w:szCs w:val="24"/>
        </w:rPr>
        <w:t>The record further reflects that, r</w:t>
      </w:r>
      <w:r w:rsidR="00360B4A">
        <w:rPr>
          <w:szCs w:val="24"/>
        </w:rPr>
        <w:t xml:space="preserve">ather than perform the assessment </w:t>
      </w:r>
      <w:r w:rsidR="004F7ACF">
        <w:rPr>
          <w:szCs w:val="24"/>
        </w:rPr>
        <w:t>required pursuant to</w:t>
      </w:r>
      <w:r w:rsidR="00360B4A">
        <w:rPr>
          <w:szCs w:val="24"/>
        </w:rPr>
        <w:t xml:space="preserve"> the A</w:t>
      </w:r>
      <w:r w:rsidR="004F7ACF">
        <w:rPr>
          <w:szCs w:val="24"/>
        </w:rPr>
        <w:t>D</w:t>
      </w:r>
      <w:r w:rsidR="00360B4A">
        <w:rPr>
          <w:szCs w:val="24"/>
        </w:rPr>
        <w:t>A</w:t>
      </w:r>
      <w:r w:rsidR="00004741">
        <w:rPr>
          <w:szCs w:val="24"/>
        </w:rPr>
        <w:t>’s</w:t>
      </w:r>
      <w:r w:rsidR="00360B4A">
        <w:rPr>
          <w:szCs w:val="24"/>
        </w:rPr>
        <w:t xml:space="preserve"> </w:t>
      </w:r>
      <w:r w:rsidR="00004741">
        <w:rPr>
          <w:szCs w:val="24"/>
        </w:rPr>
        <w:t>regulatio</w:t>
      </w:r>
      <w:r w:rsidR="004F7ACF">
        <w:rPr>
          <w:szCs w:val="24"/>
        </w:rPr>
        <w:t>ns</w:t>
      </w:r>
      <w:r>
        <w:rPr>
          <w:szCs w:val="24"/>
        </w:rPr>
        <w:t>,</w:t>
      </w:r>
      <w:r w:rsidR="00ED1D10">
        <w:rPr>
          <w:szCs w:val="24"/>
        </w:rPr>
        <w:t xml:space="preserve"> </w:t>
      </w:r>
      <w:r w:rsidR="00D674CB">
        <w:rPr>
          <w:szCs w:val="24"/>
        </w:rPr>
        <w:t xml:space="preserve">the </w:t>
      </w:r>
      <w:r w:rsidR="00360B4A">
        <w:rPr>
          <w:szCs w:val="24"/>
        </w:rPr>
        <w:t>NYPD disqualified Plaintiff based solely on its</w:t>
      </w:r>
      <w:r w:rsidR="00C6642A">
        <w:rPr>
          <w:szCs w:val="24"/>
        </w:rPr>
        <w:t xml:space="preserve"> </w:t>
      </w:r>
      <w:r w:rsidR="00001CFD">
        <w:rPr>
          <w:szCs w:val="24"/>
        </w:rPr>
        <w:t>practice of uniformly</w:t>
      </w:r>
      <w:r w:rsidR="00C6642A">
        <w:rPr>
          <w:szCs w:val="24"/>
        </w:rPr>
        <w:t xml:space="preserve"> </w:t>
      </w:r>
      <w:r w:rsidR="00004741">
        <w:rPr>
          <w:szCs w:val="24"/>
        </w:rPr>
        <w:t>reject</w:t>
      </w:r>
      <w:r w:rsidR="00C6642A">
        <w:rPr>
          <w:szCs w:val="24"/>
        </w:rPr>
        <w:t xml:space="preserve">ing candidates </w:t>
      </w:r>
      <w:r w:rsidR="00004741">
        <w:rPr>
          <w:szCs w:val="24"/>
        </w:rPr>
        <w:t>who are</w:t>
      </w:r>
      <w:r w:rsidR="00EA3960">
        <w:rPr>
          <w:szCs w:val="24"/>
        </w:rPr>
        <w:t xml:space="preserve"> currently taking antiseizure</w:t>
      </w:r>
      <w:r w:rsidR="00004741">
        <w:rPr>
          <w:szCs w:val="24"/>
        </w:rPr>
        <w:t xml:space="preserve"> medications</w:t>
      </w:r>
      <w:r w:rsidR="00360B4A">
        <w:rPr>
          <w:szCs w:val="24"/>
        </w:rPr>
        <w:t xml:space="preserve">.  </w:t>
      </w:r>
      <w:r w:rsidR="00D674CB">
        <w:rPr>
          <w:szCs w:val="24"/>
        </w:rPr>
        <w:t xml:space="preserve">The record therefore </w:t>
      </w:r>
      <w:r>
        <w:rPr>
          <w:szCs w:val="24"/>
        </w:rPr>
        <w:t xml:space="preserve">supports </w:t>
      </w:r>
      <w:r w:rsidR="00D674CB">
        <w:rPr>
          <w:szCs w:val="24"/>
        </w:rPr>
        <w:t xml:space="preserve">a finding that </w:t>
      </w:r>
      <w:r>
        <w:rPr>
          <w:szCs w:val="24"/>
        </w:rPr>
        <w:t>the City has violated its</w:t>
      </w:r>
      <w:r w:rsidR="00360B4A">
        <w:rPr>
          <w:szCs w:val="24"/>
        </w:rPr>
        <w:t xml:space="preserve"> obligations und</w:t>
      </w:r>
      <w:r w:rsidR="006E1108">
        <w:rPr>
          <w:szCs w:val="24"/>
        </w:rPr>
        <w:t>er the ADA</w:t>
      </w:r>
      <w:r w:rsidR="004F7ACF">
        <w:rPr>
          <w:szCs w:val="24"/>
        </w:rPr>
        <w:t>,</w:t>
      </w:r>
      <w:r w:rsidR="0035143E">
        <w:rPr>
          <w:szCs w:val="24"/>
        </w:rPr>
        <w:t xml:space="preserve"> and </w:t>
      </w:r>
      <w:r w:rsidR="006D0E72">
        <w:rPr>
          <w:szCs w:val="24"/>
        </w:rPr>
        <w:t>summary judgment</w:t>
      </w:r>
      <w:r w:rsidR="00CD21ED">
        <w:rPr>
          <w:szCs w:val="24"/>
        </w:rPr>
        <w:t xml:space="preserve"> must be denied</w:t>
      </w:r>
      <w:r w:rsidR="006D0E72">
        <w:rPr>
          <w:szCs w:val="24"/>
        </w:rPr>
        <w:t xml:space="preserve">.  </w:t>
      </w:r>
      <w:r w:rsidR="0092196D">
        <w:rPr>
          <w:szCs w:val="24"/>
        </w:rPr>
        <w:t xml:space="preserve">Denial of summary judgment is also warranted, however, because </w:t>
      </w:r>
      <w:r w:rsidR="00B033AB">
        <w:rPr>
          <w:szCs w:val="24"/>
        </w:rPr>
        <w:t>the</w:t>
      </w:r>
      <w:r w:rsidR="00F6060A">
        <w:rPr>
          <w:szCs w:val="24"/>
        </w:rPr>
        <w:t xml:space="preserve"> record is replete with</w:t>
      </w:r>
      <w:r w:rsidR="00B033AB">
        <w:rPr>
          <w:szCs w:val="24"/>
        </w:rPr>
        <w:t xml:space="preserve"> material disputes of fact as to </w:t>
      </w:r>
      <w:r w:rsidR="00CD21ED">
        <w:rPr>
          <w:szCs w:val="24"/>
        </w:rPr>
        <w:t xml:space="preserve">whether </w:t>
      </w:r>
      <w:r w:rsidR="002F39B8">
        <w:rPr>
          <w:szCs w:val="24"/>
        </w:rPr>
        <w:t xml:space="preserve">the City has articulated a legitimate non-discriminatory reason for disqualifying Plaintiff.  These disputes of fact regarding the City’s reasons for disqualifying Plaintiff further raise a material dispute of fact as to whether </w:t>
      </w:r>
      <w:r w:rsidR="00A566D2">
        <w:rPr>
          <w:szCs w:val="24"/>
        </w:rPr>
        <w:t xml:space="preserve">the City has adequately met its burden </w:t>
      </w:r>
      <w:r w:rsidR="00CD21ED">
        <w:rPr>
          <w:szCs w:val="24"/>
        </w:rPr>
        <w:t>t</w:t>
      </w:r>
      <w:r w:rsidR="00B033AB">
        <w:rPr>
          <w:szCs w:val="24"/>
        </w:rPr>
        <w:t>o demonstrat</w:t>
      </w:r>
      <w:r w:rsidR="00CD21ED">
        <w:rPr>
          <w:szCs w:val="24"/>
        </w:rPr>
        <w:t>e</w:t>
      </w:r>
      <w:r w:rsidR="00B033AB">
        <w:rPr>
          <w:szCs w:val="24"/>
        </w:rPr>
        <w:t xml:space="preserve"> </w:t>
      </w:r>
      <w:r w:rsidR="00A566D2">
        <w:rPr>
          <w:szCs w:val="24"/>
        </w:rPr>
        <w:t>that Plaintiff</w:t>
      </w:r>
      <w:r w:rsidR="004F7ACF">
        <w:rPr>
          <w:szCs w:val="24"/>
        </w:rPr>
        <w:t>’s disability</w:t>
      </w:r>
      <w:r w:rsidR="00AB0CF1">
        <w:rPr>
          <w:szCs w:val="24"/>
        </w:rPr>
        <w:t xml:space="preserve"> poses a direct threat</w:t>
      </w:r>
      <w:r w:rsidR="00D674CB">
        <w:rPr>
          <w:szCs w:val="24"/>
        </w:rPr>
        <w:t>.  The foregoing</w:t>
      </w:r>
      <w:r w:rsidR="00F6060A">
        <w:rPr>
          <w:szCs w:val="24"/>
        </w:rPr>
        <w:t xml:space="preserve"> analysis is premised on the fact that, on a motion for summary judgment, the Court </w:t>
      </w:r>
      <w:r w:rsidR="00DA67A6">
        <w:rPr>
          <w:szCs w:val="24"/>
        </w:rPr>
        <w:t>constru</w:t>
      </w:r>
      <w:r w:rsidR="00F6060A">
        <w:rPr>
          <w:szCs w:val="24"/>
        </w:rPr>
        <w:t>es</w:t>
      </w:r>
      <w:r w:rsidR="00DA67A6">
        <w:rPr>
          <w:szCs w:val="24"/>
        </w:rPr>
        <w:t xml:space="preserve"> </w:t>
      </w:r>
      <w:r w:rsidR="00F6060A">
        <w:rPr>
          <w:szCs w:val="24"/>
        </w:rPr>
        <w:t>“</w:t>
      </w:r>
      <w:r w:rsidR="00DA67A6">
        <w:rPr>
          <w:szCs w:val="24"/>
        </w:rPr>
        <w:t>the facts in the light most favorable to the non-moving party and resolv</w:t>
      </w:r>
      <w:r w:rsidR="00F6060A">
        <w:rPr>
          <w:szCs w:val="24"/>
        </w:rPr>
        <w:t>e</w:t>
      </w:r>
      <w:r w:rsidR="00796203">
        <w:rPr>
          <w:szCs w:val="24"/>
        </w:rPr>
        <w:t>[</w:t>
      </w:r>
      <w:r w:rsidR="00F6060A">
        <w:rPr>
          <w:szCs w:val="24"/>
        </w:rPr>
        <w:t>s</w:t>
      </w:r>
      <w:r w:rsidR="00796203">
        <w:rPr>
          <w:szCs w:val="24"/>
        </w:rPr>
        <w:t>]</w:t>
      </w:r>
      <w:r w:rsidR="00DA67A6">
        <w:rPr>
          <w:szCs w:val="24"/>
        </w:rPr>
        <w:t xml:space="preserve"> all ambiguities and draw</w:t>
      </w:r>
      <w:r w:rsidR="00796203">
        <w:rPr>
          <w:szCs w:val="24"/>
        </w:rPr>
        <w:t>[</w:t>
      </w:r>
      <w:r w:rsidR="00F6060A">
        <w:rPr>
          <w:szCs w:val="24"/>
        </w:rPr>
        <w:t>s</w:t>
      </w:r>
      <w:r w:rsidR="00796203">
        <w:rPr>
          <w:szCs w:val="24"/>
        </w:rPr>
        <w:t>]</w:t>
      </w:r>
      <w:r w:rsidR="00DA67A6">
        <w:rPr>
          <w:szCs w:val="24"/>
        </w:rPr>
        <w:t xml:space="preserve"> all reasonable inferences against the movant,” </w:t>
      </w:r>
      <w:r w:rsidR="00DA67A6">
        <w:rPr>
          <w:i/>
          <w:szCs w:val="24"/>
        </w:rPr>
        <w:t>Delaney v. Bank of Am. Corp.</w:t>
      </w:r>
      <w:r w:rsidR="00DA67A6">
        <w:rPr>
          <w:szCs w:val="24"/>
        </w:rPr>
        <w:t>, 766 F.3d 163, 167 (2d Cir. 2014)</w:t>
      </w:r>
      <w:r w:rsidR="00A45967">
        <w:rPr>
          <w:szCs w:val="24"/>
        </w:rPr>
        <w:fldChar w:fldCharType="begin"/>
      </w:r>
      <w:r w:rsidR="00A8726E">
        <w:instrText xml:space="preserve"> TA \l "</w:instrText>
      </w:r>
      <w:r w:rsidR="00A8726E" w:rsidRPr="00614222">
        <w:rPr>
          <w:i/>
          <w:szCs w:val="24"/>
        </w:rPr>
        <w:instrText>Delaney v. Bank of Am. Corp.</w:instrText>
      </w:r>
      <w:r w:rsidR="00A8726E">
        <w:rPr>
          <w:szCs w:val="24"/>
        </w:rPr>
        <w:instrText>, 766 F.3d 163</w:instrText>
      </w:r>
      <w:r w:rsidR="00A8726E" w:rsidRPr="00614222">
        <w:rPr>
          <w:szCs w:val="24"/>
        </w:rPr>
        <w:instrText xml:space="preserve"> (2d Cir. 2014)</w:instrText>
      </w:r>
      <w:r w:rsidR="00A8726E">
        <w:instrText xml:space="preserve">" \s "Delaney v. Bank of Am. Corp., 766 F.3d 163, 167 (2d Cir. 2014)" \c 1 </w:instrText>
      </w:r>
      <w:r w:rsidR="00A45967">
        <w:rPr>
          <w:szCs w:val="24"/>
        </w:rPr>
        <w:fldChar w:fldCharType="end"/>
      </w:r>
      <w:r w:rsidR="00F6060A">
        <w:rPr>
          <w:szCs w:val="24"/>
        </w:rPr>
        <w:t>.</w:t>
      </w:r>
      <w:r w:rsidR="00DA67A6">
        <w:rPr>
          <w:szCs w:val="24"/>
        </w:rPr>
        <w:t xml:space="preserve"> </w:t>
      </w:r>
      <w:r w:rsidR="00F6060A">
        <w:rPr>
          <w:szCs w:val="24"/>
        </w:rPr>
        <w:t xml:space="preserve"> In light of this standard of review, based on the record presented, </w:t>
      </w:r>
      <w:r w:rsidR="00DA67A6">
        <w:rPr>
          <w:szCs w:val="24"/>
        </w:rPr>
        <w:t xml:space="preserve">the Court should find that </w:t>
      </w:r>
      <w:r w:rsidR="00506397">
        <w:rPr>
          <w:szCs w:val="24"/>
        </w:rPr>
        <w:t>summary judgment is improper.</w:t>
      </w:r>
    </w:p>
    <w:p w:rsidR="005B1A52" w:rsidRDefault="005B1A52" w:rsidP="00815659">
      <w:pPr>
        <w:pStyle w:val="Heading1"/>
        <w:rPr>
          <w:lang w:val="en-CA"/>
        </w:rPr>
      </w:pPr>
      <w:bookmarkStart w:id="2" w:name="_Toc422834393"/>
      <w:r>
        <w:rPr>
          <w:lang w:val="en-CA"/>
        </w:rPr>
        <w:t>BACKGROUND OF THE CASE</w:t>
      </w:r>
      <w:bookmarkEnd w:id="2"/>
    </w:p>
    <w:p w:rsidR="005B1A52" w:rsidRDefault="005B1A52" w:rsidP="005B1A52">
      <w:pPr>
        <w:rPr>
          <w:lang w:val="en-CA"/>
        </w:rPr>
      </w:pPr>
    </w:p>
    <w:p w:rsidR="005B1A52" w:rsidRDefault="005B1A52" w:rsidP="005B1A52">
      <w:pPr>
        <w:spacing w:line="480" w:lineRule="auto"/>
        <w:ind w:firstLine="720"/>
        <w:rPr>
          <w:lang w:val="en-CA"/>
        </w:rPr>
      </w:pPr>
      <w:r>
        <w:rPr>
          <w:lang w:val="en-CA"/>
        </w:rPr>
        <w:t xml:space="preserve">Plaintiff is a twenty-seven year old man who was born in 1988 and experienced his first seizure in October 2000.  </w:t>
      </w:r>
      <w:proofErr w:type="spellStart"/>
      <w:proofErr w:type="gramStart"/>
      <w:r w:rsidR="002F39B8">
        <w:rPr>
          <w:lang w:val="en-CA"/>
        </w:rPr>
        <w:t>Defs</w:t>
      </w:r>
      <w:proofErr w:type="spellEnd"/>
      <w:r>
        <w:rPr>
          <w:lang w:val="en-CA"/>
        </w:rPr>
        <w:t>.</w:t>
      </w:r>
      <w:proofErr w:type="gramEnd"/>
      <w:r w:rsidR="002F39B8">
        <w:rPr>
          <w:lang w:val="en-CA"/>
        </w:rPr>
        <w:t xml:space="preserve"> R. 56.1 Stmt. </w:t>
      </w:r>
      <w:r w:rsidR="000C6B6F">
        <w:rPr>
          <w:lang w:val="en-CA"/>
        </w:rPr>
        <w:t>(ECF No. 22) (“</w:t>
      </w:r>
      <w:proofErr w:type="spellStart"/>
      <w:r w:rsidR="000C6B6F">
        <w:rPr>
          <w:lang w:val="en-CA"/>
        </w:rPr>
        <w:t>Defs</w:t>
      </w:r>
      <w:proofErr w:type="spellEnd"/>
      <w:r w:rsidR="000C6B6F">
        <w:rPr>
          <w:lang w:val="en-CA"/>
        </w:rPr>
        <w:t xml:space="preserve">. </w:t>
      </w:r>
      <w:proofErr w:type="gramStart"/>
      <w:r w:rsidR="000C6B6F">
        <w:rPr>
          <w:lang w:val="en-CA"/>
        </w:rPr>
        <w:t xml:space="preserve">56.1”) </w:t>
      </w:r>
      <w:r w:rsidR="002F39B8">
        <w:rPr>
          <w:lang w:val="en-CA"/>
        </w:rPr>
        <w:t>¶ 2.</w:t>
      </w:r>
      <w:proofErr w:type="gramEnd"/>
      <w:r>
        <w:rPr>
          <w:lang w:val="en-CA"/>
        </w:rPr>
        <w:t xml:space="preserve">  In 2001, following his third seizure episode, Plaintiff was prescribed the antiseizure medication Depakote.  </w:t>
      </w:r>
      <w:proofErr w:type="gramStart"/>
      <w:r>
        <w:rPr>
          <w:i/>
          <w:lang w:val="en-CA"/>
        </w:rPr>
        <w:t>Id.</w:t>
      </w:r>
      <w:r>
        <w:rPr>
          <w:lang w:val="en-CA"/>
        </w:rPr>
        <w:t xml:space="preserve"> </w:t>
      </w:r>
      <w:r w:rsidR="002F39B8">
        <w:rPr>
          <w:lang w:val="en-CA"/>
        </w:rPr>
        <w:t>a</w:t>
      </w:r>
      <w:r>
        <w:rPr>
          <w:lang w:val="en-CA"/>
        </w:rPr>
        <w:t>t</w:t>
      </w:r>
      <w:r w:rsidR="002F39B8">
        <w:rPr>
          <w:lang w:val="en-CA"/>
        </w:rPr>
        <w:t xml:space="preserve"> ¶ 7</w:t>
      </w:r>
      <w:r>
        <w:rPr>
          <w:lang w:val="en-CA"/>
        </w:rPr>
        <w:t>.</w:t>
      </w:r>
      <w:proofErr w:type="gramEnd"/>
      <w:r>
        <w:rPr>
          <w:lang w:val="en-CA"/>
        </w:rPr>
        <w:t xml:space="preserve">  </w:t>
      </w:r>
      <w:r w:rsidR="00685274">
        <w:rPr>
          <w:lang w:val="en-CA"/>
        </w:rPr>
        <w:t xml:space="preserve">Following </w:t>
      </w:r>
      <w:r>
        <w:rPr>
          <w:lang w:val="en-CA"/>
        </w:rPr>
        <w:t>the advi</w:t>
      </w:r>
      <w:r w:rsidR="00685274">
        <w:rPr>
          <w:lang w:val="en-CA"/>
        </w:rPr>
        <w:t>c</w:t>
      </w:r>
      <w:r>
        <w:rPr>
          <w:lang w:val="en-CA"/>
        </w:rPr>
        <w:t xml:space="preserve">e of his physician at the time, Plaintiff discontinued Depakote in October 2003.  </w:t>
      </w:r>
      <w:proofErr w:type="gramStart"/>
      <w:r>
        <w:rPr>
          <w:i/>
          <w:lang w:val="en-CA"/>
        </w:rPr>
        <w:t>Id.</w:t>
      </w:r>
      <w:r>
        <w:rPr>
          <w:lang w:val="en-CA"/>
        </w:rPr>
        <w:t xml:space="preserve"> at </w:t>
      </w:r>
      <w:r w:rsidR="002F39B8">
        <w:rPr>
          <w:lang w:val="en-CA"/>
        </w:rPr>
        <w:t>¶ 9</w:t>
      </w:r>
      <w:r>
        <w:rPr>
          <w:lang w:val="en-CA"/>
        </w:rPr>
        <w:t>.</w:t>
      </w:r>
      <w:proofErr w:type="gramEnd"/>
      <w:r>
        <w:rPr>
          <w:lang w:val="en-CA"/>
        </w:rPr>
        <w:t xml:space="preserve">  In the years following the discontinuation of his medication, Plaintiff experienced several seizures.  </w:t>
      </w:r>
      <w:r>
        <w:rPr>
          <w:i/>
          <w:lang w:val="en-CA"/>
        </w:rPr>
        <w:t xml:space="preserve">Id. </w:t>
      </w:r>
      <w:r>
        <w:rPr>
          <w:lang w:val="en-CA"/>
        </w:rPr>
        <w:t xml:space="preserve">at </w:t>
      </w:r>
      <w:r w:rsidR="00D05A12">
        <w:rPr>
          <w:lang w:val="en-CA"/>
        </w:rPr>
        <w:t>¶¶ 10-13</w:t>
      </w:r>
      <w:r>
        <w:rPr>
          <w:lang w:val="en-CA"/>
        </w:rPr>
        <w:t xml:space="preserve">.  In March 2008, following a seizure, Plaintiff resumed taking Depakote and has been taking it continuously since then.  </w:t>
      </w:r>
      <w:r>
        <w:rPr>
          <w:i/>
          <w:lang w:val="en-CA"/>
        </w:rPr>
        <w:t xml:space="preserve">Id. </w:t>
      </w:r>
      <w:r>
        <w:rPr>
          <w:lang w:val="en-CA"/>
        </w:rPr>
        <w:t xml:space="preserve">at </w:t>
      </w:r>
      <w:r w:rsidR="00D05A12">
        <w:rPr>
          <w:lang w:val="en-CA"/>
        </w:rPr>
        <w:t>¶¶ 15-17</w:t>
      </w:r>
      <w:r>
        <w:rPr>
          <w:lang w:val="en-CA"/>
        </w:rPr>
        <w:t xml:space="preserve">.  Plaintiff has not had a seizure </w:t>
      </w:r>
      <w:r w:rsidR="002F39B8">
        <w:rPr>
          <w:lang w:val="en-CA"/>
        </w:rPr>
        <w:t xml:space="preserve">in the seven years </w:t>
      </w:r>
      <w:r>
        <w:rPr>
          <w:lang w:val="en-CA"/>
        </w:rPr>
        <w:t xml:space="preserve">since he resumed taking his medication in March 2008, and he has never experienced any side effects from taking Depakote.  </w:t>
      </w:r>
      <w:proofErr w:type="gramStart"/>
      <w:r w:rsidR="00B454B0">
        <w:rPr>
          <w:lang w:val="en-CA"/>
        </w:rPr>
        <w:t xml:space="preserve">Decl. Molly </w:t>
      </w:r>
      <w:proofErr w:type="spellStart"/>
      <w:r w:rsidR="00B454B0">
        <w:rPr>
          <w:lang w:val="en-CA"/>
        </w:rPr>
        <w:t>Smithsimon</w:t>
      </w:r>
      <w:proofErr w:type="spellEnd"/>
      <w:r w:rsidR="00B454B0">
        <w:rPr>
          <w:lang w:val="en-CA"/>
        </w:rPr>
        <w:t xml:space="preserve"> </w:t>
      </w:r>
      <w:proofErr w:type="spellStart"/>
      <w:r w:rsidR="00B454B0">
        <w:rPr>
          <w:lang w:val="en-CA"/>
        </w:rPr>
        <w:t>Opp’n</w:t>
      </w:r>
      <w:proofErr w:type="spellEnd"/>
      <w:r w:rsidR="00B454B0">
        <w:rPr>
          <w:lang w:val="en-CA"/>
        </w:rPr>
        <w:t xml:space="preserve"> </w:t>
      </w:r>
      <w:proofErr w:type="spellStart"/>
      <w:r w:rsidR="00B454B0">
        <w:rPr>
          <w:lang w:val="en-CA"/>
        </w:rPr>
        <w:t>Defs</w:t>
      </w:r>
      <w:proofErr w:type="spellEnd"/>
      <w:r w:rsidR="00B454B0">
        <w:rPr>
          <w:lang w:val="en-CA"/>
        </w:rPr>
        <w:t>.</w:t>
      </w:r>
      <w:proofErr w:type="gramEnd"/>
      <w:r w:rsidR="00B454B0">
        <w:rPr>
          <w:lang w:val="en-CA"/>
        </w:rPr>
        <w:t xml:space="preserve"> </w:t>
      </w:r>
      <w:proofErr w:type="gramStart"/>
      <w:r w:rsidR="00B454B0">
        <w:rPr>
          <w:lang w:val="en-CA"/>
        </w:rPr>
        <w:t>Mot.</w:t>
      </w:r>
      <w:proofErr w:type="gramEnd"/>
      <w:r w:rsidR="00B454B0">
        <w:rPr>
          <w:lang w:val="en-CA"/>
        </w:rPr>
        <w:t xml:space="preserve"> </w:t>
      </w:r>
      <w:proofErr w:type="spellStart"/>
      <w:proofErr w:type="gramStart"/>
      <w:r w:rsidR="00B454B0">
        <w:rPr>
          <w:lang w:val="en-CA"/>
        </w:rPr>
        <w:t>Summ</w:t>
      </w:r>
      <w:proofErr w:type="spellEnd"/>
      <w:r w:rsidR="00B454B0">
        <w:rPr>
          <w:lang w:val="en-CA"/>
        </w:rPr>
        <w:t>.</w:t>
      </w:r>
      <w:proofErr w:type="gramEnd"/>
      <w:r w:rsidR="00B454B0">
        <w:rPr>
          <w:lang w:val="en-CA"/>
        </w:rPr>
        <w:t xml:space="preserve"> </w:t>
      </w:r>
      <w:proofErr w:type="gramStart"/>
      <w:r w:rsidR="00B454B0">
        <w:rPr>
          <w:lang w:val="en-CA"/>
        </w:rPr>
        <w:t xml:space="preserve">J. </w:t>
      </w:r>
      <w:r w:rsidR="00677BDB">
        <w:rPr>
          <w:lang w:val="en-CA"/>
        </w:rPr>
        <w:t>(ECF No. 28</w:t>
      </w:r>
      <w:r w:rsidR="000C6B6F">
        <w:rPr>
          <w:lang w:val="en-CA"/>
        </w:rPr>
        <w:t xml:space="preserve">) </w:t>
      </w:r>
      <w:r w:rsidR="00B454B0">
        <w:rPr>
          <w:lang w:val="en-CA"/>
        </w:rPr>
        <w:t>(“</w:t>
      </w:r>
      <w:proofErr w:type="spellStart"/>
      <w:r w:rsidR="00B454B0">
        <w:rPr>
          <w:lang w:val="en-CA"/>
        </w:rPr>
        <w:t>Smithsimon</w:t>
      </w:r>
      <w:proofErr w:type="spellEnd"/>
      <w:r w:rsidR="00B454B0">
        <w:rPr>
          <w:lang w:val="en-CA"/>
        </w:rPr>
        <w:t xml:space="preserve"> Decl.”), Ex. 1 (“</w:t>
      </w:r>
      <w:proofErr w:type="spellStart"/>
      <w:r w:rsidR="00B454B0">
        <w:rPr>
          <w:lang w:val="en-CA"/>
        </w:rPr>
        <w:t>Pesce</w:t>
      </w:r>
      <w:proofErr w:type="spellEnd"/>
      <w:r w:rsidR="00B454B0">
        <w:rPr>
          <w:lang w:val="en-CA"/>
        </w:rPr>
        <w:t xml:space="preserve"> Dep.”) at</w:t>
      </w:r>
      <w:r w:rsidR="008C4130">
        <w:rPr>
          <w:lang w:val="en-CA"/>
        </w:rPr>
        <w:t xml:space="preserve"> 141:3-5</w:t>
      </w:r>
      <w:r>
        <w:rPr>
          <w:lang w:val="en-CA"/>
        </w:rPr>
        <w:t>; 145:10-12.</w:t>
      </w:r>
      <w:proofErr w:type="gramEnd"/>
      <w:r>
        <w:rPr>
          <w:lang w:val="en-CA"/>
        </w:rPr>
        <w:t xml:space="preserve">  Plaintiff has repeatedly been administered electroencephalograms (“EEGs”) since his diagnosis in 2000, and with o</w:t>
      </w:r>
      <w:r w:rsidR="002F39B8">
        <w:rPr>
          <w:lang w:val="en-CA"/>
        </w:rPr>
        <w:t>ne exception in 2001, these EEG</w:t>
      </w:r>
      <w:r>
        <w:rPr>
          <w:lang w:val="en-CA"/>
        </w:rPr>
        <w:t xml:space="preserve">s have all been normal.  </w:t>
      </w:r>
      <w:r w:rsidR="00B454B0">
        <w:rPr>
          <w:lang w:val="en-CA"/>
        </w:rPr>
        <w:t>Smithsimon Decl., Ex. 4 (“</w:t>
      </w:r>
      <w:proofErr w:type="spellStart"/>
      <w:r w:rsidR="00B454B0">
        <w:rPr>
          <w:lang w:val="en-CA"/>
        </w:rPr>
        <w:t>Maniscalco</w:t>
      </w:r>
      <w:proofErr w:type="spellEnd"/>
      <w:r w:rsidR="00B454B0">
        <w:rPr>
          <w:lang w:val="en-CA"/>
        </w:rPr>
        <w:t xml:space="preserve"> Dep.”) at</w:t>
      </w:r>
      <w:r>
        <w:rPr>
          <w:lang w:val="en-CA"/>
        </w:rPr>
        <w:t xml:space="preserve"> 139:1-150:10.  </w:t>
      </w:r>
    </w:p>
    <w:p w:rsidR="005B1A52" w:rsidRPr="007E3B71" w:rsidRDefault="005B1A52" w:rsidP="005B1A52">
      <w:pPr>
        <w:spacing w:line="480" w:lineRule="auto"/>
        <w:ind w:firstLine="720"/>
        <w:rPr>
          <w:lang w:val="en-CA"/>
        </w:rPr>
      </w:pPr>
      <w:r>
        <w:rPr>
          <w:lang w:val="en-CA"/>
        </w:rPr>
        <w:t>Since January 2008, Plaintiff has been a volunteer fire fighter with the Massapequa</w:t>
      </w:r>
      <w:r w:rsidR="00B454B0">
        <w:rPr>
          <w:lang w:val="en-CA"/>
        </w:rPr>
        <w:t xml:space="preserve"> Volunteer Fire Department.  </w:t>
      </w:r>
      <w:proofErr w:type="spellStart"/>
      <w:r w:rsidR="00B454B0">
        <w:rPr>
          <w:lang w:val="en-CA"/>
        </w:rPr>
        <w:t>Pesce</w:t>
      </w:r>
      <w:proofErr w:type="spellEnd"/>
      <w:r>
        <w:rPr>
          <w:lang w:val="en-CA"/>
        </w:rPr>
        <w:t xml:space="preserve"> Dep. 8:11-12; 18:8-13.  As a volunteer fire fighter, </w:t>
      </w:r>
      <w:r w:rsidR="007E3B71">
        <w:rPr>
          <w:lang w:val="en-CA"/>
        </w:rPr>
        <w:t xml:space="preserve">Plaintiff is on call 24 hours a day, seven days a week.  </w:t>
      </w:r>
      <w:r w:rsidR="007E3B71">
        <w:rPr>
          <w:i/>
          <w:lang w:val="en-CA"/>
        </w:rPr>
        <w:t>Id.</w:t>
      </w:r>
      <w:r w:rsidR="007E3B71">
        <w:rPr>
          <w:lang w:val="en-CA"/>
        </w:rPr>
        <w:t xml:space="preserve"> at 13:17-24.  When a fire call occurs, Plaintiff will respond to the call and go to the firehouse to get on the fire truck.  </w:t>
      </w:r>
      <w:r w:rsidR="007E3B71">
        <w:rPr>
          <w:i/>
          <w:lang w:val="en-CA"/>
        </w:rPr>
        <w:t>Id.</w:t>
      </w:r>
      <w:r w:rsidR="007E3B71">
        <w:rPr>
          <w:lang w:val="en-CA"/>
        </w:rPr>
        <w:t xml:space="preserve"> at 13:17-23.  Plaintiff’s current title with the Massapequa Volunteer Fire Department is a Class A firefighter and paramedic.  </w:t>
      </w:r>
      <w:r w:rsidR="007E3B71">
        <w:rPr>
          <w:i/>
          <w:lang w:val="en-CA"/>
        </w:rPr>
        <w:t>Id.</w:t>
      </w:r>
      <w:r w:rsidR="007E3B71">
        <w:rPr>
          <w:lang w:val="en-CA"/>
        </w:rPr>
        <w:t xml:space="preserve"> at 20:5-8.  In addition, s</w:t>
      </w:r>
      <w:r>
        <w:rPr>
          <w:lang w:val="en-CA"/>
        </w:rPr>
        <w:t xml:space="preserve">ince February 2014, Plaintiff has also been </w:t>
      </w:r>
      <w:r w:rsidR="007E3B71">
        <w:rPr>
          <w:lang w:val="en-CA"/>
        </w:rPr>
        <w:t xml:space="preserve">formally </w:t>
      </w:r>
      <w:r>
        <w:rPr>
          <w:lang w:val="en-CA"/>
        </w:rPr>
        <w:t xml:space="preserve">employed as a paramedic for the Hunter ambulance company.  </w:t>
      </w:r>
      <w:r>
        <w:rPr>
          <w:i/>
          <w:lang w:val="en-CA"/>
        </w:rPr>
        <w:t xml:space="preserve">Id. </w:t>
      </w:r>
      <w:r>
        <w:rPr>
          <w:lang w:val="en-CA"/>
        </w:rPr>
        <w:t>at 10:3-</w:t>
      </w:r>
      <w:r w:rsidR="007E3B71">
        <w:rPr>
          <w:lang w:val="en-CA"/>
        </w:rPr>
        <w:t xml:space="preserve">12.  As a paramedic, Plaintiff cares for patients and maintains medical equipment, working three days a week from 7 a.m. to 7 p.m.  </w:t>
      </w:r>
      <w:r w:rsidR="007E3B71">
        <w:rPr>
          <w:i/>
          <w:lang w:val="en-CA"/>
        </w:rPr>
        <w:t>Id.</w:t>
      </w:r>
      <w:r w:rsidR="007E3B71">
        <w:rPr>
          <w:lang w:val="en-CA"/>
        </w:rPr>
        <w:t xml:space="preserve"> at 11:4-10.  Plaintiff frequently works overtime for Hunter, however, and his shift may run anywhere from a half hour to five hours past schedule.  </w:t>
      </w:r>
      <w:r w:rsidR="007E3B71">
        <w:rPr>
          <w:i/>
          <w:lang w:val="en-CA"/>
        </w:rPr>
        <w:t xml:space="preserve">Id. </w:t>
      </w:r>
      <w:r w:rsidR="007E3B71">
        <w:rPr>
          <w:lang w:val="en-CA"/>
        </w:rPr>
        <w:t>at 11:4-25.</w:t>
      </w:r>
    </w:p>
    <w:p w:rsidR="005B1A52" w:rsidRDefault="005B1A52" w:rsidP="005B1A52">
      <w:pPr>
        <w:spacing w:line="480" w:lineRule="auto"/>
        <w:ind w:firstLine="720"/>
        <w:rPr>
          <w:lang w:val="en-CA"/>
        </w:rPr>
      </w:pPr>
      <w:r>
        <w:rPr>
          <w:lang w:val="en-CA"/>
        </w:rPr>
        <w:t>In</w:t>
      </w:r>
      <w:r w:rsidR="00B078CE">
        <w:rPr>
          <w:lang w:val="en-CA"/>
        </w:rPr>
        <w:t xml:space="preserve"> October 2008, Plaintiff took the civil service exam for the position of an NYPD police officer.  </w:t>
      </w:r>
      <w:proofErr w:type="spellStart"/>
      <w:proofErr w:type="gramStart"/>
      <w:r w:rsidR="00B078CE">
        <w:rPr>
          <w:lang w:val="en-CA"/>
        </w:rPr>
        <w:t>Defs</w:t>
      </w:r>
      <w:proofErr w:type="spellEnd"/>
      <w:r w:rsidR="00B078CE">
        <w:rPr>
          <w:lang w:val="en-CA"/>
        </w:rPr>
        <w:t>.</w:t>
      </w:r>
      <w:proofErr w:type="gramEnd"/>
      <w:r w:rsidR="00B078CE">
        <w:rPr>
          <w:lang w:val="en-CA"/>
        </w:rPr>
        <w:t xml:space="preserve"> </w:t>
      </w:r>
      <w:proofErr w:type="gramStart"/>
      <w:r w:rsidR="00B078CE">
        <w:rPr>
          <w:lang w:val="en-CA"/>
        </w:rPr>
        <w:t>56.1 ¶ 20.</w:t>
      </w:r>
      <w:proofErr w:type="gramEnd"/>
      <w:r>
        <w:rPr>
          <w:lang w:val="en-CA"/>
        </w:rPr>
        <w:t xml:space="preserve"> </w:t>
      </w:r>
      <w:r w:rsidR="00B078CE">
        <w:rPr>
          <w:lang w:val="en-CA"/>
        </w:rPr>
        <w:t xml:space="preserve"> In </w:t>
      </w:r>
      <w:r>
        <w:rPr>
          <w:lang w:val="en-CA"/>
        </w:rPr>
        <w:t xml:space="preserve">January 2010, </w:t>
      </w:r>
      <w:r w:rsidR="00B078CE">
        <w:rPr>
          <w:lang w:val="en-CA"/>
        </w:rPr>
        <w:t xml:space="preserve">having received the results of his examination, </w:t>
      </w:r>
      <w:r w:rsidR="00897816">
        <w:rPr>
          <w:lang w:val="en-CA"/>
        </w:rPr>
        <w:t xml:space="preserve">Plaintiff </w:t>
      </w:r>
      <w:r w:rsidR="00B078CE">
        <w:rPr>
          <w:lang w:val="en-CA"/>
        </w:rPr>
        <w:t>reported to the NYPD Medical Bureau for a required medical examination</w:t>
      </w:r>
      <w:r w:rsidR="00897816">
        <w:rPr>
          <w:lang w:val="en-CA"/>
        </w:rPr>
        <w:t xml:space="preserve">.  </w:t>
      </w:r>
      <w:proofErr w:type="gramStart"/>
      <w:r w:rsidR="00897816">
        <w:rPr>
          <w:i/>
          <w:lang w:val="en-CA"/>
        </w:rPr>
        <w:t>Id.</w:t>
      </w:r>
      <w:r w:rsidR="00897816">
        <w:rPr>
          <w:lang w:val="en-CA"/>
        </w:rPr>
        <w:t xml:space="preserve"> </w:t>
      </w:r>
      <w:r w:rsidR="00B078CE">
        <w:rPr>
          <w:lang w:val="en-CA"/>
        </w:rPr>
        <w:t>at ¶ 25</w:t>
      </w:r>
      <w:r>
        <w:rPr>
          <w:lang w:val="en-CA"/>
        </w:rPr>
        <w:t>.</w:t>
      </w:r>
      <w:proofErr w:type="gramEnd"/>
      <w:r>
        <w:rPr>
          <w:lang w:val="en-CA"/>
        </w:rPr>
        <w:t xml:space="preserve">  Upon reporting </w:t>
      </w:r>
      <w:r w:rsidR="00B078CE">
        <w:rPr>
          <w:lang w:val="en-CA"/>
        </w:rPr>
        <w:t>for his medical examination</w:t>
      </w:r>
      <w:r>
        <w:rPr>
          <w:lang w:val="en-CA"/>
        </w:rPr>
        <w:t xml:space="preserve">, Plaintiff completed paperwork and underwent a vision and hearing exam.  </w:t>
      </w:r>
      <w:r>
        <w:rPr>
          <w:i/>
          <w:lang w:val="en-CA"/>
        </w:rPr>
        <w:t xml:space="preserve">Id. </w:t>
      </w:r>
      <w:r>
        <w:rPr>
          <w:lang w:val="en-CA"/>
        </w:rPr>
        <w:t xml:space="preserve">at </w:t>
      </w:r>
      <w:r w:rsidR="00B078CE">
        <w:rPr>
          <w:lang w:val="en-CA"/>
        </w:rPr>
        <w:t>¶¶ 63-70</w:t>
      </w:r>
      <w:r>
        <w:rPr>
          <w:lang w:val="en-CA"/>
        </w:rPr>
        <w:t>.  Plaintiff was then asked to sit in a room, and an NYPD employee, who did not identify himself</w:t>
      </w:r>
      <w:r w:rsidR="000C6B6F">
        <w:rPr>
          <w:lang w:val="en-CA"/>
        </w:rPr>
        <w:t xml:space="preserve"> as a physician</w:t>
      </w:r>
      <w:r>
        <w:rPr>
          <w:lang w:val="en-CA"/>
        </w:rPr>
        <w:t xml:space="preserve">, spoke to </w:t>
      </w:r>
      <w:r w:rsidR="00B078CE">
        <w:rPr>
          <w:lang w:val="en-CA"/>
        </w:rPr>
        <w:t>Plaintiff</w:t>
      </w:r>
      <w:r>
        <w:rPr>
          <w:lang w:val="en-CA"/>
        </w:rPr>
        <w:t xml:space="preserve"> and asked questions regarding the paperwork that had been completed.  </w:t>
      </w:r>
      <w:r>
        <w:rPr>
          <w:i/>
          <w:lang w:val="en-CA"/>
        </w:rPr>
        <w:t xml:space="preserve">Id. </w:t>
      </w:r>
      <w:r w:rsidR="00B078CE">
        <w:rPr>
          <w:lang w:val="en-CA"/>
        </w:rPr>
        <w:t>at ¶¶ 70-72</w:t>
      </w:r>
      <w:r>
        <w:rPr>
          <w:lang w:val="en-CA"/>
        </w:rPr>
        <w:t xml:space="preserve">.  During Plaintiff’s questioning, consistent with the medical questionnaire that he had submitted as part of the paperwork, Plaintiff reported that he had been diagnosed with a seizure condition for which he took medication.  </w:t>
      </w:r>
      <w:proofErr w:type="gramStart"/>
      <w:r w:rsidR="00B078CE">
        <w:rPr>
          <w:i/>
          <w:lang w:val="en-CA"/>
        </w:rPr>
        <w:t xml:space="preserve">Id. </w:t>
      </w:r>
      <w:r w:rsidR="00B078CE">
        <w:rPr>
          <w:lang w:val="en-CA"/>
        </w:rPr>
        <w:t>at ¶¶ 64-66, 70</w:t>
      </w:r>
      <w:r>
        <w:rPr>
          <w:lang w:val="en-CA"/>
        </w:rPr>
        <w:t>.</w:t>
      </w:r>
      <w:proofErr w:type="gramEnd"/>
      <w:r>
        <w:rPr>
          <w:lang w:val="en-CA"/>
        </w:rPr>
        <w:t xml:space="preserve">  Plaintiff also reported that he had never experienced a seizure while taking medication, and that he had also never experienced side effects from the medication.  </w:t>
      </w:r>
      <w:proofErr w:type="gramStart"/>
      <w:r>
        <w:rPr>
          <w:i/>
          <w:lang w:val="en-CA"/>
        </w:rPr>
        <w:t>Id.</w:t>
      </w:r>
      <w:r w:rsidR="00B078CE">
        <w:rPr>
          <w:lang w:val="en-CA"/>
        </w:rPr>
        <w:t xml:space="preserve"> at ¶ 70.</w:t>
      </w:r>
      <w:proofErr w:type="gramEnd"/>
      <w:r>
        <w:rPr>
          <w:lang w:val="en-CA"/>
        </w:rPr>
        <w:t xml:space="preserve">  Plaintiff’s question and answer session with the unidentified NYPD employee lasted a few minutes.  </w:t>
      </w:r>
      <w:proofErr w:type="spellStart"/>
      <w:r w:rsidR="00B454B0">
        <w:rPr>
          <w:lang w:val="en-CA"/>
        </w:rPr>
        <w:t>Pesce</w:t>
      </w:r>
      <w:proofErr w:type="spellEnd"/>
      <w:r w:rsidR="00B078CE">
        <w:rPr>
          <w:lang w:val="en-CA"/>
        </w:rPr>
        <w:t xml:space="preserve"> Dep. </w:t>
      </w:r>
      <w:r>
        <w:rPr>
          <w:lang w:val="en-CA"/>
        </w:rPr>
        <w:t xml:space="preserve">95:25-96:4.  Following the interview, Plaintiff returned to another room and waited.  </w:t>
      </w:r>
      <w:proofErr w:type="spellStart"/>
      <w:proofErr w:type="gramStart"/>
      <w:r w:rsidR="00B078CE">
        <w:rPr>
          <w:lang w:val="en-CA"/>
        </w:rPr>
        <w:t>Defs</w:t>
      </w:r>
      <w:proofErr w:type="spellEnd"/>
      <w:r w:rsidR="00B078CE">
        <w:rPr>
          <w:lang w:val="en-CA"/>
        </w:rPr>
        <w:t>.</w:t>
      </w:r>
      <w:proofErr w:type="gramEnd"/>
      <w:r w:rsidR="000C6B6F">
        <w:rPr>
          <w:lang w:val="en-CA"/>
        </w:rPr>
        <w:t xml:space="preserve"> </w:t>
      </w:r>
      <w:proofErr w:type="gramStart"/>
      <w:r w:rsidR="00B078CE">
        <w:rPr>
          <w:lang w:val="en-CA"/>
        </w:rPr>
        <w:t>56.1 ¶ 72</w:t>
      </w:r>
      <w:r>
        <w:rPr>
          <w:lang w:val="en-CA"/>
        </w:rPr>
        <w:t>.</w:t>
      </w:r>
      <w:proofErr w:type="gramEnd"/>
      <w:r>
        <w:rPr>
          <w:lang w:val="en-CA"/>
        </w:rPr>
        <w:t xml:space="preserve">  After waiting for a period of time, Plaintiff was pulled out of the room by a different individual and handed a disqualification letter.  </w:t>
      </w:r>
      <w:r>
        <w:rPr>
          <w:i/>
          <w:lang w:val="en-CA"/>
        </w:rPr>
        <w:t>Id.</w:t>
      </w:r>
      <w:r>
        <w:rPr>
          <w:lang w:val="en-CA"/>
        </w:rPr>
        <w:t xml:space="preserve">  Upon being handed the disqualification notice, Plaintiff was informed by the person giving him the notice that he had been medically disqualified for the reason of having seizures.  </w:t>
      </w:r>
      <w:r>
        <w:rPr>
          <w:i/>
          <w:lang w:val="en-CA"/>
        </w:rPr>
        <w:t>Id.</w:t>
      </w:r>
      <w:r w:rsidR="00B078CE">
        <w:rPr>
          <w:lang w:val="en-CA"/>
        </w:rPr>
        <w:t xml:space="preserve"> </w:t>
      </w:r>
    </w:p>
    <w:p w:rsidR="0046415A" w:rsidRPr="004934EF" w:rsidRDefault="005B1A52" w:rsidP="000C6B6F">
      <w:pPr>
        <w:spacing w:line="480" w:lineRule="auto"/>
        <w:ind w:firstLine="720"/>
        <w:rPr>
          <w:lang w:val="en-CA"/>
        </w:rPr>
      </w:pPr>
      <w:r>
        <w:rPr>
          <w:lang w:val="en-CA"/>
        </w:rPr>
        <w:t xml:space="preserve">Although </w:t>
      </w:r>
      <w:r w:rsidR="00B454B0">
        <w:rPr>
          <w:lang w:val="en-CA"/>
        </w:rPr>
        <w:t xml:space="preserve">he never met with Plaintiff, </w:t>
      </w:r>
      <w:proofErr w:type="spellStart"/>
      <w:r w:rsidR="00B454B0">
        <w:rPr>
          <w:lang w:val="en-CA"/>
        </w:rPr>
        <w:t>Pesce</w:t>
      </w:r>
      <w:proofErr w:type="spellEnd"/>
      <w:r w:rsidR="006349E1">
        <w:rPr>
          <w:lang w:val="en-CA"/>
        </w:rPr>
        <w:t xml:space="preserve"> Dep. 96:5-9</w:t>
      </w:r>
      <w:r>
        <w:rPr>
          <w:lang w:val="en-CA"/>
        </w:rPr>
        <w:t xml:space="preserve">, the individual who made the decision to disqualify Plaintiff was Dr. David Lichtenstein (“Dr. Lichtenstein”).  </w:t>
      </w:r>
      <w:proofErr w:type="spellStart"/>
      <w:proofErr w:type="gramStart"/>
      <w:r w:rsidR="000C6B6F">
        <w:rPr>
          <w:lang w:val="en-CA"/>
        </w:rPr>
        <w:t>Defs</w:t>
      </w:r>
      <w:proofErr w:type="spellEnd"/>
      <w:r w:rsidR="000C6B6F">
        <w:rPr>
          <w:lang w:val="en-CA"/>
        </w:rPr>
        <w:t>.</w:t>
      </w:r>
      <w:proofErr w:type="gramEnd"/>
      <w:r w:rsidR="000C6B6F">
        <w:rPr>
          <w:lang w:val="en-CA"/>
        </w:rPr>
        <w:t xml:space="preserve"> </w:t>
      </w:r>
      <w:proofErr w:type="gramStart"/>
      <w:r w:rsidR="000C6B6F">
        <w:rPr>
          <w:lang w:val="en-CA"/>
        </w:rPr>
        <w:t>56.1</w:t>
      </w:r>
      <w:r w:rsidR="00B078CE">
        <w:rPr>
          <w:lang w:val="en-CA"/>
        </w:rPr>
        <w:t xml:space="preserve"> </w:t>
      </w:r>
      <w:r w:rsidR="0046415A">
        <w:rPr>
          <w:lang w:val="en-CA"/>
        </w:rPr>
        <w:t>¶ 33</w:t>
      </w:r>
      <w:r>
        <w:rPr>
          <w:lang w:val="en-CA"/>
        </w:rPr>
        <w:t>.</w:t>
      </w:r>
      <w:proofErr w:type="gramEnd"/>
      <w:r>
        <w:rPr>
          <w:lang w:val="en-CA"/>
        </w:rPr>
        <w:t xml:space="preserve">  Dr. Lichtenstein is the deputy chief surgeon of the NYPD who has conducted candidate medical screenings for the last five years, and his direct medical supervisor is Dr. Eli Kleinman (“Dr. Kleinman”), Supervising Chief Surgeon of the NYPD.  </w:t>
      </w:r>
      <w:proofErr w:type="gramStart"/>
      <w:r w:rsidR="00B454B0">
        <w:rPr>
          <w:lang w:val="en-CA"/>
        </w:rPr>
        <w:t>Smithsimon Decl., Ex. 3 (“</w:t>
      </w:r>
      <w:proofErr w:type="spellStart"/>
      <w:r>
        <w:rPr>
          <w:lang w:val="en-CA"/>
        </w:rPr>
        <w:t>Lichteinstein</w:t>
      </w:r>
      <w:proofErr w:type="spellEnd"/>
      <w:r>
        <w:rPr>
          <w:lang w:val="en-CA"/>
        </w:rPr>
        <w:t xml:space="preserve"> Dep.</w:t>
      </w:r>
      <w:r w:rsidR="00B454B0">
        <w:rPr>
          <w:lang w:val="en-CA"/>
        </w:rPr>
        <w:t>”) at</w:t>
      </w:r>
      <w:r>
        <w:rPr>
          <w:lang w:val="en-CA"/>
        </w:rPr>
        <w:t xml:space="preserve"> 23:16-19; </w:t>
      </w:r>
      <w:r w:rsidR="00B454B0">
        <w:rPr>
          <w:lang w:val="en-CA"/>
        </w:rPr>
        <w:t>Smithsimon Decl., Ex. 2 (“</w:t>
      </w:r>
      <w:proofErr w:type="spellStart"/>
      <w:r>
        <w:rPr>
          <w:lang w:val="en-CA"/>
        </w:rPr>
        <w:t>Kleinman</w:t>
      </w:r>
      <w:proofErr w:type="spellEnd"/>
      <w:r>
        <w:rPr>
          <w:lang w:val="en-CA"/>
        </w:rPr>
        <w:t xml:space="preserve"> Dep.</w:t>
      </w:r>
      <w:r w:rsidR="00B454B0">
        <w:rPr>
          <w:lang w:val="en-CA"/>
        </w:rPr>
        <w:t>”) at</w:t>
      </w:r>
      <w:r>
        <w:rPr>
          <w:lang w:val="en-CA"/>
        </w:rPr>
        <w:t xml:space="preserve"> 106:9-23.</w:t>
      </w:r>
      <w:proofErr w:type="gramEnd"/>
      <w:r>
        <w:rPr>
          <w:lang w:val="en-CA"/>
        </w:rPr>
        <w:t xml:space="preserve">  Although Dr. Lichtenstein can refer candidates for review to the NYPD’s neurologist, Dr. Anthony Maniscalco (“Dr. Maniscalco”), prior to disqualification, in Plaintiff’s case, Dr. Lichtenstein disqualified Plaintiff without consulting with Dr. Maniscalco.  Lichtenstein </w:t>
      </w:r>
      <w:r w:rsidR="000C6B6F">
        <w:rPr>
          <w:lang w:val="en-CA"/>
        </w:rPr>
        <w:t xml:space="preserve">Dep. </w:t>
      </w:r>
      <w:r>
        <w:rPr>
          <w:lang w:val="en-CA"/>
        </w:rPr>
        <w:t>156:18-157:13.  Dr. Maniscalco did not examine Plaintiff’s medical records until after Plaintiff appealed his disqualification.  Maniscalco Dep. 87:7-14.</w:t>
      </w:r>
    </w:p>
    <w:p w:rsidR="00721F39" w:rsidRDefault="00721F39" w:rsidP="00815659">
      <w:pPr>
        <w:pStyle w:val="Heading1"/>
      </w:pPr>
      <w:bookmarkStart w:id="3" w:name="_Toc422834394"/>
      <w:r>
        <w:t>STATUTORY AND REGULATORY BACKGROUND</w:t>
      </w:r>
      <w:bookmarkEnd w:id="3"/>
    </w:p>
    <w:p w:rsidR="005F4487" w:rsidRPr="005F4487" w:rsidRDefault="005F4487" w:rsidP="005F4487"/>
    <w:p w:rsidR="00C67F06" w:rsidRDefault="00721F39" w:rsidP="002703F9">
      <w:pPr>
        <w:spacing w:line="480" w:lineRule="auto"/>
        <w:ind w:firstLine="720"/>
      </w:pPr>
      <w:r w:rsidRPr="00813A30">
        <w:t xml:space="preserve">Two decades ago, Congress determined that there was a “compelling need” to remedy widespread discrimination against </w:t>
      </w:r>
      <w:r w:rsidR="00A2765B">
        <w:t>individuals with disabilities</w:t>
      </w:r>
      <w:r w:rsidRPr="00813A30">
        <w:t xml:space="preserve"> through a “clear and comprehensive national mandate.”  H.R. Re</w:t>
      </w:r>
      <w:r w:rsidR="00A20122">
        <w:t>p. No. 101-485 (II)</w:t>
      </w:r>
      <w:r w:rsidRPr="00813A30">
        <w:t>, at</w:t>
      </w:r>
      <w:r>
        <w:t xml:space="preserve"> 50 (1990)</w:t>
      </w:r>
      <w:r w:rsidR="00A45967">
        <w:fldChar w:fldCharType="begin"/>
      </w:r>
      <w:r w:rsidR="00A8726E">
        <w:instrText xml:space="preserve"> TA \l "</w:instrText>
      </w:r>
      <w:r w:rsidR="00A8726E" w:rsidRPr="00103946">
        <w:instrText>H.R. Rep. No. 101-485 (II), at 50 (1990)</w:instrText>
      </w:r>
      <w:r w:rsidR="00A8726E">
        <w:instrText xml:space="preserve">" \s "H.R. Rep. No. 101-485 (II), at 50 (1990)" \c 13 </w:instrText>
      </w:r>
      <w:r w:rsidR="00A45967">
        <w:fldChar w:fldCharType="end"/>
      </w:r>
      <w:r w:rsidR="00A20122">
        <w:t xml:space="preserve">, </w:t>
      </w:r>
      <w:r w:rsidR="00A20122">
        <w:rPr>
          <w:i/>
        </w:rPr>
        <w:t>reprinted in</w:t>
      </w:r>
      <w:r w:rsidR="00A20122">
        <w:t xml:space="preserve"> 1990 U.S.C.C.A.N. 303, 332</w:t>
      </w:r>
      <w:r>
        <w:t xml:space="preserve">. </w:t>
      </w:r>
      <w:r w:rsidRPr="00813A30">
        <w:t xml:space="preserve"> In 1990, Congress enacted the ADA to implement that broad mandate.  </w:t>
      </w:r>
      <w:r w:rsidRPr="00813A30">
        <w:rPr>
          <w:i/>
        </w:rPr>
        <w:t>See</w:t>
      </w:r>
      <w:r w:rsidRPr="00813A30">
        <w:t xml:space="preserve"> 42 U.S.C. § 12101(b)</w:t>
      </w:r>
      <w:r w:rsidR="00A45967">
        <w:fldChar w:fldCharType="begin"/>
      </w:r>
      <w:r w:rsidR="00BD4B21">
        <w:instrText xml:space="preserve"> TA \s "42 U.S.C. § 12101, et seq." </w:instrText>
      </w:r>
      <w:r w:rsidR="00A45967">
        <w:fldChar w:fldCharType="end"/>
      </w:r>
      <w:r w:rsidRPr="00813A30">
        <w:t xml:space="preserve">.  The ADA has a “sweeping purpose,” and “forbids discrimination against </w:t>
      </w:r>
      <w:r w:rsidR="00FD12A2">
        <w:t>disabled individuals</w:t>
      </w:r>
      <w:r w:rsidRPr="00813A30">
        <w:t xml:space="preserve"> in major areas of public life.”  </w:t>
      </w:r>
      <w:r w:rsidRPr="00813A30">
        <w:rPr>
          <w:i/>
        </w:rPr>
        <w:t>PGA Tour, Inc. v. Martin</w:t>
      </w:r>
      <w:r w:rsidRPr="00813A30">
        <w:t>, 532 U.S. 661, 675 (2001)</w:t>
      </w:r>
      <w:r w:rsidR="00A45967">
        <w:fldChar w:fldCharType="begin"/>
      </w:r>
      <w:r w:rsidR="00A8726E">
        <w:instrText xml:space="preserve"> TA \l "</w:instrText>
      </w:r>
      <w:r w:rsidR="00A8726E" w:rsidRPr="0060689C">
        <w:rPr>
          <w:i/>
        </w:rPr>
        <w:instrText>PGA Tour, Inc. v. Martin</w:instrText>
      </w:r>
      <w:r w:rsidR="00A8726E">
        <w:instrText>, 532 U.S. 661</w:instrText>
      </w:r>
      <w:r w:rsidR="00A8726E" w:rsidRPr="0060689C">
        <w:instrText xml:space="preserve"> (2001)</w:instrText>
      </w:r>
      <w:r w:rsidR="00A8726E">
        <w:instrText xml:space="preserve">" \s "PGA Tour, Inc. v. Martin, 532 U.S. 661, 675 (2001)" \c 1 </w:instrText>
      </w:r>
      <w:r w:rsidR="00A45967">
        <w:fldChar w:fldCharType="end"/>
      </w:r>
      <w:r w:rsidRPr="00813A30">
        <w:t xml:space="preserve">.  As a remedial statute, moreover, the ADA “should be construed broadly to effectuate its purposes.”  </w:t>
      </w:r>
      <w:r w:rsidRPr="00813A30">
        <w:rPr>
          <w:i/>
        </w:rPr>
        <w:t>Tcherepnin v. Knight</w:t>
      </w:r>
      <w:r w:rsidRPr="00813A30">
        <w:t>, 389 U.S. 332, 336 (1967)</w:t>
      </w:r>
      <w:r w:rsidR="00A45967">
        <w:fldChar w:fldCharType="begin"/>
      </w:r>
      <w:r w:rsidR="00A8726E">
        <w:instrText xml:space="preserve"> TA \l "</w:instrText>
      </w:r>
      <w:r w:rsidR="00A8726E" w:rsidRPr="00DF621D">
        <w:rPr>
          <w:i/>
        </w:rPr>
        <w:instrText>Tcherepnin v. Knight</w:instrText>
      </w:r>
      <w:r w:rsidR="00A8726E">
        <w:instrText>, 389 U.S. 332</w:instrText>
      </w:r>
      <w:r w:rsidR="00A8726E" w:rsidRPr="00DF621D">
        <w:instrText xml:space="preserve"> (1967)</w:instrText>
      </w:r>
      <w:r w:rsidR="00A8726E">
        <w:instrText xml:space="preserve">" \s "Tcherepnin v. Knight, 389 U.S. 332, 336 (1967)" \c 1 </w:instrText>
      </w:r>
      <w:r w:rsidR="00A45967">
        <w:fldChar w:fldCharType="end"/>
      </w:r>
      <w:r w:rsidRPr="00813A30">
        <w:t xml:space="preserve">; </w:t>
      </w:r>
      <w:r w:rsidRPr="00813A30">
        <w:rPr>
          <w:i/>
        </w:rPr>
        <w:t>see also Henrietta D. v. Bloomberg</w:t>
      </w:r>
      <w:r w:rsidRPr="00813A30">
        <w:t>, 331 F.3d 261, 279 (2d Cir. 2003)</w:t>
      </w:r>
      <w:r w:rsidR="00A45967">
        <w:fldChar w:fldCharType="begin"/>
      </w:r>
      <w:r w:rsidR="00A8726E">
        <w:instrText xml:space="preserve"> TA \l "</w:instrText>
      </w:r>
      <w:r w:rsidR="00A8726E" w:rsidRPr="005B0C7F">
        <w:rPr>
          <w:i/>
        </w:rPr>
        <w:instrText>Henrietta D. v. Bloomberg</w:instrText>
      </w:r>
      <w:r w:rsidR="00A8726E">
        <w:instrText>, 331 F.3d 261</w:instrText>
      </w:r>
      <w:r w:rsidR="00A8726E" w:rsidRPr="005B0C7F">
        <w:instrText xml:space="preserve"> (2d Cir. 2003)</w:instrText>
      </w:r>
      <w:r w:rsidR="00A8726E">
        <w:instrText xml:space="preserve">" \s "Henrietta D. v. Bloomberg, 331 F.3d 261, 279 (2d Cir. 2003)" \c 1 </w:instrText>
      </w:r>
      <w:r w:rsidR="00A45967">
        <w:fldChar w:fldCharType="end"/>
      </w:r>
      <w:r w:rsidRPr="00813A30">
        <w:t xml:space="preserve">.  Indeed, the ADA’s “comprehensive character” is one of its “most impressive strengths.”  </w:t>
      </w:r>
      <w:r w:rsidR="009A2A1A">
        <w:rPr>
          <w:i/>
        </w:rPr>
        <w:t>See PGA</w:t>
      </w:r>
      <w:r w:rsidR="009A2A1A" w:rsidRPr="009A2A1A">
        <w:rPr>
          <w:i/>
        </w:rPr>
        <w:t xml:space="preserve"> Tour</w:t>
      </w:r>
      <w:r w:rsidR="009A2A1A">
        <w:t>, 532 U.S. at 675</w:t>
      </w:r>
      <w:r w:rsidR="00A45967">
        <w:fldChar w:fldCharType="begin"/>
      </w:r>
      <w:r w:rsidR="00A8726E">
        <w:instrText xml:space="preserve"> TA \s "PGA Tour, Inc. v. Martin, 532 U.S. 661, 675 (2001)" </w:instrText>
      </w:r>
      <w:r w:rsidR="00A45967">
        <w:fldChar w:fldCharType="end"/>
      </w:r>
      <w:r w:rsidR="009A2A1A">
        <w:t xml:space="preserve"> (quoting the </w:t>
      </w:r>
      <w:r w:rsidRPr="009A2A1A">
        <w:t>Hearings</w:t>
      </w:r>
      <w:r w:rsidRPr="00813A30">
        <w:t xml:space="preserve"> on S. 933 before the Senate Committee on Labor and Human Resources and the Subcommittee on the Handicapped, 101st Cong., 1st Sess., 197 (1989) (statement of </w:t>
      </w:r>
      <w:r w:rsidR="009A2A1A">
        <w:t xml:space="preserve">the </w:t>
      </w:r>
      <w:r w:rsidRPr="00813A30">
        <w:t>Attorney General)</w:t>
      </w:r>
      <w:r w:rsidR="009A2A1A">
        <w:t>)</w:t>
      </w:r>
      <w:r w:rsidRPr="00813A30">
        <w:t xml:space="preserve">. </w:t>
      </w:r>
    </w:p>
    <w:p w:rsidR="000C6B6F" w:rsidRDefault="000C6B6F" w:rsidP="002703F9">
      <w:pPr>
        <w:spacing w:line="480" w:lineRule="auto"/>
        <w:ind w:firstLine="720"/>
      </w:pPr>
    </w:p>
    <w:p w:rsidR="00037C1E" w:rsidRDefault="00037C1E" w:rsidP="002703F9">
      <w:pPr>
        <w:spacing w:line="480" w:lineRule="auto"/>
        <w:ind w:firstLine="720"/>
      </w:pPr>
    </w:p>
    <w:p w:rsidR="00037C1E" w:rsidRDefault="00037C1E" w:rsidP="002703F9">
      <w:pPr>
        <w:spacing w:line="480" w:lineRule="auto"/>
        <w:ind w:firstLine="720"/>
      </w:pPr>
    </w:p>
    <w:p w:rsidR="00037C1E" w:rsidRDefault="00037C1E" w:rsidP="002703F9">
      <w:pPr>
        <w:spacing w:line="480" w:lineRule="auto"/>
        <w:ind w:firstLine="720"/>
      </w:pPr>
    </w:p>
    <w:p w:rsidR="00037C1E" w:rsidRDefault="00037C1E" w:rsidP="002703F9">
      <w:pPr>
        <w:spacing w:line="480" w:lineRule="auto"/>
        <w:ind w:firstLine="720"/>
      </w:pPr>
    </w:p>
    <w:p w:rsidR="00037C1E" w:rsidRDefault="00037C1E" w:rsidP="002703F9">
      <w:pPr>
        <w:spacing w:line="480" w:lineRule="auto"/>
        <w:ind w:firstLine="720"/>
      </w:pPr>
    </w:p>
    <w:p w:rsidR="00037C1E" w:rsidRDefault="00037C1E" w:rsidP="002703F9">
      <w:pPr>
        <w:spacing w:line="480" w:lineRule="auto"/>
        <w:ind w:firstLine="720"/>
      </w:pPr>
    </w:p>
    <w:p w:rsidR="00721F39" w:rsidRDefault="00721F39" w:rsidP="00815659">
      <w:pPr>
        <w:pStyle w:val="Heading2"/>
      </w:pPr>
      <w:bookmarkStart w:id="4" w:name="_Toc422834395"/>
      <w:r w:rsidRPr="00C72052">
        <w:t>Title I of the ADA</w:t>
      </w:r>
      <w:r w:rsidR="000008E9">
        <w:rPr>
          <w:rStyle w:val="FootnoteReference"/>
        </w:rPr>
        <w:footnoteReference w:id="2"/>
      </w:r>
      <w:bookmarkEnd w:id="4"/>
    </w:p>
    <w:p w:rsidR="005F4487" w:rsidRPr="005F4487" w:rsidRDefault="005F4487" w:rsidP="005F4487"/>
    <w:p w:rsidR="00012CBD" w:rsidRDefault="005F4487" w:rsidP="002371E6">
      <w:pPr>
        <w:spacing w:line="480" w:lineRule="auto"/>
        <w:ind w:firstLine="720"/>
        <w:rPr>
          <w:rFonts w:eastAsia="Calibri"/>
          <w:szCs w:val="24"/>
        </w:rPr>
      </w:pPr>
      <w:r w:rsidRPr="005F4487">
        <w:rPr>
          <w:rFonts w:eastAsia="Calibri"/>
          <w:szCs w:val="24"/>
        </w:rPr>
        <w:t xml:space="preserve">Title I of the ADA </w:t>
      </w:r>
      <w:r w:rsidR="00767764">
        <w:rPr>
          <w:rFonts w:eastAsia="Calibri"/>
          <w:szCs w:val="24"/>
        </w:rPr>
        <w:t xml:space="preserve">addresses discrimination on the basis of disability in the realm of employment.  Title I specifically </w:t>
      </w:r>
      <w:r w:rsidRPr="005F4487">
        <w:rPr>
          <w:rFonts w:eastAsia="Calibri"/>
          <w:szCs w:val="24"/>
        </w:rPr>
        <w:t xml:space="preserve">provides that </w:t>
      </w:r>
      <w:r w:rsidR="006238EC">
        <w:rPr>
          <w:rFonts w:eastAsia="Calibri"/>
          <w:szCs w:val="24"/>
        </w:rPr>
        <w:t xml:space="preserve">“[n]o covered entity </w:t>
      </w:r>
      <w:r w:rsidRPr="005F4487">
        <w:rPr>
          <w:rFonts w:eastAsia="Calibri"/>
          <w:szCs w:val="24"/>
        </w:rPr>
        <w:t xml:space="preserve">shall discriminate against a qualified individual with a disability </w:t>
      </w:r>
      <w:r w:rsidR="00B033AB">
        <w:rPr>
          <w:rFonts w:eastAsia="Calibri"/>
          <w:szCs w:val="24"/>
        </w:rPr>
        <w:t xml:space="preserve">on the basis of </w:t>
      </w:r>
      <w:r w:rsidRPr="005F4487">
        <w:rPr>
          <w:rFonts w:eastAsia="Calibri"/>
          <w:szCs w:val="24"/>
        </w:rPr>
        <w:t>disability in regard to job application procedures, the hiring, advancement, or discharge of employees…and other terms, conditions, and privileges of employment.”  42 U.S.C. § 12112(a)</w:t>
      </w:r>
      <w:r w:rsidR="00A45967">
        <w:rPr>
          <w:rFonts w:eastAsia="Calibri"/>
          <w:szCs w:val="24"/>
        </w:rPr>
        <w:fldChar w:fldCharType="begin"/>
      </w:r>
      <w:r w:rsidR="00BD4B21">
        <w:instrText xml:space="preserve"> TA \s "42 U.S.C. § 12101, et seq." </w:instrText>
      </w:r>
      <w:r w:rsidR="00A45967">
        <w:rPr>
          <w:rFonts w:eastAsia="Calibri"/>
          <w:szCs w:val="24"/>
        </w:rPr>
        <w:fldChar w:fldCharType="end"/>
      </w:r>
      <w:r w:rsidRPr="005F4487">
        <w:rPr>
          <w:rFonts w:eastAsia="Calibri"/>
          <w:szCs w:val="24"/>
        </w:rPr>
        <w:t>; 29 C.F.R. § 1630.4</w:t>
      </w:r>
      <w:r w:rsidR="00A45967">
        <w:rPr>
          <w:rFonts w:eastAsia="Calibri"/>
          <w:szCs w:val="24"/>
        </w:rPr>
        <w:fldChar w:fldCharType="begin"/>
      </w:r>
      <w:r w:rsidR="00BD4B21">
        <w:instrText xml:space="preserve"> TA \l "</w:instrText>
      </w:r>
      <w:r w:rsidR="00BD4B21" w:rsidRPr="00027F0F">
        <w:rPr>
          <w:rFonts w:eastAsia="Calibri"/>
          <w:szCs w:val="24"/>
        </w:rPr>
        <w:instrText>29 C.F.R. § 1630.4</w:instrText>
      </w:r>
      <w:r w:rsidR="00BD4B21">
        <w:instrText xml:space="preserve">" \s "29 C.F.R. § 1630.4" \c 10 </w:instrText>
      </w:r>
      <w:r w:rsidR="00A45967">
        <w:rPr>
          <w:rFonts w:eastAsia="Calibri"/>
          <w:szCs w:val="24"/>
        </w:rPr>
        <w:fldChar w:fldCharType="end"/>
      </w:r>
      <w:r w:rsidRPr="005F4487">
        <w:rPr>
          <w:rFonts w:eastAsia="Calibri"/>
          <w:szCs w:val="24"/>
        </w:rPr>
        <w:t xml:space="preserve">.  </w:t>
      </w:r>
    </w:p>
    <w:p w:rsidR="00CD3A2F" w:rsidRDefault="00DA67A6" w:rsidP="002371E6">
      <w:pPr>
        <w:spacing w:line="480" w:lineRule="auto"/>
        <w:ind w:firstLine="720"/>
      </w:pPr>
      <w:r>
        <w:rPr>
          <w:rFonts w:eastAsia="Calibri"/>
          <w:szCs w:val="24"/>
        </w:rPr>
        <w:t xml:space="preserve">Claims under Title I of the ADA follow the familiar burden-shifting framework established by the Supreme Court in </w:t>
      </w:r>
      <w:r>
        <w:rPr>
          <w:rFonts w:eastAsia="Calibri"/>
          <w:i/>
          <w:szCs w:val="24"/>
        </w:rPr>
        <w:t>McDonnell Douglas</w:t>
      </w:r>
      <w:r w:rsidR="00F77929">
        <w:rPr>
          <w:rFonts w:eastAsia="Calibri"/>
          <w:i/>
          <w:szCs w:val="24"/>
        </w:rPr>
        <w:t xml:space="preserve"> Corp. v. Green</w:t>
      </w:r>
      <w:r w:rsidR="00F77929">
        <w:rPr>
          <w:rFonts w:eastAsia="Calibri"/>
          <w:szCs w:val="24"/>
        </w:rPr>
        <w:t>, 411 U.S. 792 (1973)</w:t>
      </w:r>
      <w:r w:rsidR="00A45967">
        <w:rPr>
          <w:rFonts w:eastAsia="Calibri"/>
          <w:szCs w:val="24"/>
        </w:rPr>
        <w:fldChar w:fldCharType="begin"/>
      </w:r>
      <w:r w:rsidR="00BD4B21">
        <w:instrText xml:space="preserve"> TA \l "</w:instrText>
      </w:r>
      <w:r w:rsidR="00BD4B21" w:rsidRPr="006B5939">
        <w:rPr>
          <w:rFonts w:eastAsia="Calibri"/>
          <w:i/>
          <w:szCs w:val="24"/>
        </w:rPr>
        <w:instrText>McDonnell Douglas Corp. v. Green</w:instrText>
      </w:r>
      <w:r w:rsidR="00BD4B21" w:rsidRPr="006B5939">
        <w:rPr>
          <w:rFonts w:eastAsia="Calibri"/>
          <w:szCs w:val="24"/>
        </w:rPr>
        <w:instrText>, 411 U.S. 792 (1973)</w:instrText>
      </w:r>
      <w:r w:rsidR="00BD4B21">
        <w:instrText xml:space="preserve">" \s "McDonnell Douglas Corp. v. Green, 411 U.S. 792 (1973)" \c 1 </w:instrText>
      </w:r>
      <w:r w:rsidR="00A45967">
        <w:rPr>
          <w:rFonts w:eastAsia="Calibri"/>
          <w:szCs w:val="24"/>
        </w:rPr>
        <w:fldChar w:fldCharType="end"/>
      </w:r>
      <w:r w:rsidR="004B4D7F">
        <w:t>.</w:t>
      </w:r>
      <w:r>
        <w:t xml:space="preserve">  </w:t>
      </w:r>
      <w:r w:rsidR="00F77929">
        <w:rPr>
          <w:i/>
        </w:rPr>
        <w:t xml:space="preserve">See </w:t>
      </w:r>
      <w:r>
        <w:rPr>
          <w:i/>
        </w:rPr>
        <w:t>Young v. Westchester Cnty. Dept. Soc. Svcs.</w:t>
      </w:r>
      <w:r>
        <w:t xml:space="preserve">, 57 Fed. </w:t>
      </w:r>
      <w:proofErr w:type="spellStart"/>
      <w:proofErr w:type="gramStart"/>
      <w:r>
        <w:t>App</w:t>
      </w:r>
      <w:r w:rsidR="008B2C6C">
        <w:t>’</w:t>
      </w:r>
      <w:r w:rsidR="0046415A">
        <w:t>x</w:t>
      </w:r>
      <w:proofErr w:type="spellEnd"/>
      <w:r>
        <w:t xml:space="preserve"> 492, 494 (2d Cir. 2003)</w:t>
      </w:r>
      <w:r w:rsidR="00A45967">
        <w:fldChar w:fldCharType="begin"/>
      </w:r>
      <w:r w:rsidR="00BD4B21">
        <w:instrText xml:space="preserve"> TA \l "</w:instrText>
      </w:r>
      <w:r w:rsidR="00BD4B21" w:rsidRPr="00162B01">
        <w:rPr>
          <w:i/>
        </w:rPr>
        <w:instrText>Young v. Westchester Cnty. Dept. Soc. Svcs.</w:instrText>
      </w:r>
      <w:r w:rsidR="00BD4B21" w:rsidRPr="00162B01">
        <w:instrText>, 57 Fed. App’</w:instrText>
      </w:r>
      <w:r w:rsidR="00BD4B21">
        <w:instrText>x. 492</w:instrText>
      </w:r>
      <w:r w:rsidR="00BD4B21" w:rsidRPr="00162B01">
        <w:instrText xml:space="preserve"> (2d Cir. 2003)</w:instrText>
      </w:r>
      <w:r w:rsidR="00BD4B21">
        <w:instrText xml:space="preserve">" \s "Young v. Westchester Cnty. Dept. Soc. Svcs., 57 Fed. App’x. 492, 494 (2d Cir. 2003)" \c 1 </w:instrText>
      </w:r>
      <w:r w:rsidR="00A45967">
        <w:fldChar w:fldCharType="end"/>
      </w:r>
      <w:r>
        <w:t>.</w:t>
      </w:r>
      <w:proofErr w:type="gramEnd"/>
      <w:r w:rsidR="00F77929">
        <w:t xml:space="preserve">  Under this framework, the plaintiff bears the initial burden of establishing a </w:t>
      </w:r>
      <w:r w:rsidR="00F77929">
        <w:rPr>
          <w:i/>
        </w:rPr>
        <w:t xml:space="preserve">prima facie </w:t>
      </w:r>
      <w:r w:rsidR="00F77929">
        <w:t xml:space="preserve">case.  </w:t>
      </w:r>
      <w:r w:rsidR="00F77929">
        <w:rPr>
          <w:i/>
        </w:rPr>
        <w:t>Id.</w:t>
      </w:r>
      <w:r w:rsidR="00A45967">
        <w:rPr>
          <w:i/>
        </w:rPr>
        <w:fldChar w:fldCharType="begin"/>
      </w:r>
      <w:r w:rsidR="00BD4B21">
        <w:instrText xml:space="preserve"> TA \s "Young v. Westchester Cnty. Dept. Soc. Svcs., 57 Fed. App’x. 492, 494 (2d Cir. 2003)" </w:instrText>
      </w:r>
      <w:r w:rsidR="00A45967">
        <w:rPr>
          <w:i/>
        </w:rPr>
        <w:fldChar w:fldCharType="end"/>
      </w:r>
      <w:r w:rsidR="00F77929">
        <w:t xml:space="preserve">  A </w:t>
      </w:r>
      <w:r w:rsidR="00F77929">
        <w:rPr>
          <w:i/>
        </w:rPr>
        <w:t xml:space="preserve">prima facie </w:t>
      </w:r>
      <w:r w:rsidR="00F77929">
        <w:t>case in this context requires a showing that:</w:t>
      </w:r>
      <w:r>
        <w:t xml:space="preserve"> (1) </w:t>
      </w:r>
      <w:r w:rsidR="00F77929">
        <w:t>plaintiff</w:t>
      </w:r>
      <w:r>
        <w:t xml:space="preserve"> is an individual who has a disability within the meaning of the ADA, (2) that an employer covered by the statute had notice of </w:t>
      </w:r>
      <w:r w:rsidR="00F77929">
        <w:t>the</w:t>
      </w:r>
      <w:r>
        <w:t xml:space="preserve"> disability, (3) that with </w:t>
      </w:r>
      <w:r w:rsidR="00B033AB">
        <w:t xml:space="preserve">or without </w:t>
      </w:r>
      <w:r>
        <w:t xml:space="preserve">reasonable accommodation, </w:t>
      </w:r>
      <w:r w:rsidR="00F77929">
        <w:t>plaintiff</w:t>
      </w:r>
      <w:r>
        <w:t xml:space="preserve"> could perform the essential functions of the position sought, and (4) that the employer has refused to make such</w:t>
      </w:r>
      <w:r w:rsidR="004B4D7F">
        <w:t xml:space="preserve"> </w:t>
      </w:r>
      <w:r w:rsidR="00F77929">
        <w:t xml:space="preserve">accommodations.  </w:t>
      </w:r>
      <w:r w:rsidR="00F77929">
        <w:rPr>
          <w:i/>
        </w:rPr>
        <w:t xml:space="preserve">See Lovejoy-Wilson </w:t>
      </w:r>
      <w:proofErr w:type="gramStart"/>
      <w:r w:rsidR="00F77929">
        <w:rPr>
          <w:i/>
        </w:rPr>
        <w:t>v. NOCO Motor Fuel, Inc.</w:t>
      </w:r>
      <w:r w:rsidR="00BD4B21">
        <w:t>, 263 F.3d 208</w:t>
      </w:r>
      <w:r w:rsidR="002703F9">
        <w:t>, 216</w:t>
      </w:r>
      <w:proofErr w:type="gramEnd"/>
      <w:r w:rsidR="00F77929">
        <w:t xml:space="preserve"> (2d Cir. 2001)</w:t>
      </w:r>
      <w:r w:rsidR="00A45967">
        <w:fldChar w:fldCharType="begin"/>
      </w:r>
      <w:r w:rsidR="00BD4B21">
        <w:instrText xml:space="preserve"> TA \l "</w:instrText>
      </w:r>
      <w:r w:rsidR="00BD4B21" w:rsidRPr="00565E85">
        <w:rPr>
          <w:i/>
        </w:rPr>
        <w:instrText>Lovejoy-Wilson v. NOCO Motor Fuel, Inc.</w:instrText>
      </w:r>
      <w:r w:rsidR="006518F9">
        <w:instrText>, 263 F.3d 208</w:instrText>
      </w:r>
      <w:r w:rsidR="00BD4B21" w:rsidRPr="00565E85">
        <w:instrText xml:space="preserve"> (2d Cir. 2001)</w:instrText>
      </w:r>
      <w:r w:rsidR="00BD4B21">
        <w:instrText xml:space="preserve">" \s "Lovejoy-Wilson v. NOCO Motor Fuel, Inc., 263 F.3d 208, 216 (2d Cir. 2001)" \c 1 </w:instrText>
      </w:r>
      <w:r w:rsidR="00A45967">
        <w:fldChar w:fldCharType="end"/>
      </w:r>
      <w:r w:rsidR="00CD3A2F">
        <w:t>.</w:t>
      </w:r>
    </w:p>
    <w:p w:rsidR="00012CBD" w:rsidRDefault="00B46500" w:rsidP="00B63D99">
      <w:pPr>
        <w:autoSpaceDE w:val="0"/>
        <w:autoSpaceDN w:val="0"/>
        <w:adjustRightInd w:val="0"/>
        <w:spacing w:line="480" w:lineRule="auto"/>
        <w:ind w:firstLine="720"/>
      </w:pPr>
      <w:r>
        <w:t xml:space="preserve">Once the plaintiff establishes a </w:t>
      </w:r>
      <w:r>
        <w:rPr>
          <w:i/>
        </w:rPr>
        <w:t>prima facie</w:t>
      </w:r>
      <w:r>
        <w:t xml:space="preserve"> case, the burden then shifts to the defendant to articulate a legitimate, non-discriminatory reason for the adverse employment action at issue.  </w:t>
      </w:r>
      <w:r w:rsidR="00B63D99">
        <w:t xml:space="preserve">With respect to defenses, </w:t>
      </w:r>
      <w:r w:rsidR="00012CBD">
        <w:t>Title I specifically provides that, “[i]t may be a defense to a charge of discrimination” under the statute that “an alleged application of qualification standards, tests, or selection criteria that screen out or tend to screen out or otherwise deny a job or benefit to an individual with a disability has been shown to be job-related and consistent with business necessity, and such performance cannot be accomplished by reasonable accommodation.”  42 U.S.C. § 12113(a)</w:t>
      </w:r>
      <w:r w:rsidR="00A45967">
        <w:fldChar w:fldCharType="begin"/>
      </w:r>
      <w:r w:rsidR="00BD4B21">
        <w:instrText xml:space="preserve"> TA \s "42 U.S.C. § 12101, et seq." </w:instrText>
      </w:r>
      <w:r w:rsidR="00A45967">
        <w:fldChar w:fldCharType="end"/>
      </w:r>
      <w:r w:rsidR="00012CBD">
        <w:t>.  Moreover, “‘qualification standards’ may include a requirement that an individual shall not pose a direct threat to the health or safety of other individuals in the workplace.”   42 U.S.C. § 12113(b)</w:t>
      </w:r>
      <w:r w:rsidR="00A45967">
        <w:fldChar w:fldCharType="begin"/>
      </w:r>
      <w:r w:rsidR="00BD4B21">
        <w:instrText xml:space="preserve"> TA \s "42 U.S.C. § 12101, et seq." </w:instrText>
      </w:r>
      <w:r w:rsidR="00A45967">
        <w:fldChar w:fldCharType="end"/>
      </w:r>
      <w:r w:rsidR="00012CBD">
        <w:t>.</w:t>
      </w:r>
      <w:r w:rsidR="00B63D99">
        <w:t xml:space="preserve">  Such a “direct threat” defense can be asserted by an employer either as an argument for why the plaintiff is unqualified for the position sought, or as an affirmative defense to the plaintiff’s </w:t>
      </w:r>
      <w:r w:rsidR="00B63D99">
        <w:rPr>
          <w:i/>
        </w:rPr>
        <w:t xml:space="preserve">prima facie </w:t>
      </w:r>
      <w:r w:rsidR="00B63D99">
        <w:t>case.</w:t>
      </w:r>
      <w:r w:rsidR="00C67F06">
        <w:rPr>
          <w:rStyle w:val="FootnoteReference"/>
        </w:rPr>
        <w:footnoteReference w:id="3"/>
      </w:r>
      <w:r w:rsidR="00C67F06">
        <w:t xml:space="preserve"> </w:t>
      </w:r>
      <w:r w:rsidR="00B63D99">
        <w:t xml:space="preserve">  </w:t>
      </w:r>
      <w:r w:rsidR="00B63D99" w:rsidRPr="00B63D99">
        <w:rPr>
          <w:i/>
        </w:rPr>
        <w:t>S</w:t>
      </w:r>
      <w:r w:rsidR="00B63D99">
        <w:rPr>
          <w:i/>
        </w:rPr>
        <w:t>ee also Lovejoy-Wilson</w:t>
      </w:r>
      <w:r w:rsidR="00B63D99">
        <w:t>, 263 F.3d at 216;</w:t>
      </w:r>
      <w:r w:rsidR="00A45967">
        <w:fldChar w:fldCharType="begin"/>
      </w:r>
      <w:r w:rsidR="00BD4B21">
        <w:instrText xml:space="preserve"> TA \s "Lovejoy-Wilson v. NOCO Motor Fuel, Inc., 263 F.3d 208, 216 (2d Cir. 2001)" </w:instrText>
      </w:r>
      <w:r w:rsidR="00A45967">
        <w:fldChar w:fldCharType="end"/>
      </w:r>
      <w:r w:rsidR="00B63D99">
        <w:t xml:space="preserve"> </w:t>
      </w:r>
      <w:r w:rsidR="00B63D99">
        <w:rPr>
          <w:i/>
        </w:rPr>
        <w:t>Nunes v. Wal-Mart Stores, Inc.</w:t>
      </w:r>
      <w:r w:rsidR="00B63D99">
        <w:t>, 164 F.3d 1243, 1247 (9th Cir. 1999)</w:t>
      </w:r>
      <w:r w:rsidR="00A45967">
        <w:fldChar w:fldCharType="begin"/>
      </w:r>
      <w:r w:rsidR="00BD4B21">
        <w:instrText xml:space="preserve"> TA \l "</w:instrText>
      </w:r>
      <w:r w:rsidR="00BD4B21" w:rsidRPr="00E3118C">
        <w:rPr>
          <w:i/>
        </w:rPr>
        <w:instrText>Nunes v. Wal-Mart Stores, Inc.</w:instrText>
      </w:r>
      <w:r w:rsidR="00BD4B21">
        <w:instrText>, 164 F.3d 1243</w:instrText>
      </w:r>
      <w:r w:rsidR="00BD4B21" w:rsidRPr="00E3118C">
        <w:instrText xml:space="preserve"> (9th Cir. 1999)</w:instrText>
      </w:r>
      <w:r w:rsidR="00BD4B21">
        <w:instrText xml:space="preserve">" \s "Nunes v. Wal-Mart Stores, Inc., 164 F.3d 1243, 1247 (9th Cir. 1999)" \c 1 </w:instrText>
      </w:r>
      <w:r w:rsidR="00A45967">
        <w:fldChar w:fldCharType="end"/>
      </w:r>
      <w:r w:rsidR="00B63D99">
        <w:t xml:space="preserve">. </w:t>
      </w:r>
    </w:p>
    <w:p w:rsidR="00012CBD" w:rsidRDefault="00012CBD" w:rsidP="002371E6">
      <w:pPr>
        <w:spacing w:line="480" w:lineRule="auto"/>
        <w:ind w:firstLine="720"/>
      </w:pPr>
      <w:r>
        <w:t xml:space="preserve">Under the ADA’s burden shifting framework, once the defendant is able to articulate a legitimate, non-discriminatory justification for its actions, the burden of proof shifts back to the plaintiff to show that the defendant’s cited justification is merely a pretext for discrimination.  </w:t>
      </w:r>
      <w:r>
        <w:rPr>
          <w:i/>
        </w:rPr>
        <w:t>See Glaser v. Gap, Inc.</w:t>
      </w:r>
      <w:r w:rsidR="00BD4B21">
        <w:t>, 994 F. Supp. 2d 569,</w:t>
      </w:r>
      <w:r>
        <w:t xml:space="preserve"> 572 (S.D.N.Y. 2014)</w:t>
      </w:r>
      <w:r w:rsidR="00A45967">
        <w:fldChar w:fldCharType="begin"/>
      </w:r>
      <w:r w:rsidR="00BD4B21">
        <w:instrText xml:space="preserve"> TA \l "</w:instrText>
      </w:r>
      <w:r w:rsidR="00BD4B21" w:rsidRPr="00A84CA0">
        <w:rPr>
          <w:i/>
        </w:rPr>
        <w:instrText>Glaser v. Gap, Inc.</w:instrText>
      </w:r>
      <w:r w:rsidR="00BD4B21" w:rsidRPr="00A84CA0">
        <w:instrText>, 994 F. Supp. 2d 569 (S.D.N.Y. 2014)</w:instrText>
      </w:r>
      <w:r w:rsidR="00BD4B21">
        <w:instrText xml:space="preserve">" \s "Glaser v. Gap, Inc., 994 F. Supp. 2d 569. 572 (S.D.N.Y. 2014)" \c 1 </w:instrText>
      </w:r>
      <w:r w:rsidR="00A45967">
        <w:fldChar w:fldCharType="end"/>
      </w:r>
      <w:r>
        <w:t>.</w:t>
      </w:r>
    </w:p>
    <w:p w:rsidR="006C0AA8" w:rsidRDefault="006C0AA8" w:rsidP="002371E6">
      <w:pPr>
        <w:spacing w:line="480" w:lineRule="auto"/>
        <w:ind w:firstLine="720"/>
      </w:pPr>
    </w:p>
    <w:p w:rsidR="005F4487" w:rsidRDefault="00744A6C" w:rsidP="00815659">
      <w:pPr>
        <w:pStyle w:val="Heading2"/>
        <w:rPr>
          <w:rFonts w:eastAsia="Calibri"/>
        </w:rPr>
      </w:pPr>
      <w:bookmarkStart w:id="5" w:name="_Toc422834396"/>
      <w:r>
        <w:t>EEOC Regulations</w:t>
      </w:r>
      <w:bookmarkEnd w:id="5"/>
    </w:p>
    <w:p w:rsidR="005F4487" w:rsidRPr="005F4487" w:rsidRDefault="005F4487" w:rsidP="005F4487">
      <w:pPr>
        <w:rPr>
          <w:rFonts w:eastAsia="Calibri"/>
        </w:rPr>
      </w:pPr>
    </w:p>
    <w:p w:rsidR="00B34016" w:rsidRPr="00012CBD" w:rsidRDefault="00012CBD" w:rsidP="00012CBD">
      <w:pPr>
        <w:spacing w:line="480" w:lineRule="auto"/>
        <w:ind w:firstLine="720"/>
        <w:rPr>
          <w:rFonts w:eastAsia="Calibri"/>
          <w:szCs w:val="24"/>
        </w:rPr>
      </w:pPr>
      <w:r>
        <w:rPr>
          <w:rFonts w:eastAsia="Calibri"/>
          <w:szCs w:val="24"/>
        </w:rPr>
        <w:t>Responsibility for implementing regulations necessary for carrying out Title I is vested in the Equal Employment Opportunity Commission (“EEOC”).  42 U.S.C. § 12116</w:t>
      </w:r>
      <w:r w:rsidR="00A45967">
        <w:rPr>
          <w:rFonts w:eastAsia="Calibri"/>
          <w:szCs w:val="24"/>
        </w:rPr>
        <w:fldChar w:fldCharType="begin"/>
      </w:r>
      <w:r w:rsidR="00D77009">
        <w:instrText xml:space="preserve"> TA \s "42 U.S.C. § 12101, et seq." </w:instrText>
      </w:r>
      <w:r w:rsidR="00A45967">
        <w:rPr>
          <w:rFonts w:eastAsia="Calibri"/>
          <w:szCs w:val="24"/>
        </w:rPr>
        <w:fldChar w:fldCharType="end"/>
      </w:r>
      <w:r>
        <w:rPr>
          <w:rFonts w:eastAsia="Calibri"/>
          <w:szCs w:val="24"/>
        </w:rPr>
        <w:t>.  B</w:t>
      </w:r>
      <w:r w:rsidR="00281700">
        <w:rPr>
          <w:szCs w:val="24"/>
        </w:rPr>
        <w:t xml:space="preserve">ecause “Congress explicitly delegated authority to construe the statute by regulation,” </w:t>
      </w:r>
      <w:r>
        <w:rPr>
          <w:szCs w:val="24"/>
        </w:rPr>
        <w:t xml:space="preserve">to the EEOC, </w:t>
      </w:r>
      <w:r w:rsidR="00281700">
        <w:rPr>
          <w:szCs w:val="24"/>
        </w:rPr>
        <w:t xml:space="preserve">the Court </w:t>
      </w:r>
      <w:r>
        <w:rPr>
          <w:szCs w:val="24"/>
        </w:rPr>
        <w:t xml:space="preserve">must give these regulations </w:t>
      </w:r>
      <w:r w:rsidR="00281700">
        <w:rPr>
          <w:szCs w:val="24"/>
        </w:rPr>
        <w:t xml:space="preserve">“legislative and hence controlling weight unless they are arbitrary, capricious, or plainly contrary to the statute.”  </w:t>
      </w:r>
      <w:r w:rsidR="00281700">
        <w:rPr>
          <w:i/>
          <w:szCs w:val="24"/>
        </w:rPr>
        <w:t>United States v. Morton</w:t>
      </w:r>
      <w:r w:rsidR="00281700">
        <w:rPr>
          <w:szCs w:val="24"/>
        </w:rPr>
        <w:t>, 467 U.S. 822, 834 (1984)</w:t>
      </w:r>
      <w:r w:rsidR="00A45967">
        <w:rPr>
          <w:szCs w:val="24"/>
        </w:rPr>
        <w:fldChar w:fldCharType="begin"/>
      </w:r>
      <w:r w:rsidR="00D77009">
        <w:instrText xml:space="preserve"> TA \l "</w:instrText>
      </w:r>
      <w:r w:rsidR="00D77009" w:rsidRPr="00481D56">
        <w:rPr>
          <w:i/>
          <w:szCs w:val="24"/>
        </w:rPr>
        <w:instrText>United States v. Morton</w:instrText>
      </w:r>
      <w:r w:rsidR="00D77009">
        <w:rPr>
          <w:szCs w:val="24"/>
        </w:rPr>
        <w:instrText>, 467 U.S. 822</w:instrText>
      </w:r>
      <w:r w:rsidR="00D77009" w:rsidRPr="00481D56">
        <w:rPr>
          <w:szCs w:val="24"/>
        </w:rPr>
        <w:instrText xml:space="preserve"> (1984)</w:instrText>
      </w:r>
      <w:r w:rsidR="00D77009">
        <w:instrText xml:space="preserve">" \s "United States v. Morton, 467 U.S. 822, 834 (1984)" \c 1 </w:instrText>
      </w:r>
      <w:r w:rsidR="00A45967">
        <w:rPr>
          <w:szCs w:val="24"/>
        </w:rPr>
        <w:fldChar w:fldCharType="end"/>
      </w:r>
      <w:r w:rsidR="002703F9">
        <w:rPr>
          <w:szCs w:val="24"/>
        </w:rPr>
        <w:t xml:space="preserve">; </w:t>
      </w:r>
      <w:r w:rsidR="002703F9">
        <w:rPr>
          <w:i/>
          <w:szCs w:val="24"/>
        </w:rPr>
        <w:t>s</w:t>
      </w:r>
      <w:r w:rsidR="00281700">
        <w:rPr>
          <w:i/>
          <w:szCs w:val="24"/>
        </w:rPr>
        <w:t>ee also Civic Assoc. of the Deaf of N.Y. City, Inc.</w:t>
      </w:r>
      <w:r w:rsidR="00281700">
        <w:rPr>
          <w:szCs w:val="24"/>
        </w:rPr>
        <w:t>, 915 F. Supp. 622, 635 (S.D.N.Y. 1996)</w:t>
      </w:r>
      <w:r w:rsidR="00A45967">
        <w:rPr>
          <w:szCs w:val="24"/>
        </w:rPr>
        <w:fldChar w:fldCharType="begin"/>
      </w:r>
      <w:r w:rsidR="00D77009">
        <w:instrText xml:space="preserve"> TA \l "</w:instrText>
      </w:r>
      <w:r w:rsidR="00D77009" w:rsidRPr="00F45925">
        <w:rPr>
          <w:i/>
          <w:szCs w:val="24"/>
        </w:rPr>
        <w:instrText>Civic Assoc. of the Deaf of N.Y. City, Inc.</w:instrText>
      </w:r>
      <w:r w:rsidR="00D77009">
        <w:rPr>
          <w:szCs w:val="24"/>
        </w:rPr>
        <w:instrText>, 915 F. Supp. 622</w:instrText>
      </w:r>
      <w:r w:rsidR="00D77009" w:rsidRPr="00F45925">
        <w:rPr>
          <w:szCs w:val="24"/>
        </w:rPr>
        <w:instrText xml:space="preserve"> (S.D.N.Y. 1996)</w:instrText>
      </w:r>
      <w:r w:rsidR="00D77009">
        <w:instrText xml:space="preserve">" \s "Civic Assoc. of the Deaf of N.Y. City, Inc., 915 F. Supp. 622, 635 (S.D.N.Y. 1996)" \c 1 </w:instrText>
      </w:r>
      <w:r w:rsidR="00A45967">
        <w:rPr>
          <w:szCs w:val="24"/>
        </w:rPr>
        <w:fldChar w:fldCharType="end"/>
      </w:r>
      <w:r w:rsidR="00281700">
        <w:rPr>
          <w:szCs w:val="24"/>
        </w:rPr>
        <w:t xml:space="preserve"> (giving weight to the implementing regulations of Title II of the ADA).</w:t>
      </w:r>
      <w:r w:rsidR="00B34016">
        <w:rPr>
          <w:szCs w:val="24"/>
        </w:rPr>
        <w:t xml:space="preserve">  </w:t>
      </w:r>
    </w:p>
    <w:p w:rsidR="00DF3DF5" w:rsidRDefault="00B34016" w:rsidP="008C635C">
      <w:pPr>
        <w:spacing w:line="480" w:lineRule="auto"/>
        <w:ind w:firstLine="720"/>
        <w:rPr>
          <w:szCs w:val="24"/>
        </w:rPr>
      </w:pPr>
      <w:r>
        <w:rPr>
          <w:szCs w:val="24"/>
        </w:rPr>
        <w:t xml:space="preserve">On the </w:t>
      </w:r>
      <w:r w:rsidR="00281700">
        <w:rPr>
          <w:szCs w:val="24"/>
        </w:rPr>
        <w:t xml:space="preserve">specific </w:t>
      </w:r>
      <w:r>
        <w:rPr>
          <w:szCs w:val="24"/>
        </w:rPr>
        <w:t xml:space="preserve">issue of qualifications, the </w:t>
      </w:r>
      <w:r w:rsidR="007B131E">
        <w:rPr>
          <w:szCs w:val="24"/>
        </w:rPr>
        <w:t>Title</w:t>
      </w:r>
      <w:r w:rsidR="007B131E" w:rsidRPr="00715C1A">
        <w:rPr>
          <w:szCs w:val="24"/>
        </w:rPr>
        <w:t xml:space="preserve"> I regulation</w:t>
      </w:r>
      <w:r w:rsidR="00DE69CC">
        <w:rPr>
          <w:szCs w:val="24"/>
        </w:rPr>
        <w:t>s</w:t>
      </w:r>
      <w:r w:rsidR="007B131E" w:rsidRPr="00715C1A">
        <w:rPr>
          <w:szCs w:val="24"/>
        </w:rPr>
        <w:t xml:space="preserve"> pro</w:t>
      </w:r>
      <w:r w:rsidR="00724731">
        <w:rPr>
          <w:szCs w:val="24"/>
        </w:rPr>
        <w:t>vide</w:t>
      </w:r>
      <w:r w:rsidR="007B131E" w:rsidRPr="00715C1A">
        <w:rPr>
          <w:szCs w:val="24"/>
        </w:rPr>
        <w:t xml:space="preserve"> that a “qualified individual with a disability” is one who </w:t>
      </w:r>
      <w:r w:rsidR="00796203">
        <w:rPr>
          <w:szCs w:val="24"/>
        </w:rPr>
        <w:t>“</w:t>
      </w:r>
      <w:r w:rsidR="007B131E" w:rsidRPr="00715C1A">
        <w:rPr>
          <w:szCs w:val="24"/>
        </w:rPr>
        <w:t xml:space="preserve">satisfies the requisite skills, experience, education, and other job-related requirements of the employment position such individual holds or desires, and who, with or without reasonable accommodation, can perform the essential functions of such position.”  </w:t>
      </w:r>
      <w:proofErr w:type="gramStart"/>
      <w:r w:rsidR="007B131E" w:rsidRPr="00715C1A">
        <w:rPr>
          <w:szCs w:val="24"/>
        </w:rPr>
        <w:t>29 C.F.R. § 1630.2</w:t>
      </w:r>
      <w:r w:rsidR="00A45967">
        <w:rPr>
          <w:szCs w:val="24"/>
        </w:rPr>
        <w:fldChar w:fldCharType="begin"/>
      </w:r>
      <w:r w:rsidR="00D77009">
        <w:instrText xml:space="preserve"> TA \s "29 C.F.R. § 1630.2" </w:instrText>
      </w:r>
      <w:r w:rsidR="00A45967">
        <w:rPr>
          <w:szCs w:val="24"/>
        </w:rPr>
        <w:fldChar w:fldCharType="end"/>
      </w:r>
      <w:r w:rsidR="007B131E" w:rsidRPr="00715C1A">
        <w:rPr>
          <w:szCs w:val="24"/>
        </w:rPr>
        <w:t>(m).</w:t>
      </w:r>
      <w:proofErr w:type="gramEnd"/>
      <w:r w:rsidR="007B131E" w:rsidRPr="00715C1A">
        <w:rPr>
          <w:szCs w:val="24"/>
        </w:rPr>
        <w:t xml:space="preserve">  </w:t>
      </w:r>
    </w:p>
    <w:p w:rsidR="008C635C" w:rsidRDefault="007B131E" w:rsidP="008C635C">
      <w:pPr>
        <w:spacing w:line="480" w:lineRule="auto"/>
        <w:ind w:firstLine="720"/>
        <w:rPr>
          <w:szCs w:val="24"/>
        </w:rPr>
      </w:pPr>
      <w:r w:rsidRPr="00715C1A">
        <w:rPr>
          <w:szCs w:val="24"/>
        </w:rPr>
        <w:t>In determining the essential functi</w:t>
      </w:r>
      <w:r w:rsidR="00744A6C">
        <w:rPr>
          <w:szCs w:val="24"/>
        </w:rPr>
        <w:t xml:space="preserve">ons of a position, </w:t>
      </w:r>
      <w:r w:rsidR="002F589A">
        <w:rPr>
          <w:szCs w:val="24"/>
        </w:rPr>
        <w:t>which are defined by the regulations as</w:t>
      </w:r>
      <w:r w:rsidR="002F589A" w:rsidRPr="00715C1A">
        <w:rPr>
          <w:szCs w:val="24"/>
        </w:rPr>
        <w:t xml:space="preserve"> </w:t>
      </w:r>
      <w:r w:rsidR="002F589A">
        <w:rPr>
          <w:szCs w:val="24"/>
        </w:rPr>
        <w:t xml:space="preserve">the </w:t>
      </w:r>
      <w:r w:rsidR="002F589A" w:rsidRPr="00715C1A">
        <w:rPr>
          <w:szCs w:val="24"/>
        </w:rPr>
        <w:t>fun</w:t>
      </w:r>
      <w:r w:rsidR="002F589A">
        <w:rPr>
          <w:szCs w:val="24"/>
        </w:rPr>
        <w:t>damental job duties, as opposed to a marginal function, of the position,</w:t>
      </w:r>
      <w:r w:rsidR="002F589A" w:rsidRPr="00715C1A">
        <w:rPr>
          <w:szCs w:val="24"/>
        </w:rPr>
        <w:t xml:space="preserve"> 29 C.F.R. § 1630.2</w:t>
      </w:r>
      <w:r w:rsidR="00A45967">
        <w:rPr>
          <w:szCs w:val="24"/>
        </w:rPr>
        <w:fldChar w:fldCharType="begin"/>
      </w:r>
      <w:r w:rsidR="002F589A">
        <w:instrText xml:space="preserve"> TA \s "29 C.F.R. § 1630.2" </w:instrText>
      </w:r>
      <w:r w:rsidR="00A45967">
        <w:rPr>
          <w:szCs w:val="24"/>
        </w:rPr>
        <w:fldChar w:fldCharType="end"/>
      </w:r>
      <w:r w:rsidR="002F589A">
        <w:rPr>
          <w:szCs w:val="24"/>
        </w:rPr>
        <w:t xml:space="preserve">(n)(1), </w:t>
      </w:r>
      <w:r w:rsidR="00744A6C">
        <w:rPr>
          <w:szCs w:val="24"/>
        </w:rPr>
        <w:t xml:space="preserve">the EEOC </w:t>
      </w:r>
      <w:r w:rsidR="002367A0">
        <w:rPr>
          <w:szCs w:val="24"/>
        </w:rPr>
        <w:t>guidelines</w:t>
      </w:r>
      <w:r w:rsidR="00744A6C">
        <w:rPr>
          <w:szCs w:val="24"/>
        </w:rPr>
        <w:t xml:space="preserve"> provide </w:t>
      </w:r>
      <w:r w:rsidR="002367A0">
        <w:rPr>
          <w:szCs w:val="24"/>
        </w:rPr>
        <w:t xml:space="preserve">specific </w:t>
      </w:r>
      <w:r w:rsidR="00744A6C">
        <w:rPr>
          <w:szCs w:val="24"/>
        </w:rPr>
        <w:t>factors for consideration.  A job function may be considered essential for several reasons, including</w:t>
      </w:r>
      <w:r w:rsidRPr="00715C1A">
        <w:rPr>
          <w:szCs w:val="24"/>
        </w:rPr>
        <w:t xml:space="preserve">: (1) </w:t>
      </w:r>
      <w:r w:rsidR="00744A6C">
        <w:rPr>
          <w:szCs w:val="24"/>
        </w:rPr>
        <w:t>that t</w:t>
      </w:r>
      <w:r w:rsidRPr="00715C1A">
        <w:rPr>
          <w:szCs w:val="24"/>
        </w:rPr>
        <w:t xml:space="preserve">he position </w:t>
      </w:r>
      <w:r w:rsidR="00744A6C">
        <w:rPr>
          <w:szCs w:val="24"/>
        </w:rPr>
        <w:t>exists to perform that function;</w:t>
      </w:r>
      <w:r w:rsidRPr="00715C1A">
        <w:rPr>
          <w:szCs w:val="24"/>
        </w:rPr>
        <w:t xml:space="preserve"> (2) </w:t>
      </w:r>
      <w:r w:rsidR="00744A6C">
        <w:rPr>
          <w:szCs w:val="24"/>
        </w:rPr>
        <w:t>that there</w:t>
      </w:r>
      <w:r w:rsidRPr="00715C1A">
        <w:rPr>
          <w:szCs w:val="24"/>
        </w:rPr>
        <w:t xml:space="preserve"> are a </w:t>
      </w:r>
      <w:r w:rsidR="00744A6C">
        <w:rPr>
          <w:szCs w:val="24"/>
        </w:rPr>
        <w:t>limited n</w:t>
      </w:r>
      <w:r w:rsidRPr="00715C1A">
        <w:rPr>
          <w:szCs w:val="24"/>
        </w:rPr>
        <w:t xml:space="preserve">umber of employees </w:t>
      </w:r>
      <w:r w:rsidR="00744A6C">
        <w:rPr>
          <w:szCs w:val="24"/>
        </w:rPr>
        <w:t>available among whom the performance of that job function can be distributed;</w:t>
      </w:r>
      <w:r w:rsidRPr="00715C1A">
        <w:rPr>
          <w:szCs w:val="24"/>
        </w:rPr>
        <w:t xml:space="preserve"> and</w:t>
      </w:r>
      <w:r w:rsidR="00744A6C">
        <w:rPr>
          <w:szCs w:val="24"/>
        </w:rPr>
        <w:t>/or</w:t>
      </w:r>
      <w:r w:rsidRPr="00715C1A">
        <w:rPr>
          <w:szCs w:val="24"/>
        </w:rPr>
        <w:t xml:space="preserve"> (3) </w:t>
      </w:r>
      <w:r w:rsidR="00744A6C">
        <w:rPr>
          <w:szCs w:val="24"/>
        </w:rPr>
        <w:t>that</w:t>
      </w:r>
      <w:r w:rsidRPr="00715C1A">
        <w:rPr>
          <w:szCs w:val="24"/>
        </w:rPr>
        <w:t xml:space="preserve"> the function is highly specialized, such that the employee was hired for his ability to perform that function.  29 C.F.R. § 1630.2</w:t>
      </w:r>
      <w:r w:rsidR="00A45967">
        <w:rPr>
          <w:szCs w:val="24"/>
        </w:rPr>
        <w:fldChar w:fldCharType="begin"/>
      </w:r>
      <w:r w:rsidR="00D77009">
        <w:instrText xml:space="preserve"> TA \s "29 C.F.R. § 1630.2" </w:instrText>
      </w:r>
      <w:r w:rsidR="00A45967">
        <w:rPr>
          <w:szCs w:val="24"/>
        </w:rPr>
        <w:fldChar w:fldCharType="end"/>
      </w:r>
      <w:r w:rsidRPr="00715C1A">
        <w:rPr>
          <w:szCs w:val="24"/>
        </w:rPr>
        <w:t xml:space="preserve">(n)(2)(i)-(iii).  </w:t>
      </w:r>
      <w:r w:rsidR="002367A0">
        <w:rPr>
          <w:szCs w:val="24"/>
        </w:rPr>
        <w:t>Similarly</w:t>
      </w:r>
      <w:r w:rsidR="00744A6C">
        <w:rPr>
          <w:szCs w:val="24"/>
        </w:rPr>
        <w:t xml:space="preserve">, evidence of whether a particular function is essential may include, but is not limited to: </w:t>
      </w:r>
      <w:r w:rsidRPr="00715C1A">
        <w:rPr>
          <w:szCs w:val="24"/>
        </w:rPr>
        <w:t>(1) the amount of time spent on the job actually performing that function, (2) the consequences of not requiring the employee to perform the function, (3) the current work experience of employees in similar jobs, and (4) the written job description at the time the employee was interviewed and hired.  29 C.F.R</w:t>
      </w:r>
      <w:r w:rsidR="00AD353A">
        <w:rPr>
          <w:szCs w:val="24"/>
        </w:rPr>
        <w:t>. § 1630.2</w:t>
      </w:r>
      <w:r w:rsidR="00A45967">
        <w:rPr>
          <w:szCs w:val="24"/>
        </w:rPr>
        <w:fldChar w:fldCharType="begin"/>
      </w:r>
      <w:r w:rsidR="00D77009">
        <w:instrText xml:space="preserve"> TA \s "29 C.F.R. § 1630.2" </w:instrText>
      </w:r>
      <w:r w:rsidR="00A45967">
        <w:rPr>
          <w:szCs w:val="24"/>
        </w:rPr>
        <w:fldChar w:fldCharType="end"/>
      </w:r>
      <w:r w:rsidR="00AD353A">
        <w:rPr>
          <w:szCs w:val="24"/>
        </w:rPr>
        <w:t>(n)(3)(ii)-(iv),(vii)</w:t>
      </w:r>
      <w:r w:rsidRPr="00416AA2">
        <w:rPr>
          <w:rStyle w:val="documentbody"/>
          <w:szCs w:val="24"/>
        </w:rPr>
        <w:t>.</w:t>
      </w:r>
      <w:r>
        <w:rPr>
          <w:rStyle w:val="documentbody"/>
        </w:rPr>
        <w:t xml:space="preserve"> </w:t>
      </w:r>
      <w:r w:rsidR="00281700">
        <w:rPr>
          <w:rStyle w:val="documentbody"/>
        </w:rPr>
        <w:t xml:space="preserve"> </w:t>
      </w:r>
      <w:r w:rsidR="00744A6C">
        <w:rPr>
          <w:szCs w:val="24"/>
        </w:rPr>
        <w:t>In the aggregate, these factors</w:t>
      </w:r>
      <w:r w:rsidR="002367A0">
        <w:rPr>
          <w:szCs w:val="24"/>
        </w:rPr>
        <w:t xml:space="preserve"> for consideration</w:t>
      </w:r>
      <w:r w:rsidR="00744A6C">
        <w:rPr>
          <w:szCs w:val="24"/>
        </w:rPr>
        <w:t xml:space="preserve"> </w:t>
      </w:r>
      <w:r w:rsidR="004F7ACF">
        <w:rPr>
          <w:szCs w:val="24"/>
        </w:rPr>
        <w:t>focus</w:t>
      </w:r>
      <w:r w:rsidR="00744A6C">
        <w:rPr>
          <w:szCs w:val="24"/>
        </w:rPr>
        <w:t xml:space="preserve"> not only</w:t>
      </w:r>
      <w:r w:rsidRPr="00715C1A">
        <w:rPr>
          <w:szCs w:val="24"/>
        </w:rPr>
        <w:t xml:space="preserve"> </w:t>
      </w:r>
      <w:r w:rsidR="008A302B">
        <w:rPr>
          <w:szCs w:val="24"/>
        </w:rPr>
        <w:t>on</w:t>
      </w:r>
      <w:r w:rsidRPr="00715C1A">
        <w:rPr>
          <w:szCs w:val="24"/>
        </w:rPr>
        <w:t xml:space="preserve"> the employer’s judgment as to wha</w:t>
      </w:r>
      <w:r w:rsidR="00744A6C">
        <w:rPr>
          <w:szCs w:val="24"/>
        </w:rPr>
        <w:t xml:space="preserve">t functions are essential, but also </w:t>
      </w:r>
      <w:r w:rsidR="008A302B">
        <w:rPr>
          <w:szCs w:val="24"/>
        </w:rPr>
        <w:t>on</w:t>
      </w:r>
      <w:r w:rsidRPr="00715C1A">
        <w:rPr>
          <w:szCs w:val="24"/>
        </w:rPr>
        <w:t xml:space="preserve"> the totality of the circumstances.  29</w:t>
      </w:r>
      <w:r w:rsidR="00AD353A">
        <w:rPr>
          <w:szCs w:val="24"/>
        </w:rPr>
        <w:t xml:space="preserve"> C.F.R. § 1630.2</w:t>
      </w:r>
      <w:r w:rsidR="00A45967">
        <w:rPr>
          <w:szCs w:val="24"/>
        </w:rPr>
        <w:fldChar w:fldCharType="begin"/>
      </w:r>
      <w:r w:rsidR="00D77009">
        <w:instrText xml:space="preserve"> TA \s "29 C.F.R. § 1630.2" </w:instrText>
      </w:r>
      <w:r w:rsidR="00A45967">
        <w:rPr>
          <w:szCs w:val="24"/>
        </w:rPr>
        <w:fldChar w:fldCharType="end"/>
      </w:r>
      <w:r w:rsidR="00AD353A">
        <w:rPr>
          <w:szCs w:val="24"/>
        </w:rPr>
        <w:t>(n)(3)(i)-(vii)</w:t>
      </w:r>
      <w:r>
        <w:rPr>
          <w:szCs w:val="24"/>
        </w:rPr>
        <w:t>.</w:t>
      </w:r>
      <w:r w:rsidR="00AD353A">
        <w:rPr>
          <w:szCs w:val="24"/>
        </w:rPr>
        <w:t xml:space="preserve">  </w:t>
      </w:r>
      <w:r w:rsidR="00724731">
        <w:rPr>
          <w:szCs w:val="24"/>
        </w:rPr>
        <w:t xml:space="preserve">Indeed, “the considerations set out in [the] regulation are fact-intensive.”  </w:t>
      </w:r>
      <w:r w:rsidR="00724731">
        <w:rPr>
          <w:i/>
          <w:szCs w:val="24"/>
        </w:rPr>
        <w:t>Stone v. City of Mount Vernon</w:t>
      </w:r>
      <w:r w:rsidR="00724731">
        <w:rPr>
          <w:szCs w:val="24"/>
        </w:rPr>
        <w:t>, 118 F.3d 92, 97 (2d Cir. 1997)</w:t>
      </w:r>
      <w:r w:rsidR="00A45967">
        <w:rPr>
          <w:szCs w:val="24"/>
        </w:rPr>
        <w:fldChar w:fldCharType="begin"/>
      </w:r>
      <w:r w:rsidR="00D77009">
        <w:instrText xml:space="preserve"> TA \l "</w:instrText>
      </w:r>
      <w:r w:rsidR="00D77009" w:rsidRPr="00EA2CE5">
        <w:rPr>
          <w:i/>
          <w:szCs w:val="24"/>
        </w:rPr>
        <w:instrText>Stone v. City of Mount Vernon</w:instrText>
      </w:r>
      <w:r w:rsidR="00D77009">
        <w:rPr>
          <w:szCs w:val="24"/>
        </w:rPr>
        <w:instrText>, 118 F.3d 92</w:instrText>
      </w:r>
      <w:r w:rsidR="00D77009" w:rsidRPr="00EA2CE5">
        <w:rPr>
          <w:szCs w:val="24"/>
        </w:rPr>
        <w:instrText xml:space="preserve"> (2d Cir. 1997)</w:instrText>
      </w:r>
      <w:r w:rsidR="00D77009">
        <w:instrText xml:space="preserve">" \s "Stone v. City of Mount Vernon, 118 F.3d 92, 97 (2d Cir. 1997)" \c 1 </w:instrText>
      </w:r>
      <w:r w:rsidR="00A45967">
        <w:rPr>
          <w:szCs w:val="24"/>
        </w:rPr>
        <w:fldChar w:fldCharType="end"/>
      </w:r>
      <w:r w:rsidR="00724731">
        <w:rPr>
          <w:szCs w:val="24"/>
        </w:rPr>
        <w:t xml:space="preserve"> .  For these reasons, “[u]sually no one listed factor will be dispositive, and the regulations themselves state that the evidentiary examples provided are not meant to be exhaustive.”  </w:t>
      </w:r>
      <w:r w:rsidR="00724731">
        <w:rPr>
          <w:i/>
          <w:szCs w:val="24"/>
        </w:rPr>
        <w:t>Id.</w:t>
      </w:r>
      <w:r w:rsidR="00A45967">
        <w:rPr>
          <w:i/>
          <w:szCs w:val="24"/>
        </w:rPr>
        <w:fldChar w:fldCharType="begin"/>
      </w:r>
      <w:r w:rsidR="00D77009">
        <w:instrText xml:space="preserve"> TA \s "Stone v. City of Mount Vernon, 118 F.3d 92, 97 (2d Cir. 1997)" </w:instrText>
      </w:r>
      <w:r w:rsidR="00A45967">
        <w:rPr>
          <w:i/>
          <w:szCs w:val="24"/>
        </w:rPr>
        <w:fldChar w:fldCharType="end"/>
      </w:r>
      <w:r w:rsidR="00AD353A">
        <w:rPr>
          <w:szCs w:val="24"/>
        </w:rPr>
        <w:t xml:space="preserve"> </w:t>
      </w:r>
    </w:p>
    <w:p w:rsidR="00B63D99" w:rsidRDefault="00724731" w:rsidP="00B63D99">
      <w:pPr>
        <w:spacing w:line="480" w:lineRule="auto"/>
        <w:ind w:firstLine="720"/>
      </w:pPr>
      <w:r>
        <w:rPr>
          <w:szCs w:val="24"/>
        </w:rPr>
        <w:t xml:space="preserve">The EEOC </w:t>
      </w:r>
      <w:r w:rsidR="002367A0">
        <w:rPr>
          <w:szCs w:val="24"/>
        </w:rPr>
        <w:t>guidelines</w:t>
      </w:r>
      <w:r>
        <w:rPr>
          <w:szCs w:val="24"/>
        </w:rPr>
        <w:t xml:space="preserve"> also expand on the statute’s “direct threat”</w:t>
      </w:r>
      <w:r w:rsidR="005B1A52">
        <w:rPr>
          <w:szCs w:val="24"/>
        </w:rPr>
        <w:t xml:space="preserve"> </w:t>
      </w:r>
      <w:r w:rsidR="00B033AB">
        <w:rPr>
          <w:szCs w:val="24"/>
        </w:rPr>
        <w:t>defense</w:t>
      </w:r>
      <w:r>
        <w:rPr>
          <w:szCs w:val="24"/>
        </w:rPr>
        <w:t>.</w:t>
      </w:r>
      <w:r w:rsidR="007B131E" w:rsidRPr="00F469A2">
        <w:rPr>
          <w:szCs w:val="24"/>
        </w:rPr>
        <w:t xml:space="preserve"> </w:t>
      </w:r>
      <w:r>
        <w:rPr>
          <w:szCs w:val="24"/>
        </w:rPr>
        <w:t xml:space="preserve"> </w:t>
      </w:r>
      <w:proofErr w:type="gramStart"/>
      <w:r w:rsidR="002367A0">
        <w:rPr>
          <w:szCs w:val="24"/>
        </w:rPr>
        <w:t xml:space="preserve">Under the regulations, a </w:t>
      </w:r>
      <w:r>
        <w:rPr>
          <w:szCs w:val="24"/>
        </w:rPr>
        <w:t>direct threat refers to “</w:t>
      </w:r>
      <w:r w:rsidR="007B131E" w:rsidRPr="00F469A2">
        <w:rPr>
          <w:szCs w:val="24"/>
        </w:rPr>
        <w:t xml:space="preserve">a significant risk of substantial harm to the health or safety of the individual or others that cannot be eliminated or reduced by reasonable accommodation.” </w:t>
      </w:r>
      <w:hyperlink r:id="rId9" w:tgtFrame="_top" w:history="1">
        <w:r w:rsidR="007B131E" w:rsidRPr="00F469A2">
          <w:rPr>
            <w:szCs w:val="24"/>
          </w:rPr>
          <w:t>29 C.F.R. § 1630.2</w:t>
        </w:r>
        <w:r w:rsidR="00A45967">
          <w:rPr>
            <w:szCs w:val="24"/>
          </w:rPr>
          <w:fldChar w:fldCharType="begin"/>
        </w:r>
        <w:r w:rsidR="00D77009">
          <w:instrText xml:space="preserve"> TA \s "29 C.F.R. § 1630.2" </w:instrText>
        </w:r>
        <w:r w:rsidR="00A45967">
          <w:rPr>
            <w:szCs w:val="24"/>
          </w:rPr>
          <w:fldChar w:fldCharType="end"/>
        </w:r>
        <w:r w:rsidR="007B131E" w:rsidRPr="00F469A2">
          <w:rPr>
            <w:szCs w:val="24"/>
          </w:rPr>
          <w:t>(r)</w:t>
        </w:r>
      </w:hyperlink>
      <w:r w:rsidR="007B131E" w:rsidRPr="00F469A2">
        <w:rPr>
          <w:szCs w:val="24"/>
        </w:rPr>
        <w:t>.</w:t>
      </w:r>
      <w:proofErr w:type="gramEnd"/>
      <w:r w:rsidR="007B131E" w:rsidRPr="00F469A2">
        <w:rPr>
          <w:szCs w:val="24"/>
        </w:rPr>
        <w:t xml:space="preserve"> </w:t>
      </w:r>
      <w:r w:rsidR="007B131E">
        <w:rPr>
          <w:szCs w:val="24"/>
        </w:rPr>
        <w:t xml:space="preserve"> </w:t>
      </w:r>
      <w:bookmarkStart w:id="6" w:name="sp_999_9"/>
      <w:bookmarkStart w:id="7" w:name="SDU_9"/>
      <w:r>
        <w:rPr>
          <w:szCs w:val="24"/>
        </w:rPr>
        <w:t xml:space="preserve">The </w:t>
      </w:r>
      <w:r w:rsidR="001B592D">
        <w:rPr>
          <w:szCs w:val="24"/>
        </w:rPr>
        <w:t>regulations</w:t>
      </w:r>
      <w:r w:rsidR="007B131E" w:rsidRPr="00F469A2">
        <w:rPr>
          <w:szCs w:val="24"/>
        </w:rPr>
        <w:t xml:space="preserve"> further provide that </w:t>
      </w:r>
      <w:r w:rsidR="002367A0">
        <w:rPr>
          <w:szCs w:val="24"/>
        </w:rPr>
        <w:t>“</w:t>
      </w:r>
      <w:r w:rsidR="007B131E" w:rsidRPr="00F469A2">
        <w:rPr>
          <w:szCs w:val="24"/>
        </w:rPr>
        <w:t>[</w:t>
      </w:r>
      <w:r w:rsidR="00796203">
        <w:rPr>
          <w:szCs w:val="24"/>
        </w:rPr>
        <w:t>a</w:t>
      </w:r>
      <w:r w:rsidR="007B131E" w:rsidRPr="00F469A2">
        <w:rPr>
          <w:szCs w:val="24"/>
        </w:rPr>
        <w:t xml:space="preserve">]n employer ... is not permitted to deny an employment opportunity to an individual with a disability merely because of a slightly increased risk. </w:t>
      </w:r>
      <w:r w:rsidR="007B131E">
        <w:rPr>
          <w:szCs w:val="24"/>
        </w:rPr>
        <w:t xml:space="preserve"> </w:t>
      </w:r>
      <w:r w:rsidR="007B131E" w:rsidRPr="00F469A2">
        <w:rPr>
          <w:szCs w:val="24"/>
        </w:rPr>
        <w:t>The risk can only be considered when it poses a significant risk, i.e.</w:t>
      </w:r>
      <w:r w:rsidR="007B131E">
        <w:rPr>
          <w:szCs w:val="24"/>
        </w:rPr>
        <w:t>,</w:t>
      </w:r>
      <w:r w:rsidR="007B131E" w:rsidRPr="00F469A2">
        <w:rPr>
          <w:szCs w:val="24"/>
        </w:rPr>
        <w:t xml:space="preserve"> high probability of substantial harm; a speculative or remote risk is insufficient.</w:t>
      </w:r>
      <w:bookmarkEnd w:id="6"/>
      <w:bookmarkEnd w:id="7"/>
      <w:r w:rsidR="007B131E" w:rsidRPr="00F469A2">
        <w:rPr>
          <w:szCs w:val="24"/>
        </w:rPr>
        <w:t xml:space="preserve">” </w:t>
      </w:r>
      <w:r w:rsidR="00796203">
        <w:rPr>
          <w:i/>
        </w:rPr>
        <w:t>S</w:t>
      </w:r>
      <w:r w:rsidR="00BF4B98">
        <w:rPr>
          <w:i/>
        </w:rPr>
        <w:t>ee also Lovejoy-Wilson</w:t>
      </w:r>
      <w:r w:rsidR="00BF4B98">
        <w:t xml:space="preserve">, 263 F.3d at 216 (citing </w:t>
      </w:r>
      <w:r w:rsidR="00BF4B98">
        <w:rPr>
          <w:i/>
        </w:rPr>
        <w:t>Hamlin v. Charter T’ship of Flint</w:t>
      </w:r>
      <w:r w:rsidR="00BF4B98">
        <w:t>, 165 F.3d 426, 432 (6th Cir. 1999)</w:t>
      </w:r>
      <w:r w:rsidR="001B592D">
        <w:t xml:space="preserve"> (citing 29 C.F.R. § 163.2(r)</w:t>
      </w:r>
      <w:r w:rsidR="00E30361">
        <w:t>)</w:t>
      </w:r>
      <w:r w:rsidR="00A45967">
        <w:fldChar w:fldCharType="begin"/>
      </w:r>
      <w:r w:rsidR="00D77009">
        <w:instrText xml:space="preserve"> TA \s "Lovejoy-Wilson v. NOCO Motor Fuel, Inc., 263 F.3d 208, 216 (2d Cir. 2001)" </w:instrText>
      </w:r>
      <w:r w:rsidR="00A45967">
        <w:fldChar w:fldCharType="end"/>
      </w:r>
      <w:r w:rsidR="00BF4B98">
        <w:t xml:space="preserve">.  Moreover, “the legislative history of the ADA also supports the premise that ‘the plaintiff is not required to prove that he or she poses no risk.’”  </w:t>
      </w:r>
      <w:r w:rsidR="00BF4B98">
        <w:rPr>
          <w:i/>
        </w:rPr>
        <w:t>Id.</w:t>
      </w:r>
      <w:r w:rsidR="00A45967">
        <w:rPr>
          <w:i/>
        </w:rPr>
        <w:fldChar w:fldCharType="begin"/>
      </w:r>
      <w:r w:rsidR="00D77009">
        <w:instrText xml:space="preserve"> TA \s "Lovejoy-Wilson v. NOCO Motor Fuel, Inc., 263 F.3d 208, 216 (2d Cir. 2001)" </w:instrText>
      </w:r>
      <w:r w:rsidR="00A45967">
        <w:rPr>
          <w:i/>
        </w:rPr>
        <w:fldChar w:fldCharType="end"/>
      </w:r>
      <w:r w:rsidR="00BF4B98">
        <w:t xml:space="preserve"> (internal citations omitted).</w:t>
      </w:r>
    </w:p>
    <w:p w:rsidR="00B63D99" w:rsidRDefault="00B63D99" w:rsidP="00B63D99">
      <w:pPr>
        <w:autoSpaceDE w:val="0"/>
        <w:autoSpaceDN w:val="0"/>
        <w:adjustRightInd w:val="0"/>
        <w:spacing w:line="480" w:lineRule="auto"/>
        <w:ind w:firstLine="720"/>
        <w:rPr>
          <w:szCs w:val="24"/>
        </w:rPr>
      </w:pPr>
      <w:r>
        <w:t xml:space="preserve">In addition, and of particular significance in this case, to the extent an employer seeks to defend its actions by asserting that the plaintiff poses a “direct threat” to himself or others, </w:t>
      </w:r>
      <w:r>
        <w:rPr>
          <w:szCs w:val="24"/>
        </w:rPr>
        <w:t>the Title I implementing regulations impose a requirement that the employer conduct an “individualized assessment of the employee’s present ability to safely perform the essential functions of the jo</w:t>
      </w:r>
      <w:r w:rsidR="00D77009">
        <w:rPr>
          <w:szCs w:val="24"/>
        </w:rPr>
        <w:t xml:space="preserve">b. . . .” </w:t>
      </w:r>
      <w:r>
        <w:rPr>
          <w:i/>
          <w:szCs w:val="24"/>
        </w:rPr>
        <w:t>Sista v. CDC IXIS North America, Inc.</w:t>
      </w:r>
      <w:r>
        <w:rPr>
          <w:szCs w:val="24"/>
        </w:rPr>
        <w:t>, 445 F.3d 161, 170 (2d Cir. 2006)</w:t>
      </w:r>
      <w:r w:rsidR="00A45967">
        <w:rPr>
          <w:szCs w:val="24"/>
        </w:rPr>
        <w:fldChar w:fldCharType="begin"/>
      </w:r>
      <w:r w:rsidR="00D77009">
        <w:instrText xml:space="preserve"> TA \l "</w:instrText>
      </w:r>
      <w:r w:rsidR="00D77009" w:rsidRPr="00005675">
        <w:rPr>
          <w:i/>
          <w:szCs w:val="24"/>
        </w:rPr>
        <w:instrText>Sista v. CDC IXIS North America, Inc.</w:instrText>
      </w:r>
      <w:r w:rsidR="00D77009">
        <w:rPr>
          <w:szCs w:val="24"/>
        </w:rPr>
        <w:instrText>, 445 F.3d 161</w:instrText>
      </w:r>
      <w:r w:rsidR="00D77009" w:rsidRPr="00005675">
        <w:rPr>
          <w:szCs w:val="24"/>
        </w:rPr>
        <w:instrText xml:space="preserve"> (2d Cir. 2006)</w:instrText>
      </w:r>
      <w:r w:rsidR="00D77009">
        <w:instrText xml:space="preserve">" \s "Sista v. CDC IXIS North America, Inc., 445 F.3d 161, 170 (2d Cir. 2006)" \c 1 </w:instrText>
      </w:r>
      <w:r w:rsidR="00A45967">
        <w:rPr>
          <w:szCs w:val="24"/>
        </w:rPr>
        <w:fldChar w:fldCharType="end"/>
      </w:r>
      <w:r>
        <w:rPr>
          <w:szCs w:val="24"/>
        </w:rPr>
        <w:t xml:space="preserve"> (quoting 29 C.F.R. § 1630.2</w:t>
      </w:r>
      <w:r w:rsidR="00A45967">
        <w:rPr>
          <w:szCs w:val="24"/>
        </w:rPr>
        <w:fldChar w:fldCharType="begin"/>
      </w:r>
      <w:r w:rsidR="00B35FA5">
        <w:instrText xml:space="preserve"> TA \s "29 C.F.R. § 1630.2" </w:instrText>
      </w:r>
      <w:r w:rsidR="00A45967">
        <w:rPr>
          <w:szCs w:val="24"/>
        </w:rPr>
        <w:fldChar w:fldCharType="end"/>
      </w:r>
      <w:r>
        <w:rPr>
          <w:szCs w:val="24"/>
        </w:rPr>
        <w:t xml:space="preserve">(r)).  The purpose of this individualized inquiry is to protect </w:t>
      </w:r>
      <w:r w:rsidR="00317144">
        <w:rPr>
          <w:szCs w:val="24"/>
        </w:rPr>
        <w:t xml:space="preserve">individuals with disabilities </w:t>
      </w:r>
      <w:r>
        <w:rPr>
          <w:szCs w:val="24"/>
        </w:rPr>
        <w:t xml:space="preserve">against assertions of harm which are based more on “untested and pretextual stereotypes,” rather than “a particularized enquiry </w:t>
      </w:r>
      <w:r w:rsidR="005B1A52">
        <w:rPr>
          <w:szCs w:val="24"/>
        </w:rPr>
        <w:t xml:space="preserve">[sic] </w:t>
      </w:r>
      <w:r>
        <w:rPr>
          <w:szCs w:val="24"/>
        </w:rPr>
        <w:t xml:space="preserve">into the harms the employee would probably face.”  </w:t>
      </w:r>
      <w:r w:rsidRPr="00F469A2">
        <w:rPr>
          <w:i/>
          <w:szCs w:val="24"/>
        </w:rPr>
        <w:t>Chevron U.S.A., Inc.</w:t>
      </w:r>
      <w:r w:rsidRPr="00F469A2">
        <w:rPr>
          <w:szCs w:val="24"/>
        </w:rPr>
        <w:t>,</w:t>
      </w:r>
      <w:r w:rsidRPr="00F469A2">
        <w:rPr>
          <w:spacing w:val="32"/>
          <w:szCs w:val="24"/>
        </w:rPr>
        <w:t xml:space="preserve"> </w:t>
      </w:r>
      <w:r w:rsidRPr="00F469A2">
        <w:rPr>
          <w:szCs w:val="24"/>
        </w:rPr>
        <w:t>536</w:t>
      </w:r>
      <w:r w:rsidRPr="00F469A2">
        <w:rPr>
          <w:spacing w:val="32"/>
          <w:szCs w:val="24"/>
        </w:rPr>
        <w:t xml:space="preserve"> </w:t>
      </w:r>
      <w:r w:rsidRPr="00F469A2">
        <w:rPr>
          <w:szCs w:val="24"/>
        </w:rPr>
        <w:t>U.S.</w:t>
      </w:r>
      <w:r w:rsidRPr="00F469A2">
        <w:rPr>
          <w:spacing w:val="32"/>
          <w:szCs w:val="24"/>
        </w:rPr>
        <w:t xml:space="preserve"> </w:t>
      </w:r>
      <w:r>
        <w:rPr>
          <w:szCs w:val="24"/>
        </w:rPr>
        <w:t>at</w:t>
      </w:r>
      <w:r w:rsidRPr="00F469A2">
        <w:rPr>
          <w:spacing w:val="32"/>
          <w:szCs w:val="24"/>
        </w:rPr>
        <w:t xml:space="preserve"> </w:t>
      </w:r>
      <w:r w:rsidRPr="00F469A2">
        <w:rPr>
          <w:szCs w:val="24"/>
        </w:rPr>
        <w:t>86</w:t>
      </w:r>
      <w:r w:rsidR="00A45967">
        <w:rPr>
          <w:szCs w:val="24"/>
        </w:rPr>
        <w:fldChar w:fldCharType="begin"/>
      </w:r>
      <w:r w:rsidR="00B35FA5">
        <w:instrText xml:space="preserve"> TA \s "Chevron U.S.A., Inc. v. Echazabal, 536 U.S. 73, 86 (2002)" </w:instrText>
      </w:r>
      <w:r w:rsidR="00A45967">
        <w:rPr>
          <w:szCs w:val="24"/>
        </w:rPr>
        <w:fldChar w:fldCharType="end"/>
      </w:r>
      <w:r>
        <w:rPr>
          <w:szCs w:val="24"/>
        </w:rPr>
        <w:t xml:space="preserve">; </w:t>
      </w:r>
      <w:r>
        <w:rPr>
          <w:i/>
          <w:szCs w:val="24"/>
        </w:rPr>
        <w:t>see also</w:t>
      </w:r>
      <w:r>
        <w:rPr>
          <w:szCs w:val="24"/>
        </w:rPr>
        <w:t xml:space="preserve"> </w:t>
      </w:r>
      <w:r w:rsidRPr="005A6A0E">
        <w:rPr>
          <w:i/>
          <w:szCs w:val="24"/>
        </w:rPr>
        <w:t>School Board of Nassau County, Fla. v. Arline</w:t>
      </w:r>
      <w:r w:rsidRPr="005A6A0E">
        <w:rPr>
          <w:szCs w:val="24"/>
        </w:rPr>
        <w:t>, 480 U.S. 273, 287 (1987)</w:t>
      </w:r>
      <w:r w:rsidR="00A45967">
        <w:rPr>
          <w:szCs w:val="24"/>
        </w:rPr>
        <w:fldChar w:fldCharType="begin"/>
      </w:r>
      <w:r>
        <w:instrText xml:space="preserve"> TA \l "</w:instrText>
      </w:r>
      <w:r w:rsidRPr="005949C0">
        <w:rPr>
          <w:i/>
          <w:szCs w:val="24"/>
        </w:rPr>
        <w:instrText>School Board of Nassau County, Fla. v. Arline</w:instrText>
      </w:r>
      <w:r w:rsidRPr="005949C0">
        <w:rPr>
          <w:szCs w:val="24"/>
        </w:rPr>
        <w:instrText>, 480 U.S. 273 (1987)</w:instrText>
      </w:r>
      <w:r>
        <w:instrText xml:space="preserve">" \s "School Board of Nassau County, Fla. v. Arline, 480 U.S. 273, 287 (1987)" \c 1 </w:instrText>
      </w:r>
      <w:r w:rsidR="00A45967">
        <w:rPr>
          <w:szCs w:val="24"/>
        </w:rPr>
        <w:fldChar w:fldCharType="end"/>
      </w:r>
      <w:r>
        <w:rPr>
          <w:szCs w:val="24"/>
        </w:rPr>
        <w:t xml:space="preserve"> (noting that an individualized inquiry is necessary for Section 504 “to achieve its goal of protecting handicapped individuals from deprivations based on prejudice, stereotypes, or unfounded fear . . . .”).</w:t>
      </w:r>
    </w:p>
    <w:p w:rsidR="002F589A" w:rsidRPr="00A1769C" w:rsidRDefault="002F589A" w:rsidP="002F589A">
      <w:pPr>
        <w:autoSpaceDE w:val="0"/>
        <w:autoSpaceDN w:val="0"/>
        <w:adjustRightInd w:val="0"/>
        <w:spacing w:line="480" w:lineRule="auto"/>
        <w:ind w:firstLine="720"/>
      </w:pPr>
      <w:r>
        <w:rPr>
          <w:szCs w:val="24"/>
        </w:rPr>
        <w:t xml:space="preserve">Such an assessment includes a consideration of factors such as: “(1) the duration of the risk; (2) the nature and severity of potential harm; (3) the likelihood that the potential harm will occur; and (4) the imminence of the potential harm.”  </w:t>
      </w:r>
      <w:r>
        <w:rPr>
          <w:i/>
          <w:szCs w:val="24"/>
        </w:rPr>
        <w:t>Sista</w:t>
      </w:r>
      <w:r>
        <w:rPr>
          <w:szCs w:val="24"/>
        </w:rPr>
        <w:t>, 445 F.3d at 170</w:t>
      </w:r>
      <w:r w:rsidR="00A45967">
        <w:rPr>
          <w:szCs w:val="24"/>
        </w:rPr>
        <w:fldChar w:fldCharType="begin"/>
      </w:r>
      <w:r>
        <w:instrText xml:space="preserve"> TA \s "Sista v. CDC IXIS North America, Inc., 445 F.3d 161, 170 (2d Cir. 2006)" </w:instrText>
      </w:r>
      <w:r w:rsidR="00A45967">
        <w:rPr>
          <w:szCs w:val="24"/>
        </w:rPr>
        <w:fldChar w:fldCharType="end"/>
      </w:r>
      <w:r>
        <w:rPr>
          <w:szCs w:val="24"/>
        </w:rPr>
        <w:t xml:space="preserve">.  Moreover, this assessment must be based on “a reasonable medical judgment that relies on the most current medical knowledge and/or on the best available objective evidence.”  </w:t>
      </w:r>
      <w:hyperlink r:id="rId10" w:tgtFrame="_top" w:history="1">
        <w:r w:rsidRPr="00F469A2">
          <w:rPr>
            <w:szCs w:val="24"/>
          </w:rPr>
          <w:t>29 C.F.R. § 1630.2</w:t>
        </w:r>
        <w:r w:rsidR="00A45967">
          <w:rPr>
            <w:szCs w:val="24"/>
          </w:rPr>
          <w:fldChar w:fldCharType="begin"/>
        </w:r>
        <w:r>
          <w:instrText xml:space="preserve"> TA \s "29 C.F.R. § 1630.2" </w:instrText>
        </w:r>
        <w:r w:rsidR="00A45967">
          <w:rPr>
            <w:szCs w:val="24"/>
          </w:rPr>
          <w:fldChar w:fldCharType="end"/>
        </w:r>
        <w:r w:rsidRPr="00F469A2">
          <w:rPr>
            <w:szCs w:val="24"/>
          </w:rPr>
          <w:t>(r)</w:t>
        </w:r>
      </w:hyperlink>
      <w:r w:rsidR="002703F9">
        <w:rPr>
          <w:szCs w:val="24"/>
        </w:rPr>
        <w:t xml:space="preserve">; </w:t>
      </w:r>
      <w:r w:rsidR="002703F9">
        <w:rPr>
          <w:i/>
          <w:szCs w:val="24"/>
        </w:rPr>
        <w:t>s</w:t>
      </w:r>
      <w:r>
        <w:rPr>
          <w:i/>
          <w:szCs w:val="24"/>
        </w:rPr>
        <w:t>ee also</w:t>
      </w:r>
      <w:r>
        <w:rPr>
          <w:szCs w:val="24"/>
        </w:rPr>
        <w:t xml:space="preserve"> </w:t>
      </w:r>
      <w:r>
        <w:rPr>
          <w:i/>
        </w:rPr>
        <w:t>Lovejoy-</w:t>
      </w:r>
      <w:r w:rsidRPr="00AD353A">
        <w:rPr>
          <w:i/>
        </w:rPr>
        <w:t>Wilson</w:t>
      </w:r>
      <w:r>
        <w:t xml:space="preserve">, </w:t>
      </w:r>
      <w:r w:rsidRPr="00AD353A">
        <w:t>263</w:t>
      </w:r>
      <w:r>
        <w:t xml:space="preserve"> F.3d at 220</w:t>
      </w:r>
      <w:r w:rsidR="00A45967">
        <w:fldChar w:fldCharType="begin"/>
      </w:r>
      <w:r>
        <w:instrText xml:space="preserve"> TA \s "Lovejoy-Wilson v. NOCO Motor Fuel, Inc., 263 F.3d 208, 216 (2d Cir. 2001)" </w:instrText>
      </w:r>
      <w:r w:rsidR="00A45967">
        <w:fldChar w:fldCharType="end"/>
      </w:r>
      <w:r>
        <w:t xml:space="preserve"> (internal citations omitted).</w:t>
      </w:r>
      <w:r w:rsidRPr="00127806">
        <w:rPr>
          <w:szCs w:val="24"/>
        </w:rPr>
        <w:t xml:space="preserve"> </w:t>
      </w:r>
      <w:r>
        <w:rPr>
          <w:szCs w:val="24"/>
        </w:rPr>
        <w:t xml:space="preserve"> </w:t>
      </w:r>
    </w:p>
    <w:p w:rsidR="009A2F5F" w:rsidRPr="00C67F06" w:rsidRDefault="00A45967" w:rsidP="004A19B2">
      <w:pPr>
        <w:pStyle w:val="Heading2"/>
        <w:rPr>
          <w:lang w:val="en-CA"/>
        </w:rPr>
      </w:pPr>
      <w:r w:rsidRPr="00813A30">
        <w:rPr>
          <w:lang w:val="en-CA"/>
        </w:rPr>
        <w:fldChar w:fldCharType="begin"/>
      </w:r>
      <w:r w:rsidR="009A2F5F" w:rsidRPr="00813A30">
        <w:rPr>
          <w:lang w:val="en-CA"/>
        </w:rPr>
        <w:instrText xml:space="preserve"> SEQ CHAPTER \h \r 1</w:instrText>
      </w:r>
      <w:r w:rsidRPr="00813A30">
        <w:rPr>
          <w:lang w:val="en-CA"/>
        </w:rPr>
        <w:fldChar w:fldCharType="end"/>
      </w:r>
      <w:bookmarkStart w:id="8" w:name="_Toc422834397"/>
      <w:r w:rsidR="00317144">
        <w:t>DISCUSSION</w:t>
      </w:r>
      <w:bookmarkEnd w:id="8"/>
    </w:p>
    <w:p w:rsidR="00DF3DF5" w:rsidRDefault="00376BB9" w:rsidP="004A19B2">
      <w:pPr>
        <w:pStyle w:val="Heading3"/>
      </w:pPr>
      <w:bookmarkStart w:id="9" w:name="_Toc422834398"/>
      <w:r>
        <w:t xml:space="preserve">The </w:t>
      </w:r>
      <w:r w:rsidR="002A374D">
        <w:t xml:space="preserve">Court Should Deny </w:t>
      </w:r>
      <w:r w:rsidR="00130B50">
        <w:t>the City’s Motion for</w:t>
      </w:r>
      <w:r w:rsidR="002A374D">
        <w:t xml:space="preserve"> </w:t>
      </w:r>
      <w:r>
        <w:t xml:space="preserve">Summary Judgment Because </w:t>
      </w:r>
      <w:r w:rsidR="006E1108">
        <w:t>t</w:t>
      </w:r>
      <w:r w:rsidR="00360B4A">
        <w:t>he NYPD Failed to Conduct an Individualized Assessment</w:t>
      </w:r>
      <w:r w:rsidR="006E1108">
        <w:t xml:space="preserve"> </w:t>
      </w:r>
      <w:r w:rsidR="00C67D9B">
        <w:t>to Determine i</w:t>
      </w:r>
      <w:r w:rsidR="00DF3DF5">
        <w:t xml:space="preserve">f Plaintiff </w:t>
      </w:r>
      <w:r w:rsidR="00C67D9B">
        <w:t>Is Qualified to Perform the Essential Functions of the Job</w:t>
      </w:r>
      <w:bookmarkEnd w:id="9"/>
    </w:p>
    <w:p w:rsidR="00DF3DF5" w:rsidRPr="00DF3DF5" w:rsidRDefault="00DF3DF5" w:rsidP="00DF3DF5"/>
    <w:p w:rsidR="00C67D9B" w:rsidRPr="00113140" w:rsidRDefault="00DF3DF5" w:rsidP="0015087D">
      <w:pPr>
        <w:spacing w:line="480" w:lineRule="auto"/>
        <w:ind w:firstLine="720"/>
      </w:pPr>
      <w:r>
        <w:t xml:space="preserve">It its motion for summary judgment, the City asserts that Plaintiff cannot establish a </w:t>
      </w:r>
      <w:r>
        <w:rPr>
          <w:i/>
        </w:rPr>
        <w:t xml:space="preserve">prima </w:t>
      </w:r>
      <w:r w:rsidRPr="00DF3DF5">
        <w:rPr>
          <w:i/>
        </w:rPr>
        <w:t>facie</w:t>
      </w:r>
      <w:r>
        <w:rPr>
          <w:i/>
        </w:rPr>
        <w:t xml:space="preserve"> </w:t>
      </w:r>
      <w:r>
        <w:t xml:space="preserve">case because he </w:t>
      </w:r>
      <w:r w:rsidR="0015087D">
        <w:t>will be unable to demonstrate</w:t>
      </w:r>
      <w:r>
        <w:t xml:space="preserve"> that he is qualified for the position because </w:t>
      </w:r>
      <w:r w:rsidR="00C67D9B">
        <w:t>his medical condition</w:t>
      </w:r>
      <w:r>
        <w:t xml:space="preserve"> pose</w:t>
      </w:r>
      <w:r w:rsidR="0015087D">
        <w:t>s</w:t>
      </w:r>
      <w:r>
        <w:t xml:space="preserve"> a direct threat to the health and safety of others.  </w:t>
      </w:r>
      <w:r>
        <w:rPr>
          <w:szCs w:val="24"/>
        </w:rPr>
        <w:t xml:space="preserve">Defs. Mem. 6-7, </w:t>
      </w:r>
      <w:r w:rsidR="0015087D">
        <w:rPr>
          <w:szCs w:val="24"/>
        </w:rPr>
        <w:t>9-</w:t>
      </w:r>
      <w:r>
        <w:rPr>
          <w:szCs w:val="24"/>
        </w:rPr>
        <w:t>10.  Although the ADA allows that qualification standards may “include a requirement that an individual shall not pose a direct threat to the health or safety of other individuals in the workplace,” 42 U.S.C. § 12113(b)</w:t>
      </w:r>
      <w:r w:rsidR="00A45967">
        <w:rPr>
          <w:szCs w:val="24"/>
        </w:rPr>
        <w:fldChar w:fldCharType="begin"/>
      </w:r>
      <w:r w:rsidR="006A6F14">
        <w:instrText xml:space="preserve"> TA \s "42 U.S.C. § 12101, et seq." </w:instrText>
      </w:r>
      <w:r w:rsidR="00A45967">
        <w:rPr>
          <w:szCs w:val="24"/>
        </w:rPr>
        <w:fldChar w:fldCharType="end"/>
      </w:r>
      <w:r>
        <w:rPr>
          <w:szCs w:val="24"/>
        </w:rPr>
        <w:t>, “[t]he determination that an individual poses a ‘direct threat’ shall be based on an individualized as</w:t>
      </w:r>
      <w:r w:rsidR="0015087D">
        <w:rPr>
          <w:szCs w:val="24"/>
        </w:rPr>
        <w:t>s</w:t>
      </w:r>
      <w:r>
        <w:rPr>
          <w:szCs w:val="24"/>
        </w:rPr>
        <w:t>essment</w:t>
      </w:r>
      <w:r w:rsidR="00C67D9B">
        <w:rPr>
          <w:szCs w:val="24"/>
        </w:rPr>
        <w:t xml:space="preserve"> </w:t>
      </w:r>
      <w:r>
        <w:rPr>
          <w:szCs w:val="24"/>
        </w:rPr>
        <w:t>.</w:t>
      </w:r>
      <w:r w:rsidR="00C67D9B">
        <w:rPr>
          <w:szCs w:val="24"/>
        </w:rPr>
        <w:t xml:space="preserve"> . . .</w:t>
      </w:r>
      <w:r>
        <w:rPr>
          <w:szCs w:val="24"/>
        </w:rPr>
        <w:t xml:space="preserve">”  </w:t>
      </w:r>
      <w:proofErr w:type="gramStart"/>
      <w:r>
        <w:rPr>
          <w:szCs w:val="24"/>
        </w:rPr>
        <w:t>29 C.F.R. § 1630.2</w:t>
      </w:r>
      <w:r w:rsidR="00796203">
        <w:rPr>
          <w:szCs w:val="24"/>
        </w:rPr>
        <w:t>(r)</w:t>
      </w:r>
      <w:r>
        <w:rPr>
          <w:szCs w:val="24"/>
        </w:rPr>
        <w:t>.</w:t>
      </w:r>
      <w:proofErr w:type="gramEnd"/>
      <w:r>
        <w:rPr>
          <w:szCs w:val="24"/>
        </w:rPr>
        <w:t xml:space="preserve">   </w:t>
      </w:r>
      <w:r w:rsidR="00C67D9B">
        <w:rPr>
          <w:szCs w:val="24"/>
        </w:rPr>
        <w:t xml:space="preserve"> This “</w:t>
      </w:r>
      <w:r w:rsidR="00C67D9B">
        <w:t xml:space="preserve">individualized assessment of the employee’s present ability to safely perform the essential functions of the job” must be “based on a reasonable medical judgment that relies on the most current medical knowledge and/or on the best available objective evidence,” and the assessment is a prerequisite to an employer availing itself of the ADA’s direct threat defense.  </w:t>
      </w:r>
      <w:proofErr w:type="gramStart"/>
      <w:r w:rsidR="00C67D9B">
        <w:rPr>
          <w:i/>
        </w:rPr>
        <w:t>Makinen v. City of N.Y.</w:t>
      </w:r>
      <w:r w:rsidR="00C67D9B">
        <w:t>, 53 F. Supp. 3d 676, 694 (S.D.N.Y. 2014)</w:t>
      </w:r>
      <w:r w:rsidR="00A45967">
        <w:fldChar w:fldCharType="begin"/>
      </w:r>
      <w:r w:rsidR="00C67D9B">
        <w:instrText xml:space="preserve"> TA \l "</w:instrText>
      </w:r>
      <w:r w:rsidR="00C67D9B" w:rsidRPr="00E81409">
        <w:rPr>
          <w:i/>
        </w:rPr>
        <w:instrText>Makinen v. City of N.Y.</w:instrText>
      </w:r>
      <w:r w:rsidR="00C67D9B" w:rsidRPr="00E81409">
        <w:instrText>, 53 F. Supp. 3d 676 (S.D.N.Y. 2014)</w:instrText>
      </w:r>
      <w:r w:rsidR="00C67D9B">
        <w:instrText xml:space="preserve">" \s "Makinen v. City of N.Y., 53 F. Supp. 3d 676, 694 (S.D.N.Y. 2014)" \c 1 </w:instrText>
      </w:r>
      <w:r w:rsidR="00A45967">
        <w:fldChar w:fldCharType="end"/>
      </w:r>
      <w:r w:rsidR="00C67D9B">
        <w:t xml:space="preserve"> (quoting </w:t>
      </w:r>
      <w:r w:rsidR="00C67D9B">
        <w:rPr>
          <w:i/>
        </w:rPr>
        <w:t>Sista</w:t>
      </w:r>
      <w:r w:rsidR="00C67D9B">
        <w:t>, 445 F.3d at 17)</w:t>
      </w:r>
      <w:r w:rsidR="00A45967">
        <w:fldChar w:fldCharType="begin"/>
      </w:r>
      <w:r w:rsidR="00C67D9B">
        <w:instrText xml:space="preserve"> TA \s "Sista v. CDC IXIS North America, Inc., 445 F.3d 161, 170 (2d Cir. 2006)" </w:instrText>
      </w:r>
      <w:r w:rsidR="00A45967">
        <w:fldChar w:fldCharType="end"/>
      </w:r>
      <w:r w:rsidR="0015087D">
        <w:t>.</w:t>
      </w:r>
      <w:proofErr w:type="gramEnd"/>
      <w:r w:rsidR="0015087D">
        <w:t xml:space="preserve">  Furthermore, w</w:t>
      </w:r>
      <w:r w:rsidR="00C67D9B">
        <w:t xml:space="preserve">here the employer “take[s] action without performing such assessment,” its subsequent employment action is deemed “inappropriate” pursuant to the ADA.  </w:t>
      </w:r>
      <w:r w:rsidR="00C67D9B">
        <w:rPr>
          <w:i/>
        </w:rPr>
        <w:t>Dipol v. New York City Transit Auth.</w:t>
      </w:r>
      <w:r w:rsidR="00C67D9B">
        <w:t>, 999 F. Supp. 309, 316 (E.D.N.Y. 1998)</w:t>
      </w:r>
      <w:r w:rsidR="00A45967">
        <w:fldChar w:fldCharType="begin"/>
      </w:r>
      <w:r w:rsidR="00C67D9B">
        <w:instrText xml:space="preserve"> TA \l "</w:instrText>
      </w:r>
      <w:r w:rsidR="00C67D9B" w:rsidRPr="0058075A">
        <w:rPr>
          <w:i/>
        </w:rPr>
        <w:instrText>Dipol v. New York City Transit Auth.</w:instrText>
      </w:r>
      <w:r w:rsidR="00C67D9B" w:rsidRPr="0058075A">
        <w:instrText>, 999 F. Supp. 309 (E.D.N.Y. 1998)</w:instrText>
      </w:r>
      <w:r w:rsidR="00C67D9B">
        <w:instrText xml:space="preserve">" \s "Dipol v. New York City Transit Auth., 999 F. Supp. 309, 316 (E.D.N.Y. 1998)" \c 1 </w:instrText>
      </w:r>
      <w:r w:rsidR="00A45967">
        <w:fldChar w:fldCharType="end"/>
      </w:r>
      <w:r w:rsidR="00C67D9B">
        <w:t xml:space="preserve"> (defendant failed to meet its burden of asserting a direct threat defense where court found that “tests conducted during Plaintiff’s examinations do not constitute</w:t>
      </w:r>
      <w:r w:rsidR="00363B51">
        <w:t xml:space="preserve"> an individualized assessment”);</w:t>
      </w:r>
      <w:r w:rsidR="00C67D9B">
        <w:t xml:space="preserve"> </w:t>
      </w:r>
      <w:r w:rsidR="00363B51">
        <w:rPr>
          <w:i/>
        </w:rPr>
        <w:t>s</w:t>
      </w:r>
      <w:r w:rsidR="00C67D9B">
        <w:rPr>
          <w:i/>
        </w:rPr>
        <w:t>ee also Jackson v. New York City Police Dep’t</w:t>
      </w:r>
      <w:r w:rsidR="00C67D9B">
        <w:t>, No. 06-1835, 2011 U.S. Dist. LEXIS</w:t>
      </w:r>
      <w:r w:rsidR="00363B51">
        <w:t xml:space="preserve"> 43861, at 51-52 (E.D.N.Y. Mar.</w:t>
      </w:r>
      <w:r w:rsidR="00C67D9B">
        <w:t xml:space="preserve"> 3, 2011) (“The determination must be based on an individualized assessment that relies on a reasonable medical judgment.”).</w:t>
      </w:r>
    </w:p>
    <w:p w:rsidR="00EE2BD4" w:rsidRDefault="00DF3DF5" w:rsidP="006C2FCE">
      <w:pPr>
        <w:spacing w:line="480" w:lineRule="auto"/>
        <w:ind w:firstLine="720"/>
        <w:rPr>
          <w:szCs w:val="24"/>
        </w:rPr>
      </w:pPr>
      <w:r>
        <w:t xml:space="preserve">The record reflects that the </w:t>
      </w:r>
      <w:r w:rsidR="002F589A">
        <w:t>NYPD disqualifi</w:t>
      </w:r>
      <w:r>
        <w:t>ed</w:t>
      </w:r>
      <w:r w:rsidR="002F589A">
        <w:t xml:space="preserve"> Plaintiff,</w:t>
      </w:r>
      <w:r>
        <w:t xml:space="preserve"> not on the basis of any indivi</w:t>
      </w:r>
      <w:r w:rsidR="006C2FCE">
        <w:t>dualized assessment</w:t>
      </w:r>
      <w:r>
        <w:t xml:space="preserve">, but </w:t>
      </w:r>
      <w:r w:rsidR="00C67D9B">
        <w:t xml:space="preserve">instead </w:t>
      </w:r>
      <w:r w:rsidR="006A6F14">
        <w:t>based on</w:t>
      </w:r>
      <w:r>
        <w:t xml:space="preserve"> </w:t>
      </w:r>
      <w:r w:rsidR="002F589A">
        <w:t xml:space="preserve">its </w:t>
      </w:r>
      <w:r w:rsidR="005933E5">
        <w:t xml:space="preserve">de facto </w:t>
      </w:r>
      <w:r w:rsidR="002F589A">
        <w:t>blanket policy of disqualifying candidates who are currently taking antiseizure medication</w:t>
      </w:r>
      <w:r>
        <w:t>.</w:t>
      </w:r>
      <w:r w:rsidR="002F589A">
        <w:t xml:space="preserve"> </w:t>
      </w:r>
      <w:r>
        <w:t xml:space="preserve"> </w:t>
      </w:r>
      <w:proofErr w:type="spellStart"/>
      <w:proofErr w:type="gramStart"/>
      <w:r w:rsidR="00363B51">
        <w:t>Defs</w:t>
      </w:r>
      <w:proofErr w:type="spellEnd"/>
      <w:r w:rsidR="00363B51">
        <w:t>.</w:t>
      </w:r>
      <w:proofErr w:type="gramEnd"/>
      <w:r w:rsidR="00363B51">
        <w:t xml:space="preserve"> 56.1 ¶¶ 73-76</w:t>
      </w:r>
      <w:r>
        <w:t xml:space="preserve">.  </w:t>
      </w:r>
      <w:r w:rsidR="002F589A">
        <w:t xml:space="preserve">Plaintiff was disqualified during a mass candidate screening after he reported that he was currently taking antiseizure medication.  </w:t>
      </w:r>
      <w:r w:rsidR="002F589A">
        <w:rPr>
          <w:i/>
        </w:rPr>
        <w:t>See</w:t>
      </w:r>
      <w:r w:rsidR="002F589A">
        <w:t xml:space="preserve"> </w:t>
      </w:r>
      <w:r w:rsidR="0015087D">
        <w:rPr>
          <w:i/>
        </w:rPr>
        <w:t>id.</w:t>
      </w:r>
      <w:r w:rsidR="002F589A">
        <w:t xml:space="preserve"> </w:t>
      </w:r>
      <w:proofErr w:type="gramStart"/>
      <w:r w:rsidR="0015087D">
        <w:t>at</w:t>
      </w:r>
      <w:proofErr w:type="gramEnd"/>
      <w:r w:rsidR="0015087D">
        <w:t xml:space="preserve"> </w:t>
      </w:r>
      <w:r w:rsidR="00363B51">
        <w:t>¶ 72</w:t>
      </w:r>
      <w:r w:rsidR="002F589A">
        <w:t xml:space="preserve">.  At the time of Plaintiff’s disqualification,  the screening physician, Dr. Lichtenstein, a general internist with no special training in neurology, </w:t>
      </w:r>
      <w:r w:rsidR="002F589A">
        <w:rPr>
          <w:i/>
        </w:rPr>
        <w:t xml:space="preserve">see </w:t>
      </w:r>
      <w:r w:rsidR="00363B51">
        <w:t>Lichtenstein Dep.</w:t>
      </w:r>
      <w:r w:rsidR="002F589A">
        <w:t xml:space="preserve"> </w:t>
      </w:r>
      <w:r w:rsidR="0015087D">
        <w:t xml:space="preserve">at </w:t>
      </w:r>
      <w:r w:rsidR="002F589A">
        <w:t xml:space="preserve">20:6-15, had not reviewed any of Plaintiff’s medical records, </w:t>
      </w:r>
      <w:r w:rsidR="002F589A">
        <w:rPr>
          <w:i/>
        </w:rPr>
        <w:t>id.</w:t>
      </w:r>
      <w:r w:rsidR="002F589A">
        <w:t xml:space="preserve"> at 176:15-20, and had not consulted with the NYPD’s staff neurologist, Dr. Maniscalco.  </w:t>
      </w:r>
      <w:r w:rsidR="002F589A">
        <w:rPr>
          <w:i/>
        </w:rPr>
        <w:t>See</w:t>
      </w:r>
      <w:r w:rsidR="002F589A">
        <w:t xml:space="preserve"> Maniscalco Dep. 87:7-14.  Instead, the sole decision maker, Dr. Lichtenstein, based his disqualification decision solely on Plaintiff indicating on his medical questionnaire that he was currently taking antiseizure medication.  </w:t>
      </w:r>
      <w:r w:rsidR="009E5997">
        <w:t xml:space="preserve">Lichtenstein Dep. </w:t>
      </w:r>
      <w:r w:rsidR="002F589A">
        <w:t>152:1</w:t>
      </w:r>
      <w:r w:rsidR="009E5997">
        <w:t>4</w:t>
      </w:r>
      <w:r w:rsidR="002F589A">
        <w:t xml:space="preserve">-154:13.  </w:t>
      </w:r>
      <w:r w:rsidR="006C2FCE">
        <w:t xml:space="preserve">This disqualification was entirely consistent with the NYPD’s </w:t>
      </w:r>
      <w:r w:rsidR="005933E5">
        <w:t xml:space="preserve">practice of </w:t>
      </w:r>
      <w:r w:rsidR="006C2FCE">
        <w:t xml:space="preserve">disqualifying any candidate who states that he/she has been diagnosed with a seizure disorder and is currently taking </w:t>
      </w:r>
      <w:proofErr w:type="spellStart"/>
      <w:r w:rsidR="006C2FCE">
        <w:t>antiseizure</w:t>
      </w:r>
      <w:proofErr w:type="spellEnd"/>
      <w:r w:rsidR="006C2FCE">
        <w:t xml:space="preserve"> medications, </w:t>
      </w:r>
      <w:r w:rsidR="00796203">
        <w:t>Lichtenstein Dep.</w:t>
      </w:r>
      <w:r w:rsidR="006C2FCE">
        <w:t xml:space="preserve"> at</w:t>
      </w:r>
      <w:r w:rsidR="006349E1">
        <w:t xml:space="preserve"> 39:14-40:22, 46:11-</w:t>
      </w:r>
      <w:r w:rsidR="006C2FCE">
        <w:t xml:space="preserve">47:13, 153:16-154:8, </w:t>
      </w:r>
      <w:proofErr w:type="spellStart"/>
      <w:r w:rsidR="006C2FCE">
        <w:t>Kleinman</w:t>
      </w:r>
      <w:proofErr w:type="spellEnd"/>
      <w:r w:rsidR="006C2FCE">
        <w:t xml:space="preserve"> Dep. 105:17-106:23; and accordingly, involved no </w:t>
      </w:r>
      <w:r w:rsidR="009E578D">
        <w:t>consideration of the length of time that ha</w:t>
      </w:r>
      <w:r w:rsidR="001B592D">
        <w:t>d</w:t>
      </w:r>
      <w:r w:rsidR="009E578D">
        <w:t xml:space="preserve"> elapsed since Plaintiff’s last seizure or the circumstances and nature of his current employment</w:t>
      </w:r>
      <w:r w:rsidR="006C2FCE">
        <w:rPr>
          <w:szCs w:val="24"/>
        </w:rPr>
        <w:t xml:space="preserve">.  </w:t>
      </w:r>
    </w:p>
    <w:p w:rsidR="002F589A" w:rsidRDefault="009E578D" w:rsidP="002F589A">
      <w:pPr>
        <w:spacing w:line="480" w:lineRule="auto"/>
        <w:ind w:firstLine="720"/>
      </w:pPr>
      <w:r>
        <w:t>The record therefore reflects</w:t>
      </w:r>
      <w:r w:rsidR="002F589A">
        <w:t xml:space="preserve"> that Dr. Lichtenstein, the individual whose assessment resulted in Plaintiff’s initial disqualification,</w:t>
      </w:r>
      <w:r>
        <w:t xml:space="preserve"> did not</w:t>
      </w:r>
      <w:r w:rsidR="002F589A">
        <w:t xml:space="preserve"> </w:t>
      </w:r>
      <w:r>
        <w:t xml:space="preserve">conduct an individualized assessment prior to reaching the determination that Plaintiff was not qualified to perform the essential tasks of an NYPD officer because he presents a direct threat.  </w:t>
      </w:r>
      <w:r w:rsidR="002F589A">
        <w:t xml:space="preserve">Given the cursory nature of Dr. Lichtenstein’s review, and Dr. Lichtenstein’s lack of expertise in neurology, it is difficult to see how the assessment that was undertaken in Plaintiff’s case could have informed any reasoned consideration of the </w:t>
      </w:r>
      <w:r w:rsidR="002F589A">
        <w:rPr>
          <w:szCs w:val="24"/>
        </w:rPr>
        <w:t>duration, likelihood, or imminence of the potential harm that Plaintiff posed to either himself or</w:t>
      </w:r>
      <w:r>
        <w:rPr>
          <w:szCs w:val="24"/>
        </w:rPr>
        <w:t xml:space="preserve"> others</w:t>
      </w:r>
      <w:r w:rsidR="00A916C6">
        <w:rPr>
          <w:szCs w:val="24"/>
        </w:rPr>
        <w:t xml:space="preserve">.  </w:t>
      </w:r>
      <w:r>
        <w:rPr>
          <w:szCs w:val="24"/>
        </w:rPr>
        <w:t xml:space="preserve"> </w:t>
      </w:r>
      <w:r w:rsidR="00A916C6">
        <w:rPr>
          <w:szCs w:val="24"/>
        </w:rPr>
        <w:t>N</w:t>
      </w:r>
      <w:r>
        <w:rPr>
          <w:szCs w:val="24"/>
        </w:rPr>
        <w:t xml:space="preserve">or </w:t>
      </w:r>
      <w:r w:rsidR="00A916C6">
        <w:rPr>
          <w:szCs w:val="24"/>
        </w:rPr>
        <w:t>is there evidence that</w:t>
      </w:r>
      <w:r>
        <w:rPr>
          <w:szCs w:val="24"/>
        </w:rPr>
        <w:t xml:space="preserve"> Dr. Lichtenstein </w:t>
      </w:r>
      <w:r>
        <w:t xml:space="preserve">relied on “the most current medical knowledge and/or on the best available objective evidence,” </w:t>
      </w:r>
      <w:r>
        <w:rPr>
          <w:i/>
        </w:rPr>
        <w:t>Makinen</w:t>
      </w:r>
      <w:r w:rsidR="00363B51">
        <w:t xml:space="preserve">, 53 F. Supp. 3d 676, </w:t>
      </w:r>
      <w:r>
        <w:t xml:space="preserve">694 (quoting 29 C.F.R. § 1630.2(r)), in making his decision.  </w:t>
      </w:r>
      <w:r w:rsidR="00FD605F">
        <w:rPr>
          <w:szCs w:val="24"/>
        </w:rPr>
        <w:t xml:space="preserve">Indeed, that the NYPD’s blanket </w:t>
      </w:r>
      <w:r w:rsidR="001B592D">
        <w:rPr>
          <w:szCs w:val="24"/>
        </w:rPr>
        <w:t>practice of disqualifying candidates like Plaintiff</w:t>
      </w:r>
      <w:r w:rsidR="00FD605F">
        <w:rPr>
          <w:szCs w:val="24"/>
        </w:rPr>
        <w:t xml:space="preserve"> lacks any indicia of an individualized assessment is further</w:t>
      </w:r>
      <w:r w:rsidR="00EA0F0D">
        <w:rPr>
          <w:szCs w:val="24"/>
        </w:rPr>
        <w:t xml:space="preserve"> evidenced </w:t>
      </w:r>
      <w:r w:rsidR="00FD605F">
        <w:rPr>
          <w:szCs w:val="24"/>
        </w:rPr>
        <w:t xml:space="preserve">by the fact that the NYPD has never hired a candidate who was taking antiseizure medication at the time of hiring.  Lichtenstein Dep. 78:18-25.  </w:t>
      </w:r>
      <w:r w:rsidR="002F589A">
        <w:t xml:space="preserve">In light of this failure to conduct an individualized assessment, summary judgment is improper.  </w:t>
      </w:r>
    </w:p>
    <w:p w:rsidR="0028324D" w:rsidRDefault="0028324D" w:rsidP="002F589A">
      <w:pPr>
        <w:spacing w:line="480" w:lineRule="auto"/>
        <w:ind w:firstLine="720"/>
      </w:pPr>
    </w:p>
    <w:p w:rsidR="0028324D" w:rsidRDefault="0028324D" w:rsidP="002F589A">
      <w:pPr>
        <w:spacing w:line="480" w:lineRule="auto"/>
        <w:ind w:firstLine="720"/>
      </w:pPr>
    </w:p>
    <w:p w:rsidR="002F589A" w:rsidRPr="004A19B2" w:rsidRDefault="002F589A" w:rsidP="004A19B2">
      <w:pPr>
        <w:pStyle w:val="Heading3"/>
      </w:pPr>
      <w:bookmarkStart w:id="10" w:name="_Toc422834399"/>
      <w:r w:rsidRPr="004A19B2">
        <w:t xml:space="preserve">The Court Should Deny the City’s Motion for Summary Judgment Because </w:t>
      </w:r>
      <w:r w:rsidR="00BF2E1D" w:rsidRPr="004A19B2">
        <w:t>t</w:t>
      </w:r>
      <w:r w:rsidR="004E3220" w:rsidRPr="004A19B2">
        <w:t>he</w:t>
      </w:r>
      <w:r w:rsidR="00BF2E1D" w:rsidRPr="004A19B2">
        <w:t xml:space="preserve"> Record Reflects</w:t>
      </w:r>
      <w:r w:rsidRPr="004A19B2">
        <w:t xml:space="preserve"> Disputes of Material Fact as to </w:t>
      </w:r>
      <w:r w:rsidR="00FD605F" w:rsidRPr="004A19B2">
        <w:t xml:space="preserve">Whether </w:t>
      </w:r>
      <w:r w:rsidR="00363B51" w:rsidRPr="004A19B2">
        <w:t>the City Has Articulated a Legitimate Non-Discriminatory Reason for Disqualifying Plaintiff</w:t>
      </w:r>
      <w:bookmarkEnd w:id="10"/>
    </w:p>
    <w:p w:rsidR="002F589A" w:rsidRPr="008A41C7" w:rsidRDefault="002F589A" w:rsidP="002F589A"/>
    <w:p w:rsidR="00C14628" w:rsidRDefault="002F589A" w:rsidP="00C14628">
      <w:pPr>
        <w:pStyle w:val="ColorfulList-Accent11"/>
        <w:spacing w:line="480" w:lineRule="auto"/>
        <w:ind w:left="0" w:firstLine="720"/>
        <w:rPr>
          <w:bCs/>
        </w:rPr>
      </w:pPr>
      <w:r>
        <w:t xml:space="preserve">Although the Second Circuit has consistently held that considerable deference is given to an employer’s judgment as to what tasks are essential to a position, </w:t>
      </w:r>
      <w:r>
        <w:rPr>
          <w:i/>
        </w:rPr>
        <w:t>see Shannon v. N.Y. City Transit Auth.</w:t>
      </w:r>
      <w:r>
        <w:t>, 332 F.3d 95, 100 (2d Cir. 2003)</w:t>
      </w:r>
      <w:r w:rsidR="00A45967">
        <w:fldChar w:fldCharType="begin"/>
      </w:r>
      <w:r>
        <w:instrText xml:space="preserve"> TA \l "</w:instrText>
      </w:r>
      <w:r w:rsidRPr="00530DF4">
        <w:rPr>
          <w:i/>
        </w:rPr>
        <w:instrText>Shannon v. N.Y. City Transit Auth.</w:instrText>
      </w:r>
      <w:r w:rsidRPr="00530DF4">
        <w:instrText>, 332 F.3d 95 (2d Cir. 2003)</w:instrText>
      </w:r>
      <w:r>
        <w:instrText xml:space="preserve">" \s "Shannon v. N.Y. City Transit Auth., 332 F.3d 95, 100 (2d Cir. 2003)" \c 1 </w:instrText>
      </w:r>
      <w:r w:rsidR="00A45967">
        <w:fldChar w:fldCharType="end"/>
      </w:r>
      <w:r>
        <w:t xml:space="preserve">, the City has been inconsistent in </w:t>
      </w:r>
      <w:r w:rsidR="00FD605F">
        <w:t>its explanation as to why Plaintiff is unqualified to perform the</w:t>
      </w:r>
      <w:r>
        <w:t xml:space="preserve"> essential tasks of an NYPD police officer</w:t>
      </w:r>
      <w:r w:rsidR="00AA223F">
        <w:t>.  While the City asserts in its motion that Plaintiff cannot be qualified because of concerns relating to his ability to operate a firearm or work at any hour, Defs. Mem. 10, t</w:t>
      </w:r>
      <w:r w:rsidR="00AA223F">
        <w:rPr>
          <w:bCs/>
        </w:rPr>
        <w:t xml:space="preserve">he decision maker who first disqualified Plaintiff, Dr. Lichtenstein, testified that individuals taking antiseizure medication could not be qualified because of an “overriding concern” that “it’s a natural aspect of police work to have a violent confrontation at some point in [a police officer’s] career and even minimal head trauma . . . can cause an acceleration of [an] underlying seizure disorder . . . .”  Lichtenstein Dep. at 61:3-12.   In contrast, Drs. Maniscalco and Kleinman testified that individuals taking antiseizure medication cannot be qualified because of public safety concerns relating to their ability to </w:t>
      </w:r>
      <w:r w:rsidR="004E3220">
        <w:rPr>
          <w:bCs/>
        </w:rPr>
        <w:t xml:space="preserve">operate firearms and </w:t>
      </w:r>
      <w:r w:rsidR="00AA223F">
        <w:rPr>
          <w:bCs/>
        </w:rPr>
        <w:t>drive police vehicles.  Maniscalco Dep. 54:4-15</w:t>
      </w:r>
      <w:r w:rsidR="004E3220">
        <w:rPr>
          <w:bCs/>
        </w:rPr>
        <w:t>; Kleinman Dep. 151:18-152:20.  These three explanations, which reference separate and independent concerns, create in and of themselves disputes of material fact within the record.</w:t>
      </w:r>
      <w:r w:rsidR="00C14628">
        <w:rPr>
          <w:rStyle w:val="FootnoteReference"/>
          <w:bCs/>
        </w:rPr>
        <w:footnoteReference w:id="4"/>
      </w:r>
      <w:r w:rsidR="00C14628">
        <w:rPr>
          <w:bCs/>
        </w:rPr>
        <w:t xml:space="preserve">  </w:t>
      </w:r>
    </w:p>
    <w:p w:rsidR="004E3220" w:rsidRPr="006A6F14" w:rsidRDefault="00B454B0" w:rsidP="00AA223F">
      <w:pPr>
        <w:spacing w:line="480" w:lineRule="auto"/>
        <w:ind w:firstLine="720"/>
      </w:pPr>
      <w:r>
        <w:t>Moreover</w:t>
      </w:r>
      <w:r w:rsidR="00FD605F">
        <w:t xml:space="preserve">, </w:t>
      </w:r>
      <w:r w:rsidR="004E3220">
        <w:t xml:space="preserve">the record also </w:t>
      </w:r>
      <w:r w:rsidR="006A6F14">
        <w:t>contains</w:t>
      </w:r>
      <w:r w:rsidR="004E3220">
        <w:t xml:space="preserve"> facts put forth by Plaintiff to support a finding </w:t>
      </w:r>
      <w:r w:rsidR="00FD08A8">
        <w:t xml:space="preserve">that </w:t>
      </w:r>
      <w:r w:rsidR="004E3220">
        <w:t>Plaintiff</w:t>
      </w:r>
      <w:r w:rsidR="00FD08A8">
        <w:t xml:space="preserve"> is qualified</w:t>
      </w:r>
      <w:r>
        <w:t xml:space="preserve"> without any accommodation</w:t>
      </w:r>
      <w:r w:rsidR="00FD08A8">
        <w:t>,</w:t>
      </w:r>
      <w:r w:rsidR="00FD605F">
        <w:t xml:space="preserve"> including</w:t>
      </w:r>
      <w:r w:rsidR="00FD08A8">
        <w:t>:</w:t>
      </w:r>
      <w:r w:rsidR="00FD605F">
        <w:t xml:space="preserve"> </w:t>
      </w:r>
      <w:r w:rsidR="00FD08A8">
        <w:t xml:space="preserve">testimony that he has been medically cleared for duty by the Nassau County Police Emergency Bureau, </w:t>
      </w:r>
      <w:proofErr w:type="spellStart"/>
      <w:r w:rsidR="00FD08A8">
        <w:t>Pesce</w:t>
      </w:r>
      <w:proofErr w:type="spellEnd"/>
      <w:r w:rsidR="00FD08A8">
        <w:t xml:space="preserve"> Dep. 60:4-25, and the New York State Court Officers, </w:t>
      </w:r>
      <w:r w:rsidR="00FD08A8">
        <w:rPr>
          <w:i/>
        </w:rPr>
        <w:t>id.</w:t>
      </w:r>
      <w:r w:rsidR="00FD08A8">
        <w:t xml:space="preserve"> at 148:25-149:7</w:t>
      </w:r>
      <w:r w:rsidR="004E3220">
        <w:t>;</w:t>
      </w:r>
      <w:r w:rsidR="00FD08A8">
        <w:t xml:space="preserve"> </w:t>
      </w:r>
      <w:r w:rsidR="004E3220">
        <w:t>testimony regarding how his present volunteer and employment positions require him to work irregular and extended hours</w:t>
      </w:r>
      <w:r w:rsidR="006A6F14">
        <w:t xml:space="preserve">, </w:t>
      </w:r>
      <w:r w:rsidR="006A6F14">
        <w:rPr>
          <w:i/>
        </w:rPr>
        <w:t>i</w:t>
      </w:r>
      <w:r w:rsidR="004E3220">
        <w:rPr>
          <w:i/>
        </w:rPr>
        <w:t xml:space="preserve">d. </w:t>
      </w:r>
      <w:r w:rsidR="004E3220">
        <w:t>at</w:t>
      </w:r>
      <w:r w:rsidR="002F589A">
        <w:t xml:space="preserve"> </w:t>
      </w:r>
      <w:r w:rsidR="006A6F14">
        <w:t xml:space="preserve">13:17-24, 11:4-25; a report from a Professor of Clinical Neurology from Albert Einstein College of Medicine which states that, “[a]t the time he was one year seizure free in March 2009, his risk of seizure was comparable to that of the general public,” </w:t>
      </w:r>
      <w:r>
        <w:t>Smithsimon Decl., Ex. 10 (“</w:t>
      </w:r>
      <w:r w:rsidR="006A6F14">
        <w:t>Haut Report</w:t>
      </w:r>
      <w:r>
        <w:t>”) at</w:t>
      </w:r>
      <w:r w:rsidR="006A6F14">
        <w:t xml:space="preserve"> 5; and evidence that the Medical and Physical Fitness Standards and Procedures for Police Officer Candidates prescribed by the Municipal Police Training Counsel of the State of New York prescribes that candidates need only be seizure-free for at least 12 months prior to the date of examination.  </w:t>
      </w:r>
      <w:r w:rsidR="006A6F14">
        <w:rPr>
          <w:i/>
        </w:rPr>
        <w:t>Id.</w:t>
      </w:r>
      <w:r w:rsidR="006A6F14">
        <w:t xml:space="preserve"> at 4.</w:t>
      </w:r>
    </w:p>
    <w:p w:rsidR="004E3220" w:rsidRDefault="006A6F14" w:rsidP="004E3220">
      <w:pPr>
        <w:spacing w:line="480" w:lineRule="auto"/>
        <w:ind w:firstLine="720"/>
      </w:pPr>
      <w:r>
        <w:t>T</w:t>
      </w:r>
      <w:r w:rsidR="00FD605F">
        <w:t xml:space="preserve">he record </w:t>
      </w:r>
      <w:r>
        <w:t xml:space="preserve">therefore </w:t>
      </w:r>
      <w:r w:rsidR="00FD605F">
        <w:t>reflects</w:t>
      </w:r>
      <w:r w:rsidR="002F589A">
        <w:t xml:space="preserve"> disputes of material fact </w:t>
      </w:r>
      <w:r w:rsidR="00FD605F">
        <w:t xml:space="preserve">on the issue of whether </w:t>
      </w:r>
      <w:r w:rsidR="00B454B0">
        <w:t>the City has articulated a legitimate non-discriminatory reason for disqualifying Plaintiff</w:t>
      </w:r>
      <w:r w:rsidR="00BF2E1D">
        <w:t>, and summary judgment is improper</w:t>
      </w:r>
      <w:r w:rsidR="002F589A">
        <w:t xml:space="preserve">.  </w:t>
      </w:r>
    </w:p>
    <w:p w:rsidR="002F589A" w:rsidRDefault="002F589A" w:rsidP="004A19B2">
      <w:pPr>
        <w:pStyle w:val="Heading3"/>
      </w:pPr>
      <w:bookmarkStart w:id="11" w:name="_Toc422834400"/>
      <w:r>
        <w:t xml:space="preserve">The Court Should Deny the City’s Motion for Summary Judgment Because </w:t>
      </w:r>
      <w:r w:rsidR="00BF2E1D">
        <w:t>t</w:t>
      </w:r>
      <w:r>
        <w:t>he</w:t>
      </w:r>
      <w:r w:rsidR="00BF2E1D">
        <w:t xml:space="preserve"> Record </w:t>
      </w:r>
      <w:r w:rsidR="006A6F14">
        <w:t>Suggests That</w:t>
      </w:r>
      <w:r>
        <w:t xml:space="preserve"> the City Has </w:t>
      </w:r>
      <w:r w:rsidR="00DE2F43">
        <w:t xml:space="preserve">Not </w:t>
      </w:r>
      <w:r>
        <w:t>Met Its Burden of Demonstrating That Plaintiff Poses a Direct Threat</w:t>
      </w:r>
      <w:bookmarkEnd w:id="11"/>
    </w:p>
    <w:p w:rsidR="002F589A" w:rsidRPr="00852E88" w:rsidRDefault="002F589A" w:rsidP="002F589A"/>
    <w:p w:rsidR="002F589A" w:rsidRDefault="00C14628" w:rsidP="00C14628">
      <w:pPr>
        <w:pStyle w:val="ColorfulList-Accent11"/>
        <w:spacing w:line="480" w:lineRule="auto"/>
        <w:ind w:left="0" w:firstLine="720"/>
        <w:rPr>
          <w:bCs/>
        </w:rPr>
      </w:pPr>
      <w:r>
        <w:rPr>
          <w:bCs/>
        </w:rPr>
        <w:t>To the extent the City asserts</w:t>
      </w:r>
      <w:r w:rsidR="00BF2E1D">
        <w:rPr>
          <w:bCs/>
        </w:rPr>
        <w:t>, as it does in its brief,</w:t>
      </w:r>
      <w:r>
        <w:rPr>
          <w:bCs/>
        </w:rPr>
        <w:t xml:space="preserve"> that Plaintiff is unqualified because his medical condition</w:t>
      </w:r>
      <w:r w:rsidR="00BF2E1D">
        <w:rPr>
          <w:bCs/>
        </w:rPr>
        <w:t xml:space="preserve"> presents an “unreasonable risk” to others</w:t>
      </w:r>
      <w:r>
        <w:rPr>
          <w:bCs/>
        </w:rPr>
        <w:t xml:space="preserve">, </w:t>
      </w:r>
      <w:r w:rsidR="00BF2E1D">
        <w:rPr>
          <w:bCs/>
        </w:rPr>
        <w:t xml:space="preserve">Defs. Mem. 13, </w:t>
      </w:r>
      <w:r>
        <w:rPr>
          <w:bCs/>
        </w:rPr>
        <w:t xml:space="preserve">it bears the </w:t>
      </w:r>
      <w:r w:rsidR="002F589A">
        <w:rPr>
          <w:bCs/>
        </w:rPr>
        <w:t>burden o</w:t>
      </w:r>
      <w:r>
        <w:rPr>
          <w:bCs/>
        </w:rPr>
        <w:t>f</w:t>
      </w:r>
      <w:r w:rsidR="002F589A">
        <w:rPr>
          <w:bCs/>
        </w:rPr>
        <w:t xml:space="preserve"> establish</w:t>
      </w:r>
      <w:r>
        <w:rPr>
          <w:bCs/>
        </w:rPr>
        <w:t>ing</w:t>
      </w:r>
      <w:r w:rsidR="002F589A">
        <w:rPr>
          <w:bCs/>
        </w:rPr>
        <w:t xml:space="preserve"> that </w:t>
      </w:r>
      <w:r>
        <w:rPr>
          <w:bCs/>
        </w:rPr>
        <w:t>the</w:t>
      </w:r>
      <w:r w:rsidR="002F589A">
        <w:rPr>
          <w:bCs/>
        </w:rPr>
        <w:t xml:space="preserve"> plaintiff poses a</w:t>
      </w:r>
      <w:r w:rsidR="00BF2E1D">
        <w:rPr>
          <w:bCs/>
        </w:rPr>
        <w:t xml:space="preserve"> direct threat of harm</w:t>
      </w:r>
      <w:r w:rsidR="002F589A">
        <w:rPr>
          <w:bCs/>
        </w:rPr>
        <w:t xml:space="preserve">.  </w:t>
      </w:r>
      <w:r>
        <w:rPr>
          <w:bCs/>
          <w:i/>
        </w:rPr>
        <w:t xml:space="preserve">See </w:t>
      </w:r>
      <w:r w:rsidR="002F589A">
        <w:rPr>
          <w:bCs/>
          <w:i/>
        </w:rPr>
        <w:t xml:space="preserve">Hargrave v. </w:t>
      </w:r>
      <w:r w:rsidR="002F589A" w:rsidRPr="00A46CD5">
        <w:rPr>
          <w:bCs/>
          <w:i/>
        </w:rPr>
        <w:t>Vermont</w:t>
      </w:r>
      <w:r w:rsidR="002F589A">
        <w:rPr>
          <w:bCs/>
        </w:rPr>
        <w:t xml:space="preserve">, </w:t>
      </w:r>
      <w:proofErr w:type="gramStart"/>
      <w:r w:rsidR="002F589A">
        <w:rPr>
          <w:bCs/>
        </w:rPr>
        <w:t>340 F.3d 27,</w:t>
      </w:r>
      <w:proofErr w:type="gramEnd"/>
      <w:r w:rsidR="002F589A">
        <w:rPr>
          <w:bCs/>
        </w:rPr>
        <w:t xml:space="preserve"> 35 (2d Cir. 2003)</w:t>
      </w:r>
      <w:r w:rsidR="00A45967">
        <w:rPr>
          <w:bCs/>
        </w:rPr>
        <w:fldChar w:fldCharType="begin"/>
      </w:r>
      <w:r w:rsidR="001B592D">
        <w:instrText xml:space="preserve"> TA \s "Hargrave v. Vermont, 340 F.3d 27, 35 (2d Cir. 2003)" </w:instrText>
      </w:r>
      <w:r w:rsidR="00A45967">
        <w:rPr>
          <w:bCs/>
        </w:rPr>
        <w:fldChar w:fldCharType="end"/>
      </w:r>
      <w:r>
        <w:rPr>
          <w:bCs/>
        </w:rPr>
        <w:t>.  Particularly given t</w:t>
      </w:r>
      <w:r w:rsidR="002F589A">
        <w:rPr>
          <w:bCs/>
        </w:rPr>
        <w:t xml:space="preserve">he NYPD’s failure to conduct an individualized assessment, </w:t>
      </w:r>
      <w:r>
        <w:rPr>
          <w:bCs/>
        </w:rPr>
        <w:t>the record strongly suggests that</w:t>
      </w:r>
      <w:r w:rsidR="002F589A">
        <w:rPr>
          <w:bCs/>
        </w:rPr>
        <w:t xml:space="preserve"> the City has failed to meet its burden of demonstrating that Plaintiff poses a direct threat.</w:t>
      </w:r>
    </w:p>
    <w:p w:rsidR="00C14628" w:rsidRDefault="002F589A" w:rsidP="00C14628">
      <w:pPr>
        <w:pStyle w:val="ColorfulList-Accent11"/>
        <w:spacing w:line="480" w:lineRule="auto"/>
        <w:ind w:left="0" w:firstLine="720"/>
        <w:rPr>
          <w:bCs/>
        </w:rPr>
      </w:pPr>
      <w:r>
        <w:rPr>
          <w:bCs/>
        </w:rPr>
        <w:t xml:space="preserve">Although the ADA permits an employer to assert a direct threat defense to support its actions, it is well established that “the ADA does not sanction deprivations based on prejudice, stereotypes, or unfounded fear.”  </w:t>
      </w:r>
      <w:r>
        <w:rPr>
          <w:bCs/>
          <w:i/>
        </w:rPr>
        <w:t>Doe v. Deer Mountain Day Camp, Inc.</w:t>
      </w:r>
      <w:r>
        <w:rPr>
          <w:bCs/>
        </w:rPr>
        <w:t>, 682 F. Supp. 2d 324, 346 (S.D.N.Y. 2010)</w:t>
      </w:r>
      <w:r w:rsidR="00A45967">
        <w:rPr>
          <w:bCs/>
        </w:rPr>
        <w:fldChar w:fldCharType="begin"/>
      </w:r>
      <w:r>
        <w:instrText xml:space="preserve"> TA \l "</w:instrText>
      </w:r>
      <w:r w:rsidRPr="0069201F">
        <w:rPr>
          <w:bCs/>
          <w:i/>
        </w:rPr>
        <w:instrText>Doe v. Deer Mountain Day Camp, Inc.</w:instrText>
      </w:r>
      <w:r w:rsidRPr="0069201F">
        <w:rPr>
          <w:bCs/>
        </w:rPr>
        <w:instrText>, 682 F. Supp. 2d 324 (S.D.N.Y. 2010)</w:instrText>
      </w:r>
      <w:r>
        <w:instrText xml:space="preserve">" \s "Doe v. Deer Mountain Day Camp, Inc., 682 F. Supp. 2d 324, 346 (S.D.N.Y. 2010)" \c 1 </w:instrText>
      </w:r>
      <w:r w:rsidR="00A45967">
        <w:rPr>
          <w:bCs/>
        </w:rPr>
        <w:fldChar w:fldCharType="end"/>
      </w:r>
      <w:r>
        <w:rPr>
          <w:bCs/>
        </w:rPr>
        <w:t xml:space="preserve">.  For this reason, the “focus is on the objective reasonableness of the significance of the risk . . . .”  </w:t>
      </w:r>
      <w:r>
        <w:rPr>
          <w:bCs/>
          <w:i/>
        </w:rPr>
        <w:t>Id.</w:t>
      </w:r>
      <w:r w:rsidR="00A45967">
        <w:rPr>
          <w:bCs/>
          <w:i/>
        </w:rPr>
        <w:fldChar w:fldCharType="begin"/>
      </w:r>
      <w:r>
        <w:instrText xml:space="preserve"> TA \s "Doe v. Deer Mountain Day Camp, Inc., 682 F. Supp. 2d 324, 346 (S.D.N.Y. 2010)" </w:instrText>
      </w:r>
      <w:r w:rsidR="00A45967">
        <w:rPr>
          <w:bCs/>
          <w:i/>
        </w:rPr>
        <w:fldChar w:fldCharType="end"/>
      </w:r>
      <w:r>
        <w:rPr>
          <w:bCs/>
        </w:rPr>
        <w:t xml:space="preserve">  The fact-finder’s responsibility in assessing this reasonableness is not to assess whether it believes that Plaintiff poses a direct threat, but rather, to determine “the reasonableness of Defendants’ actions based upon ‘reasonable medical judgments of public health authorities.’”  </w:t>
      </w:r>
      <w:r>
        <w:rPr>
          <w:bCs/>
          <w:i/>
        </w:rPr>
        <w:t>Id.</w:t>
      </w:r>
      <w:r>
        <w:rPr>
          <w:bCs/>
        </w:rPr>
        <w:t xml:space="preserve"> (internal c</w:t>
      </w:r>
      <w:r w:rsidR="00C14628">
        <w:rPr>
          <w:bCs/>
        </w:rPr>
        <w:t xml:space="preserve">itations omitted).  </w:t>
      </w:r>
      <w:r>
        <w:rPr>
          <w:bCs/>
        </w:rPr>
        <w:t xml:space="preserve">Furthermore, the mere possibility that a risk of harm exists, without any analysis into either the likelihood or imminence of the potential harm, is insufficient to support a defendant’s reliance on the direct threat defense.  </w:t>
      </w:r>
      <w:r>
        <w:rPr>
          <w:bCs/>
          <w:i/>
        </w:rPr>
        <w:t>See Deer Mountain Day Camp, Inc.</w:t>
      </w:r>
      <w:r>
        <w:rPr>
          <w:bCs/>
        </w:rPr>
        <w:t>, 682 F. Supp. 2d at 348</w:t>
      </w:r>
      <w:r w:rsidR="00A45967">
        <w:rPr>
          <w:bCs/>
        </w:rPr>
        <w:fldChar w:fldCharType="begin"/>
      </w:r>
      <w:r>
        <w:instrText xml:space="preserve"> TA \s "Doe v. Deer Mountain Day Camp, Inc., 682 F. Supp. 2d 324, 346 (S.D.N.Y. 2010)" </w:instrText>
      </w:r>
      <w:r w:rsidR="00A45967">
        <w:rPr>
          <w:bCs/>
        </w:rPr>
        <w:fldChar w:fldCharType="end"/>
      </w:r>
      <w:r>
        <w:rPr>
          <w:bCs/>
        </w:rPr>
        <w:t xml:space="preserve"> (“The mere existence of possible avenues of transmission, presented without a documented showing, does not create a genuine issue of material fact as to direct threat.”) (</w:t>
      </w:r>
      <w:proofErr w:type="gramStart"/>
      <w:r>
        <w:rPr>
          <w:bCs/>
        </w:rPr>
        <w:t>internal</w:t>
      </w:r>
      <w:proofErr w:type="gramEnd"/>
      <w:r>
        <w:rPr>
          <w:bCs/>
        </w:rPr>
        <w:t xml:space="preserve"> quotations omitted); </w:t>
      </w:r>
      <w:r>
        <w:rPr>
          <w:bCs/>
          <w:i/>
        </w:rPr>
        <w:t xml:space="preserve">also </w:t>
      </w:r>
      <w:hyperlink r:id="rId11" w:tgtFrame="_top" w:history="1">
        <w:r w:rsidRPr="00F469A2">
          <w:t>29 C.F.R. § 1630.2</w:t>
        </w:r>
        <w:r w:rsidR="00A45967">
          <w:fldChar w:fldCharType="begin"/>
        </w:r>
        <w:r>
          <w:instrText xml:space="preserve"> TA \s "29 C.F.R. § 1630.2" </w:instrText>
        </w:r>
        <w:r w:rsidR="00A45967">
          <w:fldChar w:fldCharType="end"/>
        </w:r>
        <w:r w:rsidRPr="00F469A2">
          <w:t>(r)</w:t>
        </w:r>
      </w:hyperlink>
      <w:r>
        <w:t>(1)-(4).</w:t>
      </w:r>
      <w:r>
        <w:rPr>
          <w:bCs/>
        </w:rPr>
        <w:t xml:space="preserve">  </w:t>
      </w:r>
    </w:p>
    <w:p w:rsidR="00BF2E1D" w:rsidRDefault="00C14628" w:rsidP="00BF2E1D">
      <w:pPr>
        <w:pStyle w:val="ColorfulList-Accent11"/>
        <w:spacing w:line="480" w:lineRule="auto"/>
        <w:ind w:left="0" w:firstLine="720"/>
      </w:pPr>
      <w:r>
        <w:rPr>
          <w:bCs/>
        </w:rPr>
        <w:t>I</w:t>
      </w:r>
      <w:r w:rsidR="002F589A">
        <w:rPr>
          <w:bCs/>
        </w:rPr>
        <w:t>n the absence of any individualized assessment of the risk that Plaintiff specifically presents, Dr. Kleinman’s testimony that Plaintiff is unable to perform the duties of a police officer, because of his inability “to predict if and when he will suffer a grand mal seizure,” Kleinman Dep. 151:18-152:20, appears to be precisely the type of generalized fear that does not support</w:t>
      </w:r>
      <w:r>
        <w:rPr>
          <w:bCs/>
        </w:rPr>
        <w:t xml:space="preserve"> </w:t>
      </w:r>
      <w:r w:rsidR="002F589A">
        <w:rPr>
          <w:bCs/>
        </w:rPr>
        <w:t xml:space="preserve">a direct threat defense.  </w:t>
      </w:r>
      <w:r>
        <w:rPr>
          <w:bCs/>
        </w:rPr>
        <w:t xml:space="preserve">Such an assessment gives no consideration to </w:t>
      </w:r>
      <w:r w:rsidR="00BF2E1D">
        <w:rPr>
          <w:bCs/>
        </w:rPr>
        <w:t xml:space="preserve">the likelihood of Plaintiff himself experiencing another seizure, and instead </w:t>
      </w:r>
      <w:r w:rsidR="002F589A">
        <w:rPr>
          <w:bCs/>
        </w:rPr>
        <w:t>appears to impose on Plaintiff the burden of showing that “he . . . poses no risk,” which is a requirement that the Court of Appeals for the Second Circuit has explicitly rejected.</w:t>
      </w:r>
      <w:r w:rsidR="002F589A">
        <w:rPr>
          <w:i/>
        </w:rPr>
        <w:t xml:space="preserve">  </w:t>
      </w:r>
      <w:proofErr w:type="gramStart"/>
      <w:r w:rsidR="002F589A">
        <w:rPr>
          <w:i/>
        </w:rPr>
        <w:t>Lovejoy-Wilson</w:t>
      </w:r>
      <w:r w:rsidR="002F589A">
        <w:t>, 263 F.3d at 2</w:t>
      </w:r>
      <w:r w:rsidR="00796203">
        <w:t>20</w:t>
      </w:r>
      <w:r w:rsidR="00A45967">
        <w:fldChar w:fldCharType="begin"/>
      </w:r>
      <w:r w:rsidR="002F589A">
        <w:instrText xml:space="preserve"> TA \s "Lovejoy-Wilson v. NOCO Motor Fuel, Inc., 263 F.3d 208, 216 (2d Cir. 2001)" </w:instrText>
      </w:r>
      <w:r w:rsidR="00A45967">
        <w:fldChar w:fldCharType="end"/>
      </w:r>
      <w:r w:rsidR="002F589A">
        <w:t xml:space="preserve"> (internal citations omitted).</w:t>
      </w:r>
      <w:proofErr w:type="gramEnd"/>
      <w:r w:rsidR="00BF2E1D">
        <w:t xml:space="preserve">  </w:t>
      </w:r>
    </w:p>
    <w:p w:rsidR="00BF2E1D" w:rsidRDefault="00BF2E1D" w:rsidP="00BF2E1D">
      <w:pPr>
        <w:pStyle w:val="ColorfulList-Accent11"/>
        <w:spacing w:line="480" w:lineRule="auto"/>
        <w:ind w:left="0" w:firstLine="720"/>
      </w:pPr>
      <w:r>
        <w:t xml:space="preserve">Because the record accordingly </w:t>
      </w:r>
      <w:r w:rsidR="00C67211">
        <w:t>suggests that</w:t>
      </w:r>
      <w:r>
        <w:t xml:space="preserve"> the City has </w:t>
      </w:r>
      <w:r w:rsidR="00C67211">
        <w:t xml:space="preserve">failed to </w:t>
      </w:r>
      <w:r>
        <w:t>me</w:t>
      </w:r>
      <w:r w:rsidR="00C67211">
        <w:t>e</w:t>
      </w:r>
      <w:r>
        <w:t>t its burden of demonstrating that Plaintiff presents a direct threat, summary judgment is improper.</w:t>
      </w:r>
    </w:p>
    <w:p w:rsidR="001F1DA1" w:rsidRPr="00001CFD" w:rsidRDefault="00AB0CF1" w:rsidP="004A19B2">
      <w:pPr>
        <w:pStyle w:val="Heading2"/>
      </w:pPr>
      <w:bookmarkStart w:id="12" w:name="_Toc422834401"/>
      <w:r>
        <w:t>CONCLUSION</w:t>
      </w:r>
      <w:bookmarkEnd w:id="12"/>
    </w:p>
    <w:p w:rsidR="008A41C7" w:rsidRPr="008A41C7" w:rsidRDefault="008A41C7" w:rsidP="008A41C7"/>
    <w:p w:rsidR="0048584E" w:rsidRDefault="008A41C7" w:rsidP="00E752C5">
      <w:pPr>
        <w:numPr>
          <w:ilvl w:val="12"/>
          <w:numId w:val="0"/>
        </w:numPr>
        <w:spacing w:line="480" w:lineRule="auto"/>
        <w:rPr>
          <w:szCs w:val="24"/>
        </w:rPr>
      </w:pPr>
      <w:r>
        <w:rPr>
          <w:szCs w:val="24"/>
        </w:rPr>
        <w:tab/>
        <w:t>For the reasons set forth above, the Court should deny the City’s motion for summary judgment.</w:t>
      </w:r>
    </w:p>
    <w:p w:rsidR="002B3BE2" w:rsidRPr="00813A30" w:rsidRDefault="002B3BE2" w:rsidP="00E752C5">
      <w:pPr>
        <w:numPr>
          <w:ilvl w:val="12"/>
          <w:numId w:val="0"/>
        </w:numPr>
        <w:spacing w:line="480" w:lineRule="auto"/>
        <w:rPr>
          <w:szCs w:val="24"/>
        </w:rPr>
      </w:pPr>
    </w:p>
    <w:p w:rsidR="006F65FA" w:rsidRPr="00813A30" w:rsidRDefault="00C77F9E" w:rsidP="00CF6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13A30">
        <w:rPr>
          <w:szCs w:val="24"/>
        </w:rPr>
        <w:t xml:space="preserve">Dated: </w:t>
      </w:r>
      <w:r w:rsidR="00EC0CA7">
        <w:rPr>
          <w:szCs w:val="24"/>
        </w:rPr>
        <w:t>June 23</w:t>
      </w:r>
      <w:r w:rsidR="00D71EED">
        <w:rPr>
          <w:szCs w:val="24"/>
        </w:rPr>
        <w:t>,</w:t>
      </w:r>
      <w:r w:rsidR="008A41C7">
        <w:rPr>
          <w:szCs w:val="24"/>
        </w:rPr>
        <w:t xml:space="preserve"> 2015</w:t>
      </w:r>
    </w:p>
    <w:p w:rsidR="002B3BE2" w:rsidRDefault="002B3BE2" w:rsidP="00CF6AEF">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ind w:left="5040"/>
        <w:rPr>
          <w:color w:val="000000"/>
        </w:rPr>
      </w:pPr>
    </w:p>
    <w:p w:rsidR="002B3BE2" w:rsidRDefault="002B3BE2" w:rsidP="00CF6AEF">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ind w:left="5040"/>
        <w:rPr>
          <w:color w:val="000000"/>
        </w:rPr>
      </w:pPr>
    </w:p>
    <w:p w:rsidR="00A35207" w:rsidRPr="00813A30" w:rsidRDefault="00A35207" w:rsidP="00CF6AEF">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ind w:left="5040"/>
        <w:rPr>
          <w:color w:val="000000"/>
        </w:rPr>
      </w:pPr>
      <w:r w:rsidRPr="00813A30">
        <w:rPr>
          <w:color w:val="000000"/>
        </w:rPr>
        <w:t>PREET BHARARA</w:t>
      </w:r>
    </w:p>
    <w:p w:rsidR="00A35207" w:rsidRPr="00813A30" w:rsidRDefault="00A35207" w:rsidP="009E0F0F">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ind w:firstLine="5040"/>
        <w:rPr>
          <w:color w:val="000000"/>
        </w:rPr>
      </w:pPr>
      <w:r w:rsidRPr="00813A30">
        <w:rPr>
          <w:color w:val="000000"/>
        </w:rPr>
        <w:t>United States Attorney for the</w:t>
      </w:r>
    </w:p>
    <w:p w:rsidR="00A35207" w:rsidRPr="00813A30" w:rsidRDefault="00A35207" w:rsidP="009E0F0F">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ind w:firstLine="5040"/>
        <w:rPr>
          <w:color w:val="000000"/>
        </w:rPr>
      </w:pPr>
      <w:r w:rsidRPr="00813A30">
        <w:rPr>
          <w:color w:val="000000"/>
        </w:rPr>
        <w:t>Southern District of New York</w:t>
      </w:r>
    </w:p>
    <w:p w:rsidR="00A35207" w:rsidRPr="00813A30" w:rsidRDefault="00CF74D9" w:rsidP="009E0F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813A30">
        <w:rPr>
          <w:color w:val="000000"/>
        </w:rPr>
        <w:tab/>
      </w:r>
      <w:r w:rsidR="00A35207" w:rsidRPr="00813A30">
        <w:rPr>
          <w:color w:val="000000"/>
        </w:rPr>
        <w:tab/>
      </w:r>
      <w:r w:rsidR="00A35207" w:rsidRPr="00813A30">
        <w:rPr>
          <w:color w:val="000000"/>
        </w:rPr>
        <w:tab/>
      </w:r>
      <w:r w:rsidR="00A35207" w:rsidRPr="00813A30">
        <w:rPr>
          <w:color w:val="000000"/>
        </w:rPr>
        <w:tab/>
      </w:r>
      <w:r w:rsidR="00A35207" w:rsidRPr="00813A30">
        <w:rPr>
          <w:color w:val="000000"/>
        </w:rPr>
        <w:tab/>
      </w:r>
      <w:r w:rsidR="00A35207" w:rsidRPr="00813A30">
        <w:rPr>
          <w:color w:val="000000"/>
        </w:rPr>
        <w:tab/>
      </w:r>
      <w:r w:rsidR="00A35207" w:rsidRPr="00813A30">
        <w:rPr>
          <w:color w:val="000000"/>
        </w:rPr>
        <w:tab/>
        <w:t xml:space="preserve">Attorney for </w:t>
      </w:r>
      <w:r w:rsidR="00E50D76" w:rsidRPr="00813A30">
        <w:rPr>
          <w:color w:val="000000"/>
        </w:rPr>
        <w:t>the United States</w:t>
      </w:r>
    </w:p>
    <w:p w:rsidR="00FF4DD0" w:rsidRPr="00813A30" w:rsidRDefault="00FF4DD0" w:rsidP="009E0F0F">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ind w:firstLine="720"/>
        <w:rPr>
          <w:color w:val="000000"/>
        </w:rPr>
      </w:pPr>
    </w:p>
    <w:p w:rsidR="00A35207" w:rsidRPr="008A41C7" w:rsidRDefault="00705D5F" w:rsidP="009E0F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813A30">
        <w:rPr>
          <w:color w:val="000000"/>
        </w:rPr>
        <w:tab/>
      </w:r>
      <w:r w:rsidRPr="00813A30">
        <w:rPr>
          <w:color w:val="000000"/>
        </w:rPr>
        <w:tab/>
      </w:r>
      <w:r w:rsidRPr="00813A30">
        <w:rPr>
          <w:color w:val="000000"/>
        </w:rPr>
        <w:tab/>
      </w:r>
      <w:r w:rsidRPr="00813A30">
        <w:rPr>
          <w:color w:val="000000"/>
        </w:rPr>
        <w:tab/>
      </w:r>
      <w:r w:rsidRPr="00813A30">
        <w:rPr>
          <w:color w:val="000000"/>
        </w:rPr>
        <w:tab/>
      </w:r>
      <w:r w:rsidRPr="00813A30">
        <w:rPr>
          <w:color w:val="000000"/>
        </w:rPr>
        <w:tab/>
      </w:r>
      <w:r w:rsidRPr="00813A30">
        <w:rPr>
          <w:color w:val="000000"/>
        </w:rPr>
        <w:tab/>
      </w:r>
      <w:r w:rsidR="008A41C7">
        <w:rPr>
          <w:color w:val="000000"/>
          <w:u w:val="single"/>
        </w:rPr>
        <w:t xml:space="preserve">  </w:t>
      </w:r>
      <w:r w:rsidR="008A41C7" w:rsidRPr="008A41C7">
        <w:rPr>
          <w:i/>
          <w:color w:val="000000"/>
          <w:u w:val="single"/>
        </w:rPr>
        <w:t>/s/ Jessica Jean Hu</w:t>
      </w:r>
      <w:r w:rsidR="008A41C7">
        <w:rPr>
          <w:color w:val="000000"/>
        </w:rPr>
        <w:t>_______</w:t>
      </w:r>
    </w:p>
    <w:p w:rsidR="00A35207" w:rsidRPr="00813A30" w:rsidRDefault="00A35207" w:rsidP="009E0F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color w:val="000000"/>
        </w:rPr>
      </w:pPr>
      <w:r w:rsidRPr="00813A30">
        <w:rPr>
          <w:color w:val="000000"/>
        </w:rPr>
        <w:t>By:</w:t>
      </w:r>
      <w:r w:rsidRPr="00813A30">
        <w:rPr>
          <w:color w:val="000000"/>
        </w:rPr>
        <w:tab/>
      </w:r>
      <w:r w:rsidR="008A41C7">
        <w:rPr>
          <w:color w:val="000000"/>
        </w:rPr>
        <w:t>JESSICA JEAN HU</w:t>
      </w:r>
    </w:p>
    <w:p w:rsidR="00A35207" w:rsidRPr="00813A30" w:rsidRDefault="00A35207" w:rsidP="009E0F0F">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ind w:firstLine="5040"/>
        <w:rPr>
          <w:color w:val="000000"/>
        </w:rPr>
      </w:pPr>
      <w:r w:rsidRPr="00813A30">
        <w:rPr>
          <w:color w:val="000000"/>
        </w:rPr>
        <w:t>Assistant United States Attorney</w:t>
      </w:r>
    </w:p>
    <w:p w:rsidR="00A35207" w:rsidRPr="00813A30" w:rsidRDefault="00A35207" w:rsidP="009E0F0F">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ind w:firstLine="5040"/>
        <w:rPr>
          <w:color w:val="000000"/>
        </w:rPr>
      </w:pPr>
      <w:r w:rsidRPr="00813A30">
        <w:rPr>
          <w:color w:val="000000"/>
        </w:rPr>
        <w:t>86 Chambers Street</w:t>
      </w:r>
    </w:p>
    <w:p w:rsidR="00A35207" w:rsidRPr="00813A30" w:rsidRDefault="00A35207" w:rsidP="009E0F0F">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ind w:firstLine="5040"/>
        <w:rPr>
          <w:color w:val="000000"/>
        </w:rPr>
      </w:pPr>
      <w:r w:rsidRPr="00813A30">
        <w:rPr>
          <w:color w:val="000000"/>
        </w:rPr>
        <w:t>New York, New York 10007</w:t>
      </w:r>
    </w:p>
    <w:p w:rsidR="00A35207" w:rsidRPr="00813A30" w:rsidRDefault="008A41C7" w:rsidP="009E0F0F">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ind w:firstLine="5040"/>
        <w:rPr>
          <w:color w:val="000000"/>
        </w:rPr>
      </w:pPr>
      <w:r>
        <w:rPr>
          <w:color w:val="000000"/>
        </w:rPr>
        <w:t>Tel.: (212) 637-2726</w:t>
      </w:r>
    </w:p>
    <w:p w:rsidR="00FD53A6" w:rsidRPr="00813A30" w:rsidRDefault="008A41C7" w:rsidP="009E0F0F">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ind w:firstLine="5040"/>
        <w:rPr>
          <w:rFonts w:eastAsia="Calibri"/>
          <w:szCs w:val="24"/>
        </w:rPr>
      </w:pPr>
      <w:r>
        <w:rPr>
          <w:color w:val="000000"/>
        </w:rPr>
        <w:t>Fax:  (212) 637-2717</w:t>
      </w:r>
    </w:p>
    <w:sectPr w:rsidR="00FD53A6" w:rsidRPr="00813A30" w:rsidSect="00D60747">
      <w:footerReference w:type="defaul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DE3" w:rsidRDefault="00385DE3" w:rsidP="00A77D7D">
      <w:r>
        <w:separator/>
      </w:r>
    </w:p>
  </w:endnote>
  <w:endnote w:type="continuationSeparator" w:id="0">
    <w:p w:rsidR="00385DE3" w:rsidRDefault="00385DE3" w:rsidP="00A77D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E3" w:rsidRDefault="00A45967">
    <w:pPr>
      <w:pStyle w:val="Footer"/>
      <w:jc w:val="center"/>
    </w:pPr>
    <w:r>
      <w:fldChar w:fldCharType="begin"/>
    </w:r>
    <w:r w:rsidR="00385DE3">
      <w:instrText xml:space="preserve"> PAGE   \* MERGEFORMAT </w:instrText>
    </w:r>
    <w:r>
      <w:fldChar w:fldCharType="separate"/>
    </w:r>
    <w:r w:rsidR="00952A54">
      <w:rPr>
        <w:noProof/>
      </w:rPr>
      <w:t>11</w:t>
    </w:r>
    <w:r>
      <w:rPr>
        <w:noProof/>
      </w:rPr>
      <w:fldChar w:fldCharType="end"/>
    </w:r>
  </w:p>
  <w:p w:rsidR="00385DE3" w:rsidRDefault="00385D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E3" w:rsidRDefault="00385D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DE3" w:rsidRDefault="00385DE3" w:rsidP="00A77D7D">
      <w:r>
        <w:separator/>
      </w:r>
    </w:p>
  </w:footnote>
  <w:footnote w:type="continuationSeparator" w:id="0">
    <w:p w:rsidR="00385DE3" w:rsidRDefault="00385DE3" w:rsidP="00A77D7D">
      <w:r>
        <w:continuationSeparator/>
      </w:r>
    </w:p>
  </w:footnote>
  <w:footnote w:id="1">
    <w:p w:rsidR="00385DE3" w:rsidRPr="006518F9" w:rsidRDefault="00385DE3" w:rsidP="004902B6">
      <w:pPr>
        <w:pStyle w:val="FootnoteText"/>
        <w:ind w:firstLine="0"/>
        <w:rPr>
          <w:rFonts w:ascii="Times New Roman" w:hAnsi="Times New Roman"/>
          <w:szCs w:val="24"/>
        </w:rPr>
      </w:pPr>
      <w:r w:rsidRPr="004902B6">
        <w:rPr>
          <w:rStyle w:val="FootnoteReference"/>
          <w:rFonts w:ascii="Times New Roman" w:hAnsi="Times New Roman"/>
          <w:sz w:val="22"/>
          <w:szCs w:val="22"/>
        </w:rPr>
        <w:footnoteRef/>
      </w:r>
      <w:r w:rsidRPr="004902B6">
        <w:rPr>
          <w:rFonts w:ascii="Times New Roman" w:hAnsi="Times New Roman"/>
          <w:sz w:val="22"/>
          <w:szCs w:val="22"/>
        </w:rPr>
        <w:t xml:space="preserve"> </w:t>
      </w:r>
      <w:r w:rsidRPr="004902B6">
        <w:rPr>
          <w:rFonts w:ascii="Times New Roman" w:hAnsi="Times New Roman"/>
          <w:sz w:val="22"/>
          <w:szCs w:val="22"/>
        </w:rPr>
        <w:tab/>
      </w:r>
      <w:r w:rsidRPr="006518F9">
        <w:rPr>
          <w:rFonts w:ascii="Times New Roman" w:hAnsi="Times New Roman"/>
          <w:szCs w:val="24"/>
        </w:rPr>
        <w:t>28 U.S.C. § 517</w:t>
      </w:r>
      <w:r w:rsidR="00A45967" w:rsidRPr="006518F9">
        <w:rPr>
          <w:rFonts w:ascii="Times New Roman" w:hAnsi="Times New Roman"/>
          <w:szCs w:val="24"/>
        </w:rPr>
        <w:fldChar w:fldCharType="begin"/>
      </w:r>
      <w:r w:rsidRPr="006518F9">
        <w:rPr>
          <w:rFonts w:ascii="Times New Roman" w:hAnsi="Times New Roman"/>
          <w:szCs w:val="24"/>
        </w:rPr>
        <w:instrText xml:space="preserve"> TA \s "28 U.S.C. § 517" </w:instrText>
      </w:r>
      <w:r w:rsidR="00A45967" w:rsidRPr="006518F9">
        <w:rPr>
          <w:rFonts w:ascii="Times New Roman" w:hAnsi="Times New Roman"/>
          <w:szCs w:val="24"/>
        </w:rPr>
        <w:fldChar w:fldCharType="end"/>
      </w:r>
      <w:r w:rsidRPr="006518F9">
        <w:rPr>
          <w:rFonts w:ascii="Times New Roman" w:hAnsi="Times New Roman"/>
          <w:szCs w:val="24"/>
        </w:rPr>
        <w:t xml:space="preserve"> states that “[t]he Solicitor General, or any officer of the Department of Justice, may be sent by the Attorney General to any State or district in the United States to attend to the interests of the United States in a suit pending in a court of the United States, or in a court of a State, or to attend to any other interest of the United States.”</w:t>
      </w:r>
    </w:p>
    <w:p w:rsidR="00D674CB" w:rsidRPr="006518F9" w:rsidRDefault="00D674CB" w:rsidP="004902B6">
      <w:pPr>
        <w:pStyle w:val="FootnoteText"/>
        <w:ind w:firstLine="0"/>
        <w:rPr>
          <w:rFonts w:ascii="Times New Roman" w:hAnsi="Times New Roman"/>
          <w:szCs w:val="24"/>
        </w:rPr>
      </w:pPr>
    </w:p>
    <w:p w:rsidR="00D674CB" w:rsidRPr="00815659" w:rsidRDefault="00D674CB" w:rsidP="00815659">
      <w:pPr>
        <w:pStyle w:val="FootnoteText"/>
        <w:rPr>
          <w:rFonts w:ascii="Times New Roman" w:hAnsi="Times New Roman"/>
        </w:rPr>
      </w:pPr>
      <w:r w:rsidRPr="00815659">
        <w:rPr>
          <w:rFonts w:ascii="Times New Roman" w:hAnsi="Times New Roman"/>
        </w:rPr>
        <w:t xml:space="preserve">The United States has a distinct interest in ensuring that the proper legal standards are applied in cases brought pursuant to the ADA and Section 504 and frequently files Statements of Interest in the district court concerning the applicability and interpretation of these federal statutes.  </w:t>
      </w:r>
      <w:r w:rsidRPr="00815659">
        <w:rPr>
          <w:rFonts w:ascii="Times New Roman" w:hAnsi="Times New Roman"/>
          <w:i/>
        </w:rPr>
        <w:t>See, e.g.</w:t>
      </w:r>
      <w:r w:rsidR="006518F9" w:rsidRPr="00815659">
        <w:rPr>
          <w:rFonts w:ascii="Times New Roman" w:hAnsi="Times New Roman"/>
          <w:i/>
        </w:rPr>
        <w:t>,</w:t>
      </w:r>
      <w:r w:rsidRPr="00815659">
        <w:rPr>
          <w:rFonts w:ascii="Times New Roman" w:hAnsi="Times New Roman"/>
          <w:i/>
        </w:rPr>
        <w:t xml:space="preserve"> Brooklyn Center for Independence of Disabled v. Bloomberg</w:t>
      </w:r>
      <w:r w:rsidRPr="00815659">
        <w:rPr>
          <w:rFonts w:ascii="Times New Roman" w:hAnsi="Times New Roman"/>
        </w:rPr>
        <w:t xml:space="preserve">, 980 F. Supp. 2d 588, 641 n. 9 (S.D.N.Y. 2013) (noting statement of </w:t>
      </w:r>
      <w:r w:rsidR="006518F9" w:rsidRPr="00815659">
        <w:rPr>
          <w:rFonts w:ascii="Times New Roman" w:hAnsi="Times New Roman"/>
        </w:rPr>
        <w:t>interested filed in ADA and Sec</w:t>
      </w:r>
      <w:r w:rsidRPr="00815659">
        <w:rPr>
          <w:rFonts w:ascii="Times New Roman" w:hAnsi="Times New Roman"/>
        </w:rPr>
        <w:t>t</w:t>
      </w:r>
      <w:r w:rsidR="006518F9" w:rsidRPr="00815659">
        <w:rPr>
          <w:rFonts w:ascii="Times New Roman" w:hAnsi="Times New Roman"/>
        </w:rPr>
        <w:t>i</w:t>
      </w:r>
      <w:r w:rsidRPr="00815659">
        <w:rPr>
          <w:rFonts w:ascii="Times New Roman" w:hAnsi="Times New Roman"/>
        </w:rPr>
        <w:t xml:space="preserve">on 504 challenge to NYC emergency planning procedures); </w:t>
      </w:r>
      <w:r w:rsidRPr="00815659">
        <w:rPr>
          <w:rFonts w:ascii="Times New Roman" w:hAnsi="Times New Roman"/>
          <w:i/>
        </w:rPr>
        <w:t xml:space="preserve">Noel v. N.Y. City Taxi and Limousine </w:t>
      </w:r>
      <w:proofErr w:type="spellStart"/>
      <w:r w:rsidRPr="00815659">
        <w:rPr>
          <w:rFonts w:ascii="Times New Roman" w:hAnsi="Times New Roman"/>
          <w:i/>
        </w:rPr>
        <w:t>Comm’n</w:t>
      </w:r>
      <w:proofErr w:type="spellEnd"/>
      <w:r w:rsidRPr="00815659">
        <w:rPr>
          <w:rFonts w:ascii="Times New Roman" w:hAnsi="Times New Roman"/>
        </w:rPr>
        <w:t xml:space="preserve">, 837 F. Supp. 2d 268 (2011) (noting statement of interest filed in ADA and Section 504 challenge to lack of wheelchair accessible taxi cabs), </w:t>
      </w:r>
      <w:proofErr w:type="spellStart"/>
      <w:r w:rsidRPr="00815659">
        <w:rPr>
          <w:rFonts w:ascii="Times New Roman" w:hAnsi="Times New Roman"/>
          <w:i/>
        </w:rPr>
        <w:t>rev’d</w:t>
      </w:r>
      <w:proofErr w:type="spellEnd"/>
      <w:r w:rsidRPr="00815659">
        <w:rPr>
          <w:rFonts w:ascii="Times New Roman" w:hAnsi="Times New Roman"/>
        </w:rPr>
        <w:t>, 687 F.3d 63 (2d Cir. 2012).</w:t>
      </w:r>
    </w:p>
    <w:p w:rsidR="00D674CB" w:rsidRPr="006518F9" w:rsidRDefault="00D674CB" w:rsidP="004902B6">
      <w:pPr>
        <w:pStyle w:val="FootnoteText"/>
        <w:ind w:firstLine="0"/>
        <w:rPr>
          <w:rFonts w:ascii="Times New Roman" w:hAnsi="Times New Roman"/>
          <w:szCs w:val="24"/>
        </w:rPr>
      </w:pPr>
    </w:p>
  </w:footnote>
  <w:footnote w:id="2">
    <w:p w:rsidR="00385DE3" w:rsidRDefault="00385DE3">
      <w:pPr>
        <w:pStyle w:val="FootnoteText"/>
        <w:rPr>
          <w:rFonts w:ascii="Times New Roman" w:hAnsi="Times New Roman"/>
        </w:rPr>
      </w:pPr>
      <w:r w:rsidRPr="000008E9">
        <w:rPr>
          <w:rStyle w:val="FootnoteReference"/>
          <w:rFonts w:ascii="Times New Roman" w:hAnsi="Times New Roman"/>
        </w:rPr>
        <w:footnoteRef/>
      </w:r>
      <w:r w:rsidRPr="000008E9">
        <w:rPr>
          <w:rFonts w:ascii="Times New Roman" w:hAnsi="Times New Roman"/>
        </w:rPr>
        <w:t xml:space="preserve"> </w:t>
      </w:r>
      <w:r>
        <w:rPr>
          <w:rFonts w:ascii="Times New Roman" w:hAnsi="Times New Roman"/>
        </w:rPr>
        <w:t xml:space="preserve"> Although Plaintiff asserts causes of action pursuant to the ADA, </w:t>
      </w:r>
      <w:r w:rsidR="000C6B6F">
        <w:rPr>
          <w:rFonts w:ascii="Times New Roman" w:hAnsi="Times New Roman"/>
        </w:rPr>
        <w:t>Section 504</w:t>
      </w:r>
      <w:r>
        <w:rPr>
          <w:rFonts w:ascii="Times New Roman" w:hAnsi="Times New Roman"/>
        </w:rPr>
        <w:t xml:space="preserve">, and the NYCHRL, in all ways relevant to this discussion, the ADA and Section 504 are generally construed to impose the same or similar requirements.  </w:t>
      </w:r>
      <w:r>
        <w:rPr>
          <w:rFonts w:ascii="Times New Roman" w:hAnsi="Times New Roman"/>
          <w:i/>
        </w:rPr>
        <w:t>See Castellano v. City of N.Y.</w:t>
      </w:r>
      <w:r>
        <w:rPr>
          <w:rFonts w:ascii="Times New Roman" w:hAnsi="Times New Roman"/>
        </w:rPr>
        <w:t>, 142 F.3d 58, 70 (2d Cir. 1998)</w:t>
      </w:r>
      <w:r w:rsidR="00A45967">
        <w:rPr>
          <w:rFonts w:ascii="Times New Roman" w:hAnsi="Times New Roman"/>
        </w:rPr>
        <w:fldChar w:fldCharType="begin"/>
      </w:r>
      <w:r>
        <w:instrText xml:space="preserve"> TA \l "</w:instrText>
      </w:r>
      <w:r w:rsidRPr="004D5872">
        <w:rPr>
          <w:rFonts w:ascii="Times New Roman" w:hAnsi="Times New Roman"/>
          <w:i/>
        </w:rPr>
        <w:instrText>Castellano v. City of N.Y.</w:instrText>
      </w:r>
      <w:r>
        <w:rPr>
          <w:rFonts w:ascii="Times New Roman" w:hAnsi="Times New Roman"/>
        </w:rPr>
        <w:instrText>, 142 F.3d 58</w:instrText>
      </w:r>
      <w:r w:rsidRPr="004D5872">
        <w:rPr>
          <w:rFonts w:ascii="Times New Roman" w:hAnsi="Times New Roman"/>
        </w:rPr>
        <w:instrText xml:space="preserve"> (2d Cir. 1998)</w:instrText>
      </w:r>
      <w:r>
        <w:instrText xml:space="preserve">" \s "Castellano v. City of N.Y., 142 F.3d 58, 70 (2d Cir. 1998)" \c 1 </w:instrText>
      </w:r>
      <w:r w:rsidR="00A45967">
        <w:rPr>
          <w:rFonts w:ascii="Times New Roman" w:hAnsi="Times New Roman"/>
        </w:rPr>
        <w:fldChar w:fldCharType="end"/>
      </w:r>
      <w:r>
        <w:rPr>
          <w:rFonts w:ascii="Times New Roman" w:hAnsi="Times New Roman"/>
        </w:rPr>
        <w:t xml:space="preserve"> (citing </w:t>
      </w:r>
      <w:r>
        <w:rPr>
          <w:rFonts w:ascii="Times New Roman" w:hAnsi="Times New Roman"/>
          <w:i/>
        </w:rPr>
        <w:t>Lyons v. Legal Aid Soc’y</w:t>
      </w:r>
      <w:r>
        <w:rPr>
          <w:rFonts w:ascii="Times New Roman" w:hAnsi="Times New Roman"/>
        </w:rPr>
        <w:t>, 68 F.3d 1512, 1515 (2d Cir. 1995)</w:t>
      </w:r>
      <w:r w:rsidR="00A45967">
        <w:rPr>
          <w:rFonts w:ascii="Times New Roman" w:hAnsi="Times New Roman"/>
        </w:rPr>
        <w:fldChar w:fldCharType="begin"/>
      </w:r>
      <w:r>
        <w:instrText xml:space="preserve"> TA \l "</w:instrText>
      </w:r>
      <w:r w:rsidRPr="00107EAE">
        <w:rPr>
          <w:rFonts w:ascii="Times New Roman" w:hAnsi="Times New Roman"/>
          <w:i/>
        </w:rPr>
        <w:instrText>Lyons v. Legal Aid Soc’y</w:instrText>
      </w:r>
      <w:r>
        <w:rPr>
          <w:rFonts w:ascii="Times New Roman" w:hAnsi="Times New Roman"/>
        </w:rPr>
        <w:instrText>, 68 F.3d 1512</w:instrText>
      </w:r>
      <w:r w:rsidRPr="00107EAE">
        <w:rPr>
          <w:rFonts w:ascii="Times New Roman" w:hAnsi="Times New Roman"/>
        </w:rPr>
        <w:instrText xml:space="preserve"> (2d Cir. 1995)</w:instrText>
      </w:r>
      <w:r>
        <w:instrText xml:space="preserve">" \s "Lyons v. Legal Aid Soc’y, 68 F.3d 1512, 1515 (2d Cir. 1995)" \c 1 </w:instrText>
      </w:r>
      <w:r w:rsidR="00A45967">
        <w:rPr>
          <w:rFonts w:ascii="Times New Roman" w:hAnsi="Times New Roman"/>
        </w:rPr>
        <w:fldChar w:fldCharType="end"/>
      </w:r>
      <w:r>
        <w:rPr>
          <w:rFonts w:ascii="Times New Roman" w:hAnsi="Times New Roman"/>
        </w:rPr>
        <w:t>); 29 U.S.C. § 794(d)</w:t>
      </w:r>
      <w:r w:rsidR="00A45967">
        <w:rPr>
          <w:rFonts w:ascii="Times New Roman" w:hAnsi="Times New Roman"/>
        </w:rPr>
        <w:fldChar w:fldCharType="begin"/>
      </w:r>
      <w:r>
        <w:instrText xml:space="preserve"> TA \s "29 U.S.C. § 794, et seq." </w:instrText>
      </w:r>
      <w:r w:rsidR="00A45967">
        <w:rPr>
          <w:rFonts w:ascii="Times New Roman" w:hAnsi="Times New Roman"/>
        </w:rPr>
        <w:fldChar w:fldCharType="end"/>
      </w:r>
      <w:r>
        <w:rPr>
          <w:rFonts w:ascii="Times New Roman" w:hAnsi="Times New Roman"/>
        </w:rPr>
        <w:t xml:space="preserve"> (“The standards used to determine whether this section has been violated in a complaint alleging employment discrimination under this section shall be the standards applied under title I of the Americans with Disabilities Act of 1990</w:t>
      </w:r>
      <w:r w:rsidR="0046415A">
        <w:rPr>
          <w:rFonts w:ascii="Times New Roman" w:hAnsi="Times New Roman"/>
        </w:rPr>
        <w:t xml:space="preserve">. . . .”)  </w:t>
      </w:r>
      <w:r>
        <w:rPr>
          <w:rFonts w:ascii="Times New Roman" w:hAnsi="Times New Roman"/>
        </w:rPr>
        <w:t>Therefore, in light of the foregoing, this Statement of Interest will not separately discuss the City’s compliance or lack thereof with Section 504, but will solely address Title I and its implementing regulations.</w:t>
      </w:r>
      <w:r w:rsidR="00C67F06">
        <w:rPr>
          <w:rFonts w:ascii="Times New Roman" w:hAnsi="Times New Roman"/>
        </w:rPr>
        <w:t xml:space="preserve">  This Statement of Interest declines to take any position wi</w:t>
      </w:r>
      <w:r w:rsidR="000C6B6F">
        <w:rPr>
          <w:rFonts w:ascii="Times New Roman" w:hAnsi="Times New Roman"/>
        </w:rPr>
        <w:t xml:space="preserve">th respect to Plaintiff’s NYCHRL </w:t>
      </w:r>
      <w:r w:rsidR="00C67F06">
        <w:rPr>
          <w:rFonts w:ascii="Times New Roman" w:hAnsi="Times New Roman"/>
        </w:rPr>
        <w:t>claims.</w:t>
      </w:r>
    </w:p>
    <w:p w:rsidR="00385DE3" w:rsidRPr="000008E9" w:rsidRDefault="00385DE3">
      <w:pPr>
        <w:pStyle w:val="FootnoteText"/>
        <w:rPr>
          <w:rFonts w:ascii="Times New Roman" w:hAnsi="Times New Roman"/>
        </w:rPr>
      </w:pPr>
    </w:p>
  </w:footnote>
  <w:footnote w:id="3">
    <w:p w:rsidR="00C67F06" w:rsidRPr="00494C0E" w:rsidRDefault="00C67F06" w:rsidP="00C67F06">
      <w:pPr>
        <w:pStyle w:val="FootnoteText"/>
        <w:rPr>
          <w:rFonts w:ascii="Times New Roman" w:hAnsi="Times New Roman"/>
        </w:rPr>
      </w:pPr>
      <w:r w:rsidRPr="00494C0E">
        <w:rPr>
          <w:rStyle w:val="FootnoteReference"/>
          <w:rFonts w:ascii="Times New Roman" w:hAnsi="Times New Roman"/>
        </w:rPr>
        <w:footnoteRef/>
      </w:r>
      <w:r w:rsidRPr="00494C0E">
        <w:rPr>
          <w:rFonts w:ascii="Times New Roman" w:hAnsi="Times New Roman"/>
        </w:rPr>
        <w:t xml:space="preserve"> </w:t>
      </w:r>
      <w:r>
        <w:rPr>
          <w:rFonts w:ascii="Times New Roman" w:hAnsi="Times New Roman"/>
        </w:rPr>
        <w:t xml:space="preserve">Where the question of whether the plaintiff can perform an essential function of the position blends into the question of whether she presents a direct threat, courts are divided as to which party bears the burden of proof.  </w:t>
      </w:r>
      <w:r>
        <w:rPr>
          <w:rFonts w:ascii="Times New Roman" w:hAnsi="Times New Roman"/>
          <w:i/>
        </w:rPr>
        <w:t>See Nelson v. City of N.Y.</w:t>
      </w:r>
      <w:r>
        <w:rPr>
          <w:rFonts w:ascii="Times New Roman" w:hAnsi="Times New Roman"/>
        </w:rPr>
        <w:t>, No. 11 Civ. 2732</w:t>
      </w:r>
      <w:r w:rsidR="002703F9">
        <w:rPr>
          <w:rFonts w:ascii="Times New Roman" w:hAnsi="Times New Roman"/>
        </w:rPr>
        <w:t xml:space="preserve"> (JPO)</w:t>
      </w:r>
      <w:r>
        <w:rPr>
          <w:rFonts w:ascii="Times New Roman" w:hAnsi="Times New Roman"/>
        </w:rPr>
        <w:t>, 2013 WL 4437224, at *9 (S.D.N.Y. Aug. 19, 2014) (collecting cases).  The Second Circuit has not ruled directly on this question but has held that “[i]n the employment context, it is the defendant’s burden to establish that a plaintiff poses a “direct threat” of harm to others, and that determination requires an individualized assessment of the employee’s present ability b</w:t>
      </w:r>
      <w:r w:rsidR="00796203">
        <w:rPr>
          <w:rFonts w:ascii="Times New Roman" w:hAnsi="Times New Roman"/>
        </w:rPr>
        <w:t>a</w:t>
      </w:r>
      <w:r>
        <w:rPr>
          <w:rFonts w:ascii="Times New Roman" w:hAnsi="Times New Roman"/>
        </w:rPr>
        <w:t xml:space="preserve">sed on medical or other objective evidence,” </w:t>
      </w:r>
      <w:r w:rsidR="00A45967">
        <w:rPr>
          <w:rFonts w:ascii="Times New Roman" w:hAnsi="Times New Roman"/>
          <w:i/>
        </w:rPr>
        <w:fldChar w:fldCharType="begin"/>
      </w:r>
      <w:r w:rsidR="001B592D">
        <w:instrText xml:space="preserve"> TA \l "</w:instrText>
      </w:r>
      <w:r w:rsidR="001B592D" w:rsidRPr="003C7EDB">
        <w:rPr>
          <w:bCs/>
          <w:i/>
        </w:rPr>
        <w:instrText>Hargrave v. Vermont</w:instrText>
      </w:r>
      <w:r w:rsidR="001B592D" w:rsidRPr="003C7EDB">
        <w:rPr>
          <w:bCs/>
        </w:rPr>
        <w:instrText>, 340 F.3d 27 (2d Cir. 2003)</w:instrText>
      </w:r>
      <w:r w:rsidR="001B592D">
        <w:instrText xml:space="preserve">" \s "Hargrave v. Vermont, 340 F.3d 27, 35 (2d Cir. 2003)" \c 1 </w:instrText>
      </w:r>
      <w:r w:rsidR="00A45967">
        <w:rPr>
          <w:rFonts w:ascii="Times New Roman" w:hAnsi="Times New Roman"/>
          <w:i/>
        </w:rPr>
        <w:fldChar w:fldCharType="end"/>
      </w:r>
      <w:proofErr w:type="spellStart"/>
      <w:r>
        <w:rPr>
          <w:rFonts w:ascii="Times New Roman" w:hAnsi="Times New Roman"/>
          <w:i/>
        </w:rPr>
        <w:t>Hargrave</w:t>
      </w:r>
      <w:proofErr w:type="spellEnd"/>
      <w:r>
        <w:rPr>
          <w:rFonts w:ascii="Times New Roman" w:hAnsi="Times New Roman"/>
          <w:i/>
        </w:rPr>
        <w:t xml:space="preserve"> v. Vermont</w:t>
      </w:r>
      <w:r w:rsidR="002703F9">
        <w:rPr>
          <w:rFonts w:ascii="Times New Roman" w:hAnsi="Times New Roman"/>
        </w:rPr>
        <w:t xml:space="preserve">, 340 F.3d 27, 35 </w:t>
      </w:r>
      <w:r>
        <w:rPr>
          <w:rFonts w:ascii="Times New Roman" w:hAnsi="Times New Roman"/>
        </w:rPr>
        <w:t>(2d Cir. 2003) (internal quotations omitted).</w:t>
      </w:r>
    </w:p>
  </w:footnote>
  <w:footnote w:id="4">
    <w:p w:rsidR="00385DE3" w:rsidRDefault="00385DE3" w:rsidP="00C14628">
      <w:pPr>
        <w:pStyle w:val="ColorfulList-Accent11"/>
        <w:ind w:left="0" w:firstLine="720"/>
        <w:rPr>
          <w:bCs/>
        </w:rPr>
      </w:pPr>
      <w:r>
        <w:rPr>
          <w:rStyle w:val="FootnoteReference"/>
        </w:rPr>
        <w:footnoteRef/>
      </w:r>
      <w:r>
        <w:t xml:space="preserve"> </w:t>
      </w:r>
      <w:r>
        <w:rPr>
          <w:bCs/>
        </w:rPr>
        <w:t xml:space="preserve">The material disputes of fact </w:t>
      </w:r>
      <w:r w:rsidR="00B454B0">
        <w:rPr>
          <w:bCs/>
        </w:rPr>
        <w:t>regarding</w:t>
      </w:r>
      <w:r>
        <w:rPr>
          <w:bCs/>
        </w:rPr>
        <w:t xml:space="preserve"> </w:t>
      </w:r>
      <w:r w:rsidR="00363B51">
        <w:rPr>
          <w:bCs/>
        </w:rPr>
        <w:t>the City’s justification for its disqualification decision</w:t>
      </w:r>
      <w:r>
        <w:rPr>
          <w:bCs/>
        </w:rPr>
        <w:t xml:space="preserve">, even between the NYPD’s own physicians, are further highlighted by their diverging opinions as to whether an individual with a seizure disorder could ever be qualified as a police officer.  </w:t>
      </w:r>
      <w:r>
        <w:rPr>
          <w:bCs/>
          <w:i/>
        </w:rPr>
        <w:t xml:space="preserve">See </w:t>
      </w:r>
      <w:r>
        <w:rPr>
          <w:bCs/>
        </w:rPr>
        <w:t>Lichtenstein Depo. 40:23-41:14 (“Generally speaking, if a candidate’s last seizure was at least two years in the past and they had a New York State driver’s license and they were not on antiseizure medication, I would qualify that individual unless their medical records showed that by CAT scan or MRI they had a fixed intracranial abnormality, such as a scar or a b</w:t>
      </w:r>
      <w:r w:rsidR="006349E1">
        <w:rPr>
          <w:bCs/>
        </w:rPr>
        <w:t>rain tumor.”); Kleinman Depo. 42</w:t>
      </w:r>
      <w:r>
        <w:rPr>
          <w:bCs/>
        </w:rPr>
        <w:t xml:space="preserve">:18-44:20 (Q: “So after two years of being seizure free, that person would not be employable?”  A: “No.”).  </w:t>
      </w:r>
    </w:p>
    <w:p w:rsidR="00385DE3" w:rsidRDefault="00385DE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C5CE7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DC4F69E"/>
    <w:lvl w:ilvl="0">
      <w:start w:val="1"/>
      <w:numFmt w:val="decimal"/>
      <w:lvlText w:val="%1."/>
      <w:lvlJc w:val="left"/>
      <w:pPr>
        <w:tabs>
          <w:tab w:val="num" w:pos="1800"/>
        </w:tabs>
        <w:ind w:left="1800" w:hanging="360"/>
      </w:pPr>
    </w:lvl>
  </w:abstractNum>
  <w:abstractNum w:abstractNumId="2">
    <w:nsid w:val="FFFFFF7D"/>
    <w:multiLevelType w:val="singleLevel"/>
    <w:tmpl w:val="ECB8D57E"/>
    <w:lvl w:ilvl="0">
      <w:start w:val="1"/>
      <w:numFmt w:val="decimal"/>
      <w:lvlText w:val="%1."/>
      <w:lvlJc w:val="left"/>
      <w:pPr>
        <w:tabs>
          <w:tab w:val="num" w:pos="1440"/>
        </w:tabs>
        <w:ind w:left="1440" w:hanging="360"/>
      </w:pPr>
    </w:lvl>
  </w:abstractNum>
  <w:abstractNum w:abstractNumId="3">
    <w:nsid w:val="FFFFFF7E"/>
    <w:multiLevelType w:val="singleLevel"/>
    <w:tmpl w:val="52364F36"/>
    <w:lvl w:ilvl="0">
      <w:start w:val="1"/>
      <w:numFmt w:val="decimal"/>
      <w:lvlText w:val="%1."/>
      <w:lvlJc w:val="left"/>
      <w:pPr>
        <w:tabs>
          <w:tab w:val="num" w:pos="1080"/>
        </w:tabs>
        <w:ind w:left="1080" w:hanging="360"/>
      </w:pPr>
    </w:lvl>
  </w:abstractNum>
  <w:abstractNum w:abstractNumId="4">
    <w:nsid w:val="FFFFFF7F"/>
    <w:multiLevelType w:val="singleLevel"/>
    <w:tmpl w:val="EF58B4A2"/>
    <w:lvl w:ilvl="0">
      <w:start w:val="1"/>
      <w:numFmt w:val="decimal"/>
      <w:lvlText w:val="%1."/>
      <w:lvlJc w:val="left"/>
      <w:pPr>
        <w:tabs>
          <w:tab w:val="num" w:pos="720"/>
        </w:tabs>
        <w:ind w:left="720" w:hanging="360"/>
      </w:pPr>
    </w:lvl>
  </w:abstractNum>
  <w:abstractNum w:abstractNumId="5">
    <w:nsid w:val="FFFFFF80"/>
    <w:multiLevelType w:val="singleLevel"/>
    <w:tmpl w:val="F8E612C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AF8D9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B1EC2F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AE882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0D6DE3A"/>
    <w:lvl w:ilvl="0">
      <w:start w:val="1"/>
      <w:numFmt w:val="decimal"/>
      <w:lvlText w:val="%1."/>
      <w:lvlJc w:val="left"/>
      <w:pPr>
        <w:tabs>
          <w:tab w:val="num" w:pos="360"/>
        </w:tabs>
        <w:ind w:left="360" w:hanging="360"/>
      </w:pPr>
    </w:lvl>
  </w:abstractNum>
  <w:abstractNum w:abstractNumId="10">
    <w:nsid w:val="FFFFFF89"/>
    <w:multiLevelType w:val="singleLevel"/>
    <w:tmpl w:val="AF6E9328"/>
    <w:lvl w:ilvl="0">
      <w:start w:val="1"/>
      <w:numFmt w:val="bullet"/>
      <w:lvlText w:val=""/>
      <w:lvlJc w:val="left"/>
      <w:pPr>
        <w:tabs>
          <w:tab w:val="num" w:pos="360"/>
        </w:tabs>
        <w:ind w:left="360" w:hanging="360"/>
      </w:pPr>
      <w:rPr>
        <w:rFonts w:ascii="Symbol" w:hAnsi="Symbol" w:hint="default"/>
      </w:rPr>
    </w:lvl>
  </w:abstractNum>
  <w:abstractNum w:abstractNumId="11">
    <w:nsid w:val="0730638E"/>
    <w:multiLevelType w:val="hybridMultilevel"/>
    <w:tmpl w:val="07D0F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69522C"/>
    <w:multiLevelType w:val="hybridMultilevel"/>
    <w:tmpl w:val="CACEBD64"/>
    <w:lvl w:ilvl="0" w:tplc="50F2B38E">
      <w:start w:val="9"/>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DF75C1"/>
    <w:multiLevelType w:val="hybridMultilevel"/>
    <w:tmpl w:val="95705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676AF9"/>
    <w:multiLevelType w:val="hybridMultilevel"/>
    <w:tmpl w:val="AE78B3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7550BB"/>
    <w:multiLevelType w:val="hybridMultilevel"/>
    <w:tmpl w:val="AC5E37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FA5104"/>
    <w:multiLevelType w:val="hybridMultilevel"/>
    <w:tmpl w:val="187EE4D0"/>
    <w:lvl w:ilvl="0" w:tplc="1376E6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98564C"/>
    <w:multiLevelType w:val="hybridMultilevel"/>
    <w:tmpl w:val="C212E698"/>
    <w:lvl w:ilvl="0" w:tplc="3AEE227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21878"/>
    <w:multiLevelType w:val="hybridMultilevel"/>
    <w:tmpl w:val="EC9EF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A2981"/>
    <w:multiLevelType w:val="hybridMultilevel"/>
    <w:tmpl w:val="E942500C"/>
    <w:lvl w:ilvl="0" w:tplc="7E5ADB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977BE4"/>
    <w:multiLevelType w:val="hybridMultilevel"/>
    <w:tmpl w:val="1C52F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F97DD7"/>
    <w:multiLevelType w:val="hybridMultilevel"/>
    <w:tmpl w:val="D70EE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455281"/>
    <w:multiLevelType w:val="hybridMultilevel"/>
    <w:tmpl w:val="3084B3A2"/>
    <w:lvl w:ilvl="0" w:tplc="B3B0DA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5B188D"/>
    <w:multiLevelType w:val="hybridMultilevel"/>
    <w:tmpl w:val="C16E181A"/>
    <w:lvl w:ilvl="0" w:tplc="FFA86C5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F03D5F"/>
    <w:multiLevelType w:val="hybridMultilevel"/>
    <w:tmpl w:val="4E94E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2B0ADA"/>
    <w:multiLevelType w:val="hybridMultilevel"/>
    <w:tmpl w:val="F5C29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0766D0"/>
    <w:multiLevelType w:val="hybridMultilevel"/>
    <w:tmpl w:val="E87A25E8"/>
    <w:lvl w:ilvl="0" w:tplc="BC685554">
      <w:start w:val="1"/>
      <w:numFmt w:val="decimal"/>
      <w:lvlText w:val="%1."/>
      <w:lvlJc w:val="left"/>
      <w:pPr>
        <w:ind w:left="450" w:hanging="360"/>
      </w:pPr>
      <w:rPr>
        <w:b w:val="0"/>
        <w:sz w:val="24"/>
        <w:szCs w:val="24"/>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99E08B4"/>
    <w:multiLevelType w:val="hybridMultilevel"/>
    <w:tmpl w:val="B06A6F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A14202"/>
    <w:multiLevelType w:val="hybridMultilevel"/>
    <w:tmpl w:val="91FCEE2E"/>
    <w:lvl w:ilvl="0" w:tplc="96943110">
      <w:start w:val="1"/>
      <w:numFmt w:val="upperRoman"/>
      <w:lvlText w:val="%1."/>
      <w:lvlJc w:val="left"/>
      <w:pPr>
        <w:ind w:left="720" w:hanging="360"/>
      </w:pPr>
      <w:rPr>
        <w:rFonts w:ascii="Times New Roman" w:hAnsi="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33BD5"/>
    <w:multiLevelType w:val="hybridMultilevel"/>
    <w:tmpl w:val="27FC40D0"/>
    <w:lvl w:ilvl="0" w:tplc="8A94BB4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D21AE7"/>
    <w:multiLevelType w:val="hybridMultilevel"/>
    <w:tmpl w:val="284C3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1A05FB"/>
    <w:multiLevelType w:val="hybridMultilevel"/>
    <w:tmpl w:val="4A147348"/>
    <w:lvl w:ilvl="0" w:tplc="82BC0DE6">
      <w:start w:val="1"/>
      <w:numFmt w:val="upperRoman"/>
      <w:lvlText w:val="%1."/>
      <w:lvlJc w:val="left"/>
      <w:pPr>
        <w:ind w:left="720" w:hanging="360"/>
      </w:pPr>
      <w:rPr>
        <w:rFonts w:ascii="Times New Roman" w:hAnsi="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C273E0"/>
    <w:multiLevelType w:val="hybridMultilevel"/>
    <w:tmpl w:val="C7C09CB6"/>
    <w:lvl w:ilvl="0" w:tplc="31A0103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493DDF"/>
    <w:multiLevelType w:val="hybridMultilevel"/>
    <w:tmpl w:val="B1B0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39167A"/>
    <w:multiLevelType w:val="hybridMultilevel"/>
    <w:tmpl w:val="0E02E840"/>
    <w:lvl w:ilvl="0" w:tplc="292CC9E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7F40E5"/>
    <w:multiLevelType w:val="hybridMultilevel"/>
    <w:tmpl w:val="B3ECF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FC3ED1"/>
    <w:multiLevelType w:val="hybridMultilevel"/>
    <w:tmpl w:val="A790D9EE"/>
    <w:lvl w:ilvl="0" w:tplc="AD9E3CA2">
      <w:start w:val="2"/>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8A57EF"/>
    <w:multiLevelType w:val="hybridMultilevel"/>
    <w:tmpl w:val="3CA02708"/>
    <w:lvl w:ilvl="0" w:tplc="82FA5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3CA5546"/>
    <w:multiLevelType w:val="hybridMultilevel"/>
    <w:tmpl w:val="1D20CA9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511EC2"/>
    <w:multiLevelType w:val="hybridMultilevel"/>
    <w:tmpl w:val="A1C6D30E"/>
    <w:lvl w:ilvl="0" w:tplc="1DEEBC8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37"/>
  </w:num>
  <w:num w:numId="4">
    <w:abstractNumId w:val="19"/>
  </w:num>
  <w:num w:numId="5">
    <w:abstractNumId w:val="33"/>
  </w:num>
  <w:num w:numId="6">
    <w:abstractNumId w:val="30"/>
  </w:num>
  <w:num w:numId="7">
    <w:abstractNumId w:val="21"/>
  </w:num>
  <w:num w:numId="8">
    <w:abstractNumId w:val="24"/>
  </w:num>
  <w:num w:numId="9">
    <w:abstractNumId w:val="16"/>
  </w:num>
  <w:num w:numId="10">
    <w:abstractNumId w:val="22"/>
  </w:num>
  <w:num w:numId="11">
    <w:abstractNumId w:val="39"/>
  </w:num>
  <w:num w:numId="12">
    <w:abstractNumId w:val="13"/>
  </w:num>
  <w:num w:numId="13">
    <w:abstractNumId w:val="27"/>
  </w:num>
  <w:num w:numId="14">
    <w:abstractNumId w:val="18"/>
  </w:num>
  <w:num w:numId="15">
    <w:abstractNumId w:val="25"/>
  </w:num>
  <w:num w:numId="16">
    <w:abstractNumId w:val="23"/>
  </w:num>
  <w:num w:numId="17">
    <w:abstractNumId w:val="32"/>
  </w:num>
  <w:num w:numId="18">
    <w:abstractNumId w:val="0"/>
  </w:num>
  <w:num w:numId="19">
    <w:abstractNumId w:val="38"/>
  </w:num>
  <w:num w:numId="20">
    <w:abstractNumId w:val="34"/>
  </w:num>
  <w:num w:numId="21">
    <w:abstractNumId w:val="20"/>
  </w:num>
  <w:num w:numId="22">
    <w:abstractNumId w:val="35"/>
  </w:num>
  <w:num w:numId="23">
    <w:abstractNumId w:val="11"/>
  </w:num>
  <w:num w:numId="24">
    <w:abstractNumId w:val="15"/>
  </w:num>
  <w:num w:numId="25">
    <w:abstractNumId w:val="14"/>
  </w:num>
  <w:num w:numId="26">
    <w:abstractNumId w:val="12"/>
  </w:num>
  <w:num w:numId="27">
    <w:abstractNumId w:val="36"/>
  </w:num>
  <w:num w:numId="28">
    <w:abstractNumId w:val="31"/>
  </w:num>
  <w:num w:numId="29">
    <w:abstractNumId w:val="28"/>
  </w:num>
  <w:num w:numId="30">
    <w:abstractNumId w:val="28"/>
    <w:lvlOverride w:ilvl="0">
      <w:startOverride w:val="1"/>
    </w:lvlOverride>
  </w:num>
  <w:num w:numId="31">
    <w:abstractNumId w:val="28"/>
    <w:lvlOverride w:ilvl="0">
      <w:startOverride w:val="1"/>
    </w:lvlOverride>
  </w:num>
  <w:num w:numId="32">
    <w:abstractNumId w:val="29"/>
  </w:num>
  <w:num w:numId="33">
    <w:abstractNumId w:val="28"/>
    <w:lvlOverride w:ilvl="0">
      <w:startOverride w:val="1"/>
    </w:lvlOverride>
  </w:num>
  <w:num w:numId="34">
    <w:abstractNumId w:val="10"/>
  </w:num>
  <w:num w:numId="35">
    <w:abstractNumId w:val="8"/>
  </w:num>
  <w:num w:numId="36">
    <w:abstractNumId w:val="7"/>
  </w:num>
  <w:num w:numId="37">
    <w:abstractNumId w:val="6"/>
  </w:num>
  <w:num w:numId="38">
    <w:abstractNumId w:val="5"/>
  </w:num>
  <w:num w:numId="39">
    <w:abstractNumId w:val="9"/>
  </w:num>
  <w:num w:numId="40">
    <w:abstractNumId w:val="4"/>
  </w:num>
  <w:num w:numId="41">
    <w:abstractNumId w:val="3"/>
  </w:num>
  <w:num w:numId="42">
    <w:abstractNumId w:val="2"/>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docVars>
    <w:docVar w:name="_CITRUS_JURISDICTION" w:val="Bluebook"/>
    <w:docVar w:name="CITRUS_DOC_GUID" w:val="{9005DD41-3AF8-4A4D-8DBF-8EC271A75237}"/>
  </w:docVars>
  <w:rsids>
    <w:rsidRoot w:val="00F70597"/>
    <w:rsid w:val="000001AE"/>
    <w:rsid w:val="000008E9"/>
    <w:rsid w:val="00001CFD"/>
    <w:rsid w:val="000027BB"/>
    <w:rsid w:val="00004741"/>
    <w:rsid w:val="00010201"/>
    <w:rsid w:val="00012CBD"/>
    <w:rsid w:val="00012DE5"/>
    <w:rsid w:val="000130FB"/>
    <w:rsid w:val="000205F8"/>
    <w:rsid w:val="000222E4"/>
    <w:rsid w:val="00024246"/>
    <w:rsid w:val="00025B9F"/>
    <w:rsid w:val="00025FB2"/>
    <w:rsid w:val="00027CB3"/>
    <w:rsid w:val="00031179"/>
    <w:rsid w:val="000324F2"/>
    <w:rsid w:val="0003279C"/>
    <w:rsid w:val="00032AB3"/>
    <w:rsid w:val="0003452E"/>
    <w:rsid w:val="00037259"/>
    <w:rsid w:val="000372A3"/>
    <w:rsid w:val="00037C1E"/>
    <w:rsid w:val="00041F3B"/>
    <w:rsid w:val="000475DB"/>
    <w:rsid w:val="00055128"/>
    <w:rsid w:val="00056581"/>
    <w:rsid w:val="00060313"/>
    <w:rsid w:val="00060F8D"/>
    <w:rsid w:val="000636C4"/>
    <w:rsid w:val="00064177"/>
    <w:rsid w:val="00066068"/>
    <w:rsid w:val="0006670A"/>
    <w:rsid w:val="0007011B"/>
    <w:rsid w:val="000727F5"/>
    <w:rsid w:val="0007290A"/>
    <w:rsid w:val="000740CA"/>
    <w:rsid w:val="000779CE"/>
    <w:rsid w:val="0008686C"/>
    <w:rsid w:val="00093562"/>
    <w:rsid w:val="00093A2D"/>
    <w:rsid w:val="00094B64"/>
    <w:rsid w:val="00095362"/>
    <w:rsid w:val="00097132"/>
    <w:rsid w:val="00097BD2"/>
    <w:rsid w:val="000A0D77"/>
    <w:rsid w:val="000A2FF3"/>
    <w:rsid w:val="000A4AA3"/>
    <w:rsid w:val="000A59F3"/>
    <w:rsid w:val="000B08C2"/>
    <w:rsid w:val="000B7A0A"/>
    <w:rsid w:val="000C1C64"/>
    <w:rsid w:val="000C319D"/>
    <w:rsid w:val="000C5A91"/>
    <w:rsid w:val="000C6B6F"/>
    <w:rsid w:val="000D310D"/>
    <w:rsid w:val="000D5E6A"/>
    <w:rsid w:val="000D6A87"/>
    <w:rsid w:val="000D6E3A"/>
    <w:rsid w:val="000D7C65"/>
    <w:rsid w:val="000D7FA9"/>
    <w:rsid w:val="000E6993"/>
    <w:rsid w:val="000F23EE"/>
    <w:rsid w:val="00102386"/>
    <w:rsid w:val="00102D9A"/>
    <w:rsid w:val="001032B0"/>
    <w:rsid w:val="00105EB7"/>
    <w:rsid w:val="0010678D"/>
    <w:rsid w:val="00107277"/>
    <w:rsid w:val="00113140"/>
    <w:rsid w:val="00115827"/>
    <w:rsid w:val="0011585F"/>
    <w:rsid w:val="00115CDF"/>
    <w:rsid w:val="001229FB"/>
    <w:rsid w:val="00123FCB"/>
    <w:rsid w:val="001276C8"/>
    <w:rsid w:val="00130B50"/>
    <w:rsid w:val="00132C66"/>
    <w:rsid w:val="0013475A"/>
    <w:rsid w:val="001359B8"/>
    <w:rsid w:val="00137C33"/>
    <w:rsid w:val="00141782"/>
    <w:rsid w:val="00144158"/>
    <w:rsid w:val="00144505"/>
    <w:rsid w:val="0014529B"/>
    <w:rsid w:val="001466FC"/>
    <w:rsid w:val="00146812"/>
    <w:rsid w:val="00147408"/>
    <w:rsid w:val="0015087D"/>
    <w:rsid w:val="001514BC"/>
    <w:rsid w:val="0015422A"/>
    <w:rsid w:val="00156C21"/>
    <w:rsid w:val="00157660"/>
    <w:rsid w:val="001629AA"/>
    <w:rsid w:val="00164533"/>
    <w:rsid w:val="001678F5"/>
    <w:rsid w:val="00171F5E"/>
    <w:rsid w:val="00173F17"/>
    <w:rsid w:val="00175FD8"/>
    <w:rsid w:val="0017634D"/>
    <w:rsid w:val="0017755E"/>
    <w:rsid w:val="00180677"/>
    <w:rsid w:val="00181437"/>
    <w:rsid w:val="001816ED"/>
    <w:rsid w:val="00181A24"/>
    <w:rsid w:val="00181D99"/>
    <w:rsid w:val="00185EFE"/>
    <w:rsid w:val="0018666B"/>
    <w:rsid w:val="00186FBD"/>
    <w:rsid w:val="00187EF4"/>
    <w:rsid w:val="00190010"/>
    <w:rsid w:val="001901DD"/>
    <w:rsid w:val="00191BD9"/>
    <w:rsid w:val="001923B4"/>
    <w:rsid w:val="001924C0"/>
    <w:rsid w:val="001949E2"/>
    <w:rsid w:val="0019524D"/>
    <w:rsid w:val="001A2631"/>
    <w:rsid w:val="001A35D8"/>
    <w:rsid w:val="001A4C67"/>
    <w:rsid w:val="001B378F"/>
    <w:rsid w:val="001B592D"/>
    <w:rsid w:val="001B67C6"/>
    <w:rsid w:val="001B70DA"/>
    <w:rsid w:val="001D20F6"/>
    <w:rsid w:val="001D4266"/>
    <w:rsid w:val="001D4844"/>
    <w:rsid w:val="001D6BF5"/>
    <w:rsid w:val="001E1199"/>
    <w:rsid w:val="001E3ACD"/>
    <w:rsid w:val="001E4D76"/>
    <w:rsid w:val="001E7D61"/>
    <w:rsid w:val="001F0827"/>
    <w:rsid w:val="001F1148"/>
    <w:rsid w:val="001F1DA1"/>
    <w:rsid w:val="001F4388"/>
    <w:rsid w:val="001F647C"/>
    <w:rsid w:val="001F670A"/>
    <w:rsid w:val="001F7A68"/>
    <w:rsid w:val="002001F1"/>
    <w:rsid w:val="00201C60"/>
    <w:rsid w:val="00201E9F"/>
    <w:rsid w:val="00203BA1"/>
    <w:rsid w:val="002041F8"/>
    <w:rsid w:val="00205A4E"/>
    <w:rsid w:val="00207711"/>
    <w:rsid w:val="00214595"/>
    <w:rsid w:val="00217F94"/>
    <w:rsid w:val="00221575"/>
    <w:rsid w:val="002231D9"/>
    <w:rsid w:val="00224EB3"/>
    <w:rsid w:val="00227F42"/>
    <w:rsid w:val="00233073"/>
    <w:rsid w:val="00233EC9"/>
    <w:rsid w:val="00234B5C"/>
    <w:rsid w:val="00235FDC"/>
    <w:rsid w:val="002367A0"/>
    <w:rsid w:val="002371E6"/>
    <w:rsid w:val="002414FA"/>
    <w:rsid w:val="00241CB1"/>
    <w:rsid w:val="002455F0"/>
    <w:rsid w:val="00245CD3"/>
    <w:rsid w:val="00245FCE"/>
    <w:rsid w:val="002464BA"/>
    <w:rsid w:val="002523BC"/>
    <w:rsid w:val="002524A7"/>
    <w:rsid w:val="002537B2"/>
    <w:rsid w:val="0026107D"/>
    <w:rsid w:val="002611E2"/>
    <w:rsid w:val="002626A5"/>
    <w:rsid w:val="00264648"/>
    <w:rsid w:val="00266461"/>
    <w:rsid w:val="002703F9"/>
    <w:rsid w:val="00270479"/>
    <w:rsid w:val="00270A22"/>
    <w:rsid w:val="00274746"/>
    <w:rsid w:val="002756E2"/>
    <w:rsid w:val="00281700"/>
    <w:rsid w:val="0028324D"/>
    <w:rsid w:val="0028435F"/>
    <w:rsid w:val="002909D2"/>
    <w:rsid w:val="00290C14"/>
    <w:rsid w:val="00290FE5"/>
    <w:rsid w:val="0029111C"/>
    <w:rsid w:val="00291D9B"/>
    <w:rsid w:val="00293666"/>
    <w:rsid w:val="002A02C9"/>
    <w:rsid w:val="002A1B82"/>
    <w:rsid w:val="002A1D13"/>
    <w:rsid w:val="002A32DD"/>
    <w:rsid w:val="002A374D"/>
    <w:rsid w:val="002B3233"/>
    <w:rsid w:val="002B3BE2"/>
    <w:rsid w:val="002B5063"/>
    <w:rsid w:val="002C205D"/>
    <w:rsid w:val="002C6226"/>
    <w:rsid w:val="002C7FBF"/>
    <w:rsid w:val="002D096C"/>
    <w:rsid w:val="002D2D94"/>
    <w:rsid w:val="002D42A1"/>
    <w:rsid w:val="002D7052"/>
    <w:rsid w:val="002E08BA"/>
    <w:rsid w:val="002F16FE"/>
    <w:rsid w:val="002F39B8"/>
    <w:rsid w:val="002F431E"/>
    <w:rsid w:val="002F44D5"/>
    <w:rsid w:val="002F4C35"/>
    <w:rsid w:val="002F589A"/>
    <w:rsid w:val="002F58A5"/>
    <w:rsid w:val="002F608F"/>
    <w:rsid w:val="002F7209"/>
    <w:rsid w:val="002F774A"/>
    <w:rsid w:val="002F7B30"/>
    <w:rsid w:val="002F7CFC"/>
    <w:rsid w:val="00300126"/>
    <w:rsid w:val="0030202B"/>
    <w:rsid w:val="00302B20"/>
    <w:rsid w:val="0030716F"/>
    <w:rsid w:val="003119DE"/>
    <w:rsid w:val="0031288F"/>
    <w:rsid w:val="00312BA0"/>
    <w:rsid w:val="00313F3D"/>
    <w:rsid w:val="00317144"/>
    <w:rsid w:val="00320374"/>
    <w:rsid w:val="0032088A"/>
    <w:rsid w:val="00320CEB"/>
    <w:rsid w:val="00320F94"/>
    <w:rsid w:val="003242FC"/>
    <w:rsid w:val="00325657"/>
    <w:rsid w:val="0032596A"/>
    <w:rsid w:val="00326739"/>
    <w:rsid w:val="003306D6"/>
    <w:rsid w:val="00331E3D"/>
    <w:rsid w:val="00333E9F"/>
    <w:rsid w:val="0033479F"/>
    <w:rsid w:val="00337E6B"/>
    <w:rsid w:val="003410E4"/>
    <w:rsid w:val="003423B4"/>
    <w:rsid w:val="003424BC"/>
    <w:rsid w:val="003427DD"/>
    <w:rsid w:val="003438EE"/>
    <w:rsid w:val="0034482B"/>
    <w:rsid w:val="0035143E"/>
    <w:rsid w:val="00353AA2"/>
    <w:rsid w:val="0035584E"/>
    <w:rsid w:val="00357E66"/>
    <w:rsid w:val="00360765"/>
    <w:rsid w:val="00360B4A"/>
    <w:rsid w:val="00360B7C"/>
    <w:rsid w:val="003617BE"/>
    <w:rsid w:val="00363B51"/>
    <w:rsid w:val="003670EB"/>
    <w:rsid w:val="00373625"/>
    <w:rsid w:val="00374DC2"/>
    <w:rsid w:val="00376BB9"/>
    <w:rsid w:val="00381B2B"/>
    <w:rsid w:val="00382A21"/>
    <w:rsid w:val="00382E45"/>
    <w:rsid w:val="00384777"/>
    <w:rsid w:val="00385DE3"/>
    <w:rsid w:val="00387C51"/>
    <w:rsid w:val="00391661"/>
    <w:rsid w:val="00391B7C"/>
    <w:rsid w:val="003A4273"/>
    <w:rsid w:val="003A6A0C"/>
    <w:rsid w:val="003A6B89"/>
    <w:rsid w:val="003A6D86"/>
    <w:rsid w:val="003A7557"/>
    <w:rsid w:val="003C6856"/>
    <w:rsid w:val="003D2614"/>
    <w:rsid w:val="003D4151"/>
    <w:rsid w:val="003D4AB6"/>
    <w:rsid w:val="003D50A7"/>
    <w:rsid w:val="003E1FDF"/>
    <w:rsid w:val="003E2124"/>
    <w:rsid w:val="003E34AE"/>
    <w:rsid w:val="003E3553"/>
    <w:rsid w:val="003E4B0F"/>
    <w:rsid w:val="003E4B97"/>
    <w:rsid w:val="003E5AB8"/>
    <w:rsid w:val="003E6032"/>
    <w:rsid w:val="003E6A9F"/>
    <w:rsid w:val="003E756B"/>
    <w:rsid w:val="003F70DE"/>
    <w:rsid w:val="003F7D2C"/>
    <w:rsid w:val="00401CDF"/>
    <w:rsid w:val="004021AD"/>
    <w:rsid w:val="0040381C"/>
    <w:rsid w:val="004039D9"/>
    <w:rsid w:val="00410B9A"/>
    <w:rsid w:val="00412319"/>
    <w:rsid w:val="0041271D"/>
    <w:rsid w:val="00413B07"/>
    <w:rsid w:val="00414689"/>
    <w:rsid w:val="00416D75"/>
    <w:rsid w:val="00417E69"/>
    <w:rsid w:val="00426749"/>
    <w:rsid w:val="004412A0"/>
    <w:rsid w:val="00441367"/>
    <w:rsid w:val="004423E7"/>
    <w:rsid w:val="0044283D"/>
    <w:rsid w:val="00442ADA"/>
    <w:rsid w:val="00445585"/>
    <w:rsid w:val="00456CC9"/>
    <w:rsid w:val="00460924"/>
    <w:rsid w:val="00463A62"/>
    <w:rsid w:val="0046415A"/>
    <w:rsid w:val="0046681C"/>
    <w:rsid w:val="004728AF"/>
    <w:rsid w:val="00477BA6"/>
    <w:rsid w:val="004809AE"/>
    <w:rsid w:val="00480C15"/>
    <w:rsid w:val="004840F2"/>
    <w:rsid w:val="0048584E"/>
    <w:rsid w:val="00485D72"/>
    <w:rsid w:val="004902B6"/>
    <w:rsid w:val="004934EF"/>
    <w:rsid w:val="00494839"/>
    <w:rsid w:val="00494C0E"/>
    <w:rsid w:val="00496D06"/>
    <w:rsid w:val="004976DB"/>
    <w:rsid w:val="004A026B"/>
    <w:rsid w:val="004A1100"/>
    <w:rsid w:val="004A19B2"/>
    <w:rsid w:val="004A2925"/>
    <w:rsid w:val="004A37D0"/>
    <w:rsid w:val="004A38BE"/>
    <w:rsid w:val="004A4C7B"/>
    <w:rsid w:val="004A78F2"/>
    <w:rsid w:val="004A7D76"/>
    <w:rsid w:val="004B00A9"/>
    <w:rsid w:val="004B0755"/>
    <w:rsid w:val="004B473B"/>
    <w:rsid w:val="004B4D7F"/>
    <w:rsid w:val="004C2EEF"/>
    <w:rsid w:val="004C41E8"/>
    <w:rsid w:val="004C4ED4"/>
    <w:rsid w:val="004C66D5"/>
    <w:rsid w:val="004D0303"/>
    <w:rsid w:val="004D512A"/>
    <w:rsid w:val="004D6660"/>
    <w:rsid w:val="004E28CE"/>
    <w:rsid w:val="004E3220"/>
    <w:rsid w:val="004E67F1"/>
    <w:rsid w:val="004E6E4F"/>
    <w:rsid w:val="004F5403"/>
    <w:rsid w:val="004F7ACF"/>
    <w:rsid w:val="00500DB6"/>
    <w:rsid w:val="00501135"/>
    <w:rsid w:val="005036E8"/>
    <w:rsid w:val="00506397"/>
    <w:rsid w:val="0050790F"/>
    <w:rsid w:val="0050799A"/>
    <w:rsid w:val="005079AC"/>
    <w:rsid w:val="00511756"/>
    <w:rsid w:val="005133F7"/>
    <w:rsid w:val="0051386C"/>
    <w:rsid w:val="00514D54"/>
    <w:rsid w:val="00517256"/>
    <w:rsid w:val="00521BB5"/>
    <w:rsid w:val="00524DD3"/>
    <w:rsid w:val="00525638"/>
    <w:rsid w:val="00526154"/>
    <w:rsid w:val="005320C5"/>
    <w:rsid w:val="005328BD"/>
    <w:rsid w:val="0053575C"/>
    <w:rsid w:val="00535BE8"/>
    <w:rsid w:val="005377FF"/>
    <w:rsid w:val="00540A33"/>
    <w:rsid w:val="00540FD0"/>
    <w:rsid w:val="00544164"/>
    <w:rsid w:val="005445EC"/>
    <w:rsid w:val="005507C0"/>
    <w:rsid w:val="0055267D"/>
    <w:rsid w:val="00556C4D"/>
    <w:rsid w:val="00557800"/>
    <w:rsid w:val="00563118"/>
    <w:rsid w:val="00564D2B"/>
    <w:rsid w:val="005652C2"/>
    <w:rsid w:val="0057014A"/>
    <w:rsid w:val="00571780"/>
    <w:rsid w:val="005748F3"/>
    <w:rsid w:val="00580F14"/>
    <w:rsid w:val="00581301"/>
    <w:rsid w:val="005825A7"/>
    <w:rsid w:val="00582731"/>
    <w:rsid w:val="005933E5"/>
    <w:rsid w:val="00595511"/>
    <w:rsid w:val="005A6A0E"/>
    <w:rsid w:val="005A6FF4"/>
    <w:rsid w:val="005B0B90"/>
    <w:rsid w:val="005B0EBB"/>
    <w:rsid w:val="005B11B2"/>
    <w:rsid w:val="005B1A52"/>
    <w:rsid w:val="005B1A90"/>
    <w:rsid w:val="005B314C"/>
    <w:rsid w:val="005B7DBF"/>
    <w:rsid w:val="005C0B4A"/>
    <w:rsid w:val="005C1755"/>
    <w:rsid w:val="005C2B57"/>
    <w:rsid w:val="005C2C2D"/>
    <w:rsid w:val="005C3A00"/>
    <w:rsid w:val="005C551B"/>
    <w:rsid w:val="005C5BC2"/>
    <w:rsid w:val="005C7118"/>
    <w:rsid w:val="005C7444"/>
    <w:rsid w:val="005C7709"/>
    <w:rsid w:val="005D03C9"/>
    <w:rsid w:val="005E020E"/>
    <w:rsid w:val="005E0402"/>
    <w:rsid w:val="005E1FC3"/>
    <w:rsid w:val="005E2F3B"/>
    <w:rsid w:val="005E5996"/>
    <w:rsid w:val="005F28A4"/>
    <w:rsid w:val="005F4487"/>
    <w:rsid w:val="005F6DAD"/>
    <w:rsid w:val="00604E61"/>
    <w:rsid w:val="006059CF"/>
    <w:rsid w:val="006204D0"/>
    <w:rsid w:val="0062124B"/>
    <w:rsid w:val="006238EC"/>
    <w:rsid w:val="00624810"/>
    <w:rsid w:val="00625F01"/>
    <w:rsid w:val="006271C0"/>
    <w:rsid w:val="00632F39"/>
    <w:rsid w:val="00634205"/>
    <w:rsid w:val="006349E1"/>
    <w:rsid w:val="00634A05"/>
    <w:rsid w:val="00640698"/>
    <w:rsid w:val="0064262F"/>
    <w:rsid w:val="00643609"/>
    <w:rsid w:val="00643E0E"/>
    <w:rsid w:val="00644B61"/>
    <w:rsid w:val="0064623E"/>
    <w:rsid w:val="00646D61"/>
    <w:rsid w:val="00647B2B"/>
    <w:rsid w:val="00650E3A"/>
    <w:rsid w:val="00651568"/>
    <w:rsid w:val="006518F9"/>
    <w:rsid w:val="00653B99"/>
    <w:rsid w:val="006629AD"/>
    <w:rsid w:val="00662F23"/>
    <w:rsid w:val="0066767B"/>
    <w:rsid w:val="006679CD"/>
    <w:rsid w:val="00675FB2"/>
    <w:rsid w:val="00676EE4"/>
    <w:rsid w:val="00677BDB"/>
    <w:rsid w:val="00681A7D"/>
    <w:rsid w:val="00681B68"/>
    <w:rsid w:val="00681E18"/>
    <w:rsid w:val="00685274"/>
    <w:rsid w:val="00690DF8"/>
    <w:rsid w:val="006926FA"/>
    <w:rsid w:val="0069726E"/>
    <w:rsid w:val="006A2D5A"/>
    <w:rsid w:val="006A2DB8"/>
    <w:rsid w:val="006A3576"/>
    <w:rsid w:val="006A6F14"/>
    <w:rsid w:val="006A7081"/>
    <w:rsid w:val="006B0F1A"/>
    <w:rsid w:val="006B15C7"/>
    <w:rsid w:val="006B77E1"/>
    <w:rsid w:val="006C0AA8"/>
    <w:rsid w:val="006C182C"/>
    <w:rsid w:val="006C2103"/>
    <w:rsid w:val="006C2FCE"/>
    <w:rsid w:val="006C47CA"/>
    <w:rsid w:val="006C6453"/>
    <w:rsid w:val="006D059F"/>
    <w:rsid w:val="006D0E72"/>
    <w:rsid w:val="006D11C7"/>
    <w:rsid w:val="006D573C"/>
    <w:rsid w:val="006D57D3"/>
    <w:rsid w:val="006D7A39"/>
    <w:rsid w:val="006E0AAE"/>
    <w:rsid w:val="006E1108"/>
    <w:rsid w:val="006E2005"/>
    <w:rsid w:val="006E2078"/>
    <w:rsid w:val="006E6ED0"/>
    <w:rsid w:val="006E7A60"/>
    <w:rsid w:val="006F1617"/>
    <w:rsid w:val="006F1D66"/>
    <w:rsid w:val="006F23C0"/>
    <w:rsid w:val="006F4896"/>
    <w:rsid w:val="006F53D6"/>
    <w:rsid w:val="006F5454"/>
    <w:rsid w:val="006F5E32"/>
    <w:rsid w:val="006F65FA"/>
    <w:rsid w:val="006F7F15"/>
    <w:rsid w:val="0070449D"/>
    <w:rsid w:val="007054DB"/>
    <w:rsid w:val="00705D5F"/>
    <w:rsid w:val="00705F91"/>
    <w:rsid w:val="00711920"/>
    <w:rsid w:val="00712D2F"/>
    <w:rsid w:val="00713796"/>
    <w:rsid w:val="0071635E"/>
    <w:rsid w:val="00717169"/>
    <w:rsid w:val="00721F39"/>
    <w:rsid w:val="00724731"/>
    <w:rsid w:val="00725A0E"/>
    <w:rsid w:val="00726436"/>
    <w:rsid w:val="00726495"/>
    <w:rsid w:val="00732DEC"/>
    <w:rsid w:val="00734390"/>
    <w:rsid w:val="00734BFD"/>
    <w:rsid w:val="00740B19"/>
    <w:rsid w:val="00742D66"/>
    <w:rsid w:val="00742FC7"/>
    <w:rsid w:val="007432C3"/>
    <w:rsid w:val="00744A6C"/>
    <w:rsid w:val="00746687"/>
    <w:rsid w:val="0075229D"/>
    <w:rsid w:val="00752F0E"/>
    <w:rsid w:val="0075332E"/>
    <w:rsid w:val="00753A25"/>
    <w:rsid w:val="00757012"/>
    <w:rsid w:val="007578C0"/>
    <w:rsid w:val="007629CE"/>
    <w:rsid w:val="00762CF6"/>
    <w:rsid w:val="00767764"/>
    <w:rsid w:val="00770CED"/>
    <w:rsid w:val="00774641"/>
    <w:rsid w:val="00776DBB"/>
    <w:rsid w:val="007870B9"/>
    <w:rsid w:val="00790CD7"/>
    <w:rsid w:val="00792CC5"/>
    <w:rsid w:val="00796203"/>
    <w:rsid w:val="00797643"/>
    <w:rsid w:val="007A045B"/>
    <w:rsid w:val="007A26AA"/>
    <w:rsid w:val="007A3379"/>
    <w:rsid w:val="007A346D"/>
    <w:rsid w:val="007A4017"/>
    <w:rsid w:val="007A4C2C"/>
    <w:rsid w:val="007B0663"/>
    <w:rsid w:val="007B131E"/>
    <w:rsid w:val="007B1AAB"/>
    <w:rsid w:val="007B1E3F"/>
    <w:rsid w:val="007B2213"/>
    <w:rsid w:val="007B22D7"/>
    <w:rsid w:val="007C33BF"/>
    <w:rsid w:val="007C3A35"/>
    <w:rsid w:val="007C6613"/>
    <w:rsid w:val="007C74C3"/>
    <w:rsid w:val="007D0342"/>
    <w:rsid w:val="007D5564"/>
    <w:rsid w:val="007E1D48"/>
    <w:rsid w:val="007E3B5B"/>
    <w:rsid w:val="007E3B71"/>
    <w:rsid w:val="007F168B"/>
    <w:rsid w:val="007F5342"/>
    <w:rsid w:val="007F62D6"/>
    <w:rsid w:val="007F7891"/>
    <w:rsid w:val="0080498B"/>
    <w:rsid w:val="00805C91"/>
    <w:rsid w:val="00810C86"/>
    <w:rsid w:val="00813A30"/>
    <w:rsid w:val="00815659"/>
    <w:rsid w:val="00816AFF"/>
    <w:rsid w:val="00817062"/>
    <w:rsid w:val="00817A3F"/>
    <w:rsid w:val="0082050C"/>
    <w:rsid w:val="00820825"/>
    <w:rsid w:val="00823457"/>
    <w:rsid w:val="00831DCC"/>
    <w:rsid w:val="00833CCA"/>
    <w:rsid w:val="00836215"/>
    <w:rsid w:val="00840F9C"/>
    <w:rsid w:val="00841EFD"/>
    <w:rsid w:val="008448DE"/>
    <w:rsid w:val="00846D8D"/>
    <w:rsid w:val="00847511"/>
    <w:rsid w:val="00852E88"/>
    <w:rsid w:val="008556E7"/>
    <w:rsid w:val="008574F6"/>
    <w:rsid w:val="00872C6B"/>
    <w:rsid w:val="00873618"/>
    <w:rsid w:val="0087658A"/>
    <w:rsid w:val="00876FE5"/>
    <w:rsid w:val="00877FD3"/>
    <w:rsid w:val="0088048F"/>
    <w:rsid w:val="008804A8"/>
    <w:rsid w:val="00882C83"/>
    <w:rsid w:val="00882E66"/>
    <w:rsid w:val="00885A17"/>
    <w:rsid w:val="00887565"/>
    <w:rsid w:val="00890C28"/>
    <w:rsid w:val="00896FF0"/>
    <w:rsid w:val="00897816"/>
    <w:rsid w:val="008A25E4"/>
    <w:rsid w:val="008A302B"/>
    <w:rsid w:val="008A41C7"/>
    <w:rsid w:val="008A67C8"/>
    <w:rsid w:val="008A72A3"/>
    <w:rsid w:val="008A76D4"/>
    <w:rsid w:val="008A7D1A"/>
    <w:rsid w:val="008B13DC"/>
    <w:rsid w:val="008B145C"/>
    <w:rsid w:val="008B1E7F"/>
    <w:rsid w:val="008B2C6C"/>
    <w:rsid w:val="008B5DE5"/>
    <w:rsid w:val="008C14D9"/>
    <w:rsid w:val="008C4130"/>
    <w:rsid w:val="008C635C"/>
    <w:rsid w:val="008C75C3"/>
    <w:rsid w:val="008D275D"/>
    <w:rsid w:val="008D29AE"/>
    <w:rsid w:val="008D3D2C"/>
    <w:rsid w:val="008D612E"/>
    <w:rsid w:val="008D76F6"/>
    <w:rsid w:val="008E0367"/>
    <w:rsid w:val="008E28D6"/>
    <w:rsid w:val="008E3D00"/>
    <w:rsid w:val="008E6F54"/>
    <w:rsid w:val="008F3247"/>
    <w:rsid w:val="008F3A6E"/>
    <w:rsid w:val="008F7975"/>
    <w:rsid w:val="00900FDF"/>
    <w:rsid w:val="00905C4F"/>
    <w:rsid w:val="009108C0"/>
    <w:rsid w:val="009127F7"/>
    <w:rsid w:val="00914CC8"/>
    <w:rsid w:val="00915ACA"/>
    <w:rsid w:val="009161CF"/>
    <w:rsid w:val="0092137F"/>
    <w:rsid w:val="0092196D"/>
    <w:rsid w:val="00923AE5"/>
    <w:rsid w:val="00924D85"/>
    <w:rsid w:val="00926024"/>
    <w:rsid w:val="00935D9D"/>
    <w:rsid w:val="009365F4"/>
    <w:rsid w:val="009369CB"/>
    <w:rsid w:val="009415F3"/>
    <w:rsid w:val="00942627"/>
    <w:rsid w:val="00946D51"/>
    <w:rsid w:val="009473B3"/>
    <w:rsid w:val="009506FB"/>
    <w:rsid w:val="00952A54"/>
    <w:rsid w:val="00953889"/>
    <w:rsid w:val="00955DF1"/>
    <w:rsid w:val="00955FD8"/>
    <w:rsid w:val="0096032C"/>
    <w:rsid w:val="00960D83"/>
    <w:rsid w:val="009626C5"/>
    <w:rsid w:val="009657DA"/>
    <w:rsid w:val="00967F75"/>
    <w:rsid w:val="00971B4B"/>
    <w:rsid w:val="00973DF6"/>
    <w:rsid w:val="00973E7D"/>
    <w:rsid w:val="00975BDE"/>
    <w:rsid w:val="00984746"/>
    <w:rsid w:val="0098655E"/>
    <w:rsid w:val="009904F7"/>
    <w:rsid w:val="00990B5B"/>
    <w:rsid w:val="0099434F"/>
    <w:rsid w:val="00995226"/>
    <w:rsid w:val="009A081C"/>
    <w:rsid w:val="009A1CBA"/>
    <w:rsid w:val="009A2A1A"/>
    <w:rsid w:val="009A2F5F"/>
    <w:rsid w:val="009A5499"/>
    <w:rsid w:val="009A5AB1"/>
    <w:rsid w:val="009A5F65"/>
    <w:rsid w:val="009A62A7"/>
    <w:rsid w:val="009B0D37"/>
    <w:rsid w:val="009B3FFD"/>
    <w:rsid w:val="009B7769"/>
    <w:rsid w:val="009C1EC9"/>
    <w:rsid w:val="009C2B40"/>
    <w:rsid w:val="009C502A"/>
    <w:rsid w:val="009C63C9"/>
    <w:rsid w:val="009C77A1"/>
    <w:rsid w:val="009C7850"/>
    <w:rsid w:val="009D015D"/>
    <w:rsid w:val="009D1BAD"/>
    <w:rsid w:val="009D37E0"/>
    <w:rsid w:val="009E0F0F"/>
    <w:rsid w:val="009E2C7B"/>
    <w:rsid w:val="009E3A03"/>
    <w:rsid w:val="009E43CD"/>
    <w:rsid w:val="009E578D"/>
    <w:rsid w:val="009E5997"/>
    <w:rsid w:val="009E703F"/>
    <w:rsid w:val="009F0EE1"/>
    <w:rsid w:val="009F22B4"/>
    <w:rsid w:val="009F279B"/>
    <w:rsid w:val="009F3C9A"/>
    <w:rsid w:val="009F7102"/>
    <w:rsid w:val="00A00AEF"/>
    <w:rsid w:val="00A06139"/>
    <w:rsid w:val="00A07B36"/>
    <w:rsid w:val="00A101A3"/>
    <w:rsid w:val="00A10F12"/>
    <w:rsid w:val="00A123E9"/>
    <w:rsid w:val="00A12A7B"/>
    <w:rsid w:val="00A134E9"/>
    <w:rsid w:val="00A14BD1"/>
    <w:rsid w:val="00A14E2F"/>
    <w:rsid w:val="00A175BB"/>
    <w:rsid w:val="00A1769C"/>
    <w:rsid w:val="00A20122"/>
    <w:rsid w:val="00A201B2"/>
    <w:rsid w:val="00A216AC"/>
    <w:rsid w:val="00A25D82"/>
    <w:rsid w:val="00A26035"/>
    <w:rsid w:val="00A2765B"/>
    <w:rsid w:val="00A27A05"/>
    <w:rsid w:val="00A30D4A"/>
    <w:rsid w:val="00A317AC"/>
    <w:rsid w:val="00A31AAA"/>
    <w:rsid w:val="00A35207"/>
    <w:rsid w:val="00A369C1"/>
    <w:rsid w:val="00A376F5"/>
    <w:rsid w:val="00A43D63"/>
    <w:rsid w:val="00A45967"/>
    <w:rsid w:val="00A46CD5"/>
    <w:rsid w:val="00A50D5C"/>
    <w:rsid w:val="00A541D4"/>
    <w:rsid w:val="00A566D2"/>
    <w:rsid w:val="00A566F5"/>
    <w:rsid w:val="00A57CD7"/>
    <w:rsid w:val="00A61156"/>
    <w:rsid w:val="00A64A79"/>
    <w:rsid w:val="00A65363"/>
    <w:rsid w:val="00A66903"/>
    <w:rsid w:val="00A67C20"/>
    <w:rsid w:val="00A7203D"/>
    <w:rsid w:val="00A72641"/>
    <w:rsid w:val="00A758DD"/>
    <w:rsid w:val="00A76F7F"/>
    <w:rsid w:val="00A77D7D"/>
    <w:rsid w:val="00A81445"/>
    <w:rsid w:val="00A8231A"/>
    <w:rsid w:val="00A83846"/>
    <w:rsid w:val="00A84BE8"/>
    <w:rsid w:val="00A85554"/>
    <w:rsid w:val="00A8726E"/>
    <w:rsid w:val="00A90D0C"/>
    <w:rsid w:val="00A9105E"/>
    <w:rsid w:val="00A916C6"/>
    <w:rsid w:val="00A9275F"/>
    <w:rsid w:val="00A93194"/>
    <w:rsid w:val="00A9430B"/>
    <w:rsid w:val="00A97892"/>
    <w:rsid w:val="00A97D59"/>
    <w:rsid w:val="00AA223F"/>
    <w:rsid w:val="00AA47AB"/>
    <w:rsid w:val="00AA4C94"/>
    <w:rsid w:val="00AA51BA"/>
    <w:rsid w:val="00AB0AC3"/>
    <w:rsid w:val="00AB0CF1"/>
    <w:rsid w:val="00AB20CE"/>
    <w:rsid w:val="00AB5129"/>
    <w:rsid w:val="00AB70D0"/>
    <w:rsid w:val="00AC0F1C"/>
    <w:rsid w:val="00AC7861"/>
    <w:rsid w:val="00AD2CF4"/>
    <w:rsid w:val="00AD353A"/>
    <w:rsid w:val="00AD7E95"/>
    <w:rsid w:val="00AE0E8F"/>
    <w:rsid w:val="00AE17FD"/>
    <w:rsid w:val="00AE3BAB"/>
    <w:rsid w:val="00AE3EF0"/>
    <w:rsid w:val="00AE511A"/>
    <w:rsid w:val="00AF29A6"/>
    <w:rsid w:val="00AF4B53"/>
    <w:rsid w:val="00B033AB"/>
    <w:rsid w:val="00B0499F"/>
    <w:rsid w:val="00B04E4C"/>
    <w:rsid w:val="00B05A4A"/>
    <w:rsid w:val="00B078CE"/>
    <w:rsid w:val="00B114BA"/>
    <w:rsid w:val="00B20144"/>
    <w:rsid w:val="00B2157F"/>
    <w:rsid w:val="00B237BE"/>
    <w:rsid w:val="00B243E6"/>
    <w:rsid w:val="00B260CC"/>
    <w:rsid w:val="00B26E48"/>
    <w:rsid w:val="00B277D1"/>
    <w:rsid w:val="00B27972"/>
    <w:rsid w:val="00B31C67"/>
    <w:rsid w:val="00B338AE"/>
    <w:rsid w:val="00B34016"/>
    <w:rsid w:val="00B35FA5"/>
    <w:rsid w:val="00B414F9"/>
    <w:rsid w:val="00B454B0"/>
    <w:rsid w:val="00B46500"/>
    <w:rsid w:val="00B47CCC"/>
    <w:rsid w:val="00B47D55"/>
    <w:rsid w:val="00B50004"/>
    <w:rsid w:val="00B51236"/>
    <w:rsid w:val="00B5167D"/>
    <w:rsid w:val="00B574E8"/>
    <w:rsid w:val="00B60175"/>
    <w:rsid w:val="00B61B02"/>
    <w:rsid w:val="00B6392F"/>
    <w:rsid w:val="00B63D99"/>
    <w:rsid w:val="00B66D38"/>
    <w:rsid w:val="00B704AD"/>
    <w:rsid w:val="00B70991"/>
    <w:rsid w:val="00B71A86"/>
    <w:rsid w:val="00B758B2"/>
    <w:rsid w:val="00B76DBA"/>
    <w:rsid w:val="00B80C8D"/>
    <w:rsid w:val="00B81AB2"/>
    <w:rsid w:val="00B82FC9"/>
    <w:rsid w:val="00B87A01"/>
    <w:rsid w:val="00B87D8B"/>
    <w:rsid w:val="00B90BEA"/>
    <w:rsid w:val="00B90D4F"/>
    <w:rsid w:val="00B91755"/>
    <w:rsid w:val="00BA00C4"/>
    <w:rsid w:val="00BA12DB"/>
    <w:rsid w:val="00BA4147"/>
    <w:rsid w:val="00BA4C8D"/>
    <w:rsid w:val="00BA5A0A"/>
    <w:rsid w:val="00BA7BE3"/>
    <w:rsid w:val="00BB02D8"/>
    <w:rsid w:val="00BB121B"/>
    <w:rsid w:val="00BB192F"/>
    <w:rsid w:val="00BB33BA"/>
    <w:rsid w:val="00BB4B95"/>
    <w:rsid w:val="00BB62CA"/>
    <w:rsid w:val="00BB7ED8"/>
    <w:rsid w:val="00BC0156"/>
    <w:rsid w:val="00BC0930"/>
    <w:rsid w:val="00BC47A9"/>
    <w:rsid w:val="00BC4C93"/>
    <w:rsid w:val="00BD1C9F"/>
    <w:rsid w:val="00BD1DB5"/>
    <w:rsid w:val="00BD33E1"/>
    <w:rsid w:val="00BD4B21"/>
    <w:rsid w:val="00BD4E57"/>
    <w:rsid w:val="00BD6BB2"/>
    <w:rsid w:val="00BD6BBC"/>
    <w:rsid w:val="00BD7A75"/>
    <w:rsid w:val="00BE1094"/>
    <w:rsid w:val="00BE134B"/>
    <w:rsid w:val="00BE342B"/>
    <w:rsid w:val="00BF02AE"/>
    <w:rsid w:val="00BF0799"/>
    <w:rsid w:val="00BF1D4D"/>
    <w:rsid w:val="00BF2E1D"/>
    <w:rsid w:val="00BF3CBF"/>
    <w:rsid w:val="00BF418B"/>
    <w:rsid w:val="00BF4B98"/>
    <w:rsid w:val="00BF4BAA"/>
    <w:rsid w:val="00BF65AE"/>
    <w:rsid w:val="00C00E56"/>
    <w:rsid w:val="00C02E34"/>
    <w:rsid w:val="00C03926"/>
    <w:rsid w:val="00C04D78"/>
    <w:rsid w:val="00C05038"/>
    <w:rsid w:val="00C057EE"/>
    <w:rsid w:val="00C061C5"/>
    <w:rsid w:val="00C113A4"/>
    <w:rsid w:val="00C1257C"/>
    <w:rsid w:val="00C14628"/>
    <w:rsid w:val="00C15554"/>
    <w:rsid w:val="00C15B26"/>
    <w:rsid w:val="00C16449"/>
    <w:rsid w:val="00C21746"/>
    <w:rsid w:val="00C2193C"/>
    <w:rsid w:val="00C21961"/>
    <w:rsid w:val="00C226B1"/>
    <w:rsid w:val="00C3049C"/>
    <w:rsid w:val="00C30E4D"/>
    <w:rsid w:val="00C31BEB"/>
    <w:rsid w:val="00C34CC7"/>
    <w:rsid w:val="00C35A9C"/>
    <w:rsid w:val="00C404A2"/>
    <w:rsid w:val="00C40DA3"/>
    <w:rsid w:val="00C40EE7"/>
    <w:rsid w:val="00C415EA"/>
    <w:rsid w:val="00C41835"/>
    <w:rsid w:val="00C43900"/>
    <w:rsid w:val="00C44C7F"/>
    <w:rsid w:val="00C46D11"/>
    <w:rsid w:val="00C46E57"/>
    <w:rsid w:val="00C47A54"/>
    <w:rsid w:val="00C5104E"/>
    <w:rsid w:val="00C513ED"/>
    <w:rsid w:val="00C5329E"/>
    <w:rsid w:val="00C542BD"/>
    <w:rsid w:val="00C60A31"/>
    <w:rsid w:val="00C631BA"/>
    <w:rsid w:val="00C63706"/>
    <w:rsid w:val="00C64AD8"/>
    <w:rsid w:val="00C6642A"/>
    <w:rsid w:val="00C66DAB"/>
    <w:rsid w:val="00C67211"/>
    <w:rsid w:val="00C67D9B"/>
    <w:rsid w:val="00C67F06"/>
    <w:rsid w:val="00C72052"/>
    <w:rsid w:val="00C726D8"/>
    <w:rsid w:val="00C7342B"/>
    <w:rsid w:val="00C73BC3"/>
    <w:rsid w:val="00C74450"/>
    <w:rsid w:val="00C74508"/>
    <w:rsid w:val="00C74666"/>
    <w:rsid w:val="00C75735"/>
    <w:rsid w:val="00C77BC9"/>
    <w:rsid w:val="00C77F9E"/>
    <w:rsid w:val="00C80980"/>
    <w:rsid w:val="00C8365C"/>
    <w:rsid w:val="00C842E0"/>
    <w:rsid w:val="00C850F3"/>
    <w:rsid w:val="00C86F4E"/>
    <w:rsid w:val="00C910DA"/>
    <w:rsid w:val="00C91E2B"/>
    <w:rsid w:val="00C942C4"/>
    <w:rsid w:val="00C94BCB"/>
    <w:rsid w:val="00C956FB"/>
    <w:rsid w:val="00CA0C40"/>
    <w:rsid w:val="00CA21E2"/>
    <w:rsid w:val="00CA22D3"/>
    <w:rsid w:val="00CA466E"/>
    <w:rsid w:val="00CA4823"/>
    <w:rsid w:val="00CB04D4"/>
    <w:rsid w:val="00CB079A"/>
    <w:rsid w:val="00CB1547"/>
    <w:rsid w:val="00CB2CCF"/>
    <w:rsid w:val="00CB2E31"/>
    <w:rsid w:val="00CB52DD"/>
    <w:rsid w:val="00CB56DD"/>
    <w:rsid w:val="00CB5913"/>
    <w:rsid w:val="00CB67F8"/>
    <w:rsid w:val="00CC1241"/>
    <w:rsid w:val="00CC75A3"/>
    <w:rsid w:val="00CD21ED"/>
    <w:rsid w:val="00CD3A2F"/>
    <w:rsid w:val="00CD49A9"/>
    <w:rsid w:val="00CD5DBA"/>
    <w:rsid w:val="00CD7BEA"/>
    <w:rsid w:val="00CE04FE"/>
    <w:rsid w:val="00CE323C"/>
    <w:rsid w:val="00CE39AC"/>
    <w:rsid w:val="00CE5B54"/>
    <w:rsid w:val="00CF1D56"/>
    <w:rsid w:val="00CF44C2"/>
    <w:rsid w:val="00CF57EC"/>
    <w:rsid w:val="00CF5D5E"/>
    <w:rsid w:val="00CF6583"/>
    <w:rsid w:val="00CF6AEF"/>
    <w:rsid w:val="00CF74D9"/>
    <w:rsid w:val="00D009E1"/>
    <w:rsid w:val="00D02A51"/>
    <w:rsid w:val="00D05A12"/>
    <w:rsid w:val="00D06AD7"/>
    <w:rsid w:val="00D10E83"/>
    <w:rsid w:val="00D14CCE"/>
    <w:rsid w:val="00D204CB"/>
    <w:rsid w:val="00D20F3C"/>
    <w:rsid w:val="00D21022"/>
    <w:rsid w:val="00D2178C"/>
    <w:rsid w:val="00D2310E"/>
    <w:rsid w:val="00D240E0"/>
    <w:rsid w:val="00D27B03"/>
    <w:rsid w:val="00D3121B"/>
    <w:rsid w:val="00D33DE4"/>
    <w:rsid w:val="00D40CDA"/>
    <w:rsid w:val="00D4189A"/>
    <w:rsid w:val="00D41D6D"/>
    <w:rsid w:val="00D4275A"/>
    <w:rsid w:val="00D429C5"/>
    <w:rsid w:val="00D43016"/>
    <w:rsid w:val="00D43F3E"/>
    <w:rsid w:val="00D463E7"/>
    <w:rsid w:val="00D46BB6"/>
    <w:rsid w:val="00D50C1B"/>
    <w:rsid w:val="00D5321F"/>
    <w:rsid w:val="00D540B1"/>
    <w:rsid w:val="00D54A5C"/>
    <w:rsid w:val="00D56C51"/>
    <w:rsid w:val="00D6012D"/>
    <w:rsid w:val="00D60747"/>
    <w:rsid w:val="00D62ED3"/>
    <w:rsid w:val="00D64B45"/>
    <w:rsid w:val="00D674CB"/>
    <w:rsid w:val="00D71543"/>
    <w:rsid w:val="00D71EED"/>
    <w:rsid w:val="00D720A7"/>
    <w:rsid w:val="00D72F06"/>
    <w:rsid w:val="00D7417F"/>
    <w:rsid w:val="00D753A7"/>
    <w:rsid w:val="00D77009"/>
    <w:rsid w:val="00D80AC7"/>
    <w:rsid w:val="00D82662"/>
    <w:rsid w:val="00D85B82"/>
    <w:rsid w:val="00D90722"/>
    <w:rsid w:val="00D907F4"/>
    <w:rsid w:val="00D917B2"/>
    <w:rsid w:val="00D931CF"/>
    <w:rsid w:val="00D94292"/>
    <w:rsid w:val="00D94B4F"/>
    <w:rsid w:val="00DA15A4"/>
    <w:rsid w:val="00DA4F54"/>
    <w:rsid w:val="00DA5D2D"/>
    <w:rsid w:val="00DA62FC"/>
    <w:rsid w:val="00DA67A6"/>
    <w:rsid w:val="00DB0870"/>
    <w:rsid w:val="00DB1ACF"/>
    <w:rsid w:val="00DC34EB"/>
    <w:rsid w:val="00DC464C"/>
    <w:rsid w:val="00DC4D59"/>
    <w:rsid w:val="00DD642D"/>
    <w:rsid w:val="00DD6E24"/>
    <w:rsid w:val="00DD7D6D"/>
    <w:rsid w:val="00DE07A3"/>
    <w:rsid w:val="00DE2288"/>
    <w:rsid w:val="00DE2F43"/>
    <w:rsid w:val="00DE69CC"/>
    <w:rsid w:val="00DF17D4"/>
    <w:rsid w:val="00DF2819"/>
    <w:rsid w:val="00DF3DF5"/>
    <w:rsid w:val="00E01ABF"/>
    <w:rsid w:val="00E034F3"/>
    <w:rsid w:val="00E03E72"/>
    <w:rsid w:val="00E04723"/>
    <w:rsid w:val="00E077C8"/>
    <w:rsid w:val="00E115EE"/>
    <w:rsid w:val="00E135DE"/>
    <w:rsid w:val="00E14900"/>
    <w:rsid w:val="00E15D32"/>
    <w:rsid w:val="00E16D36"/>
    <w:rsid w:val="00E21BD1"/>
    <w:rsid w:val="00E2398B"/>
    <w:rsid w:val="00E23BA8"/>
    <w:rsid w:val="00E240F1"/>
    <w:rsid w:val="00E30361"/>
    <w:rsid w:val="00E34642"/>
    <w:rsid w:val="00E3569A"/>
    <w:rsid w:val="00E36525"/>
    <w:rsid w:val="00E40ADC"/>
    <w:rsid w:val="00E40C0B"/>
    <w:rsid w:val="00E41A22"/>
    <w:rsid w:val="00E425B4"/>
    <w:rsid w:val="00E4260D"/>
    <w:rsid w:val="00E436B4"/>
    <w:rsid w:val="00E4594E"/>
    <w:rsid w:val="00E46391"/>
    <w:rsid w:val="00E470E1"/>
    <w:rsid w:val="00E50D76"/>
    <w:rsid w:val="00E51664"/>
    <w:rsid w:val="00E52ABF"/>
    <w:rsid w:val="00E53BC1"/>
    <w:rsid w:val="00E5492C"/>
    <w:rsid w:val="00E57BFF"/>
    <w:rsid w:val="00E64742"/>
    <w:rsid w:val="00E64C48"/>
    <w:rsid w:val="00E65734"/>
    <w:rsid w:val="00E65AB6"/>
    <w:rsid w:val="00E6699C"/>
    <w:rsid w:val="00E67275"/>
    <w:rsid w:val="00E729D3"/>
    <w:rsid w:val="00E73D5D"/>
    <w:rsid w:val="00E75127"/>
    <w:rsid w:val="00E752C5"/>
    <w:rsid w:val="00E75306"/>
    <w:rsid w:val="00E75B95"/>
    <w:rsid w:val="00E774F4"/>
    <w:rsid w:val="00E80205"/>
    <w:rsid w:val="00E82A28"/>
    <w:rsid w:val="00E8584A"/>
    <w:rsid w:val="00E91DCA"/>
    <w:rsid w:val="00E958CC"/>
    <w:rsid w:val="00E95D4D"/>
    <w:rsid w:val="00E9611A"/>
    <w:rsid w:val="00E976B6"/>
    <w:rsid w:val="00EA015F"/>
    <w:rsid w:val="00EA0F0D"/>
    <w:rsid w:val="00EA1237"/>
    <w:rsid w:val="00EA3960"/>
    <w:rsid w:val="00EA619B"/>
    <w:rsid w:val="00EB4179"/>
    <w:rsid w:val="00EB5D28"/>
    <w:rsid w:val="00EB61FB"/>
    <w:rsid w:val="00EB6761"/>
    <w:rsid w:val="00EC0193"/>
    <w:rsid w:val="00EC0CA7"/>
    <w:rsid w:val="00EC1108"/>
    <w:rsid w:val="00EC236D"/>
    <w:rsid w:val="00EC41E5"/>
    <w:rsid w:val="00EC70EE"/>
    <w:rsid w:val="00ED1BB0"/>
    <w:rsid w:val="00ED1D10"/>
    <w:rsid w:val="00ED2D00"/>
    <w:rsid w:val="00ED3D4E"/>
    <w:rsid w:val="00ED4481"/>
    <w:rsid w:val="00ED4D9B"/>
    <w:rsid w:val="00ED63A9"/>
    <w:rsid w:val="00ED6CFA"/>
    <w:rsid w:val="00EE2450"/>
    <w:rsid w:val="00EE2BD4"/>
    <w:rsid w:val="00EE358C"/>
    <w:rsid w:val="00EE485F"/>
    <w:rsid w:val="00EE4AAD"/>
    <w:rsid w:val="00EF130C"/>
    <w:rsid w:val="00EF2DB4"/>
    <w:rsid w:val="00EF469A"/>
    <w:rsid w:val="00EF4966"/>
    <w:rsid w:val="00EF4A7D"/>
    <w:rsid w:val="00EF5AA9"/>
    <w:rsid w:val="00EF6FB6"/>
    <w:rsid w:val="00F02E74"/>
    <w:rsid w:val="00F03402"/>
    <w:rsid w:val="00F041BD"/>
    <w:rsid w:val="00F063FF"/>
    <w:rsid w:val="00F07FAB"/>
    <w:rsid w:val="00F119E5"/>
    <w:rsid w:val="00F12E72"/>
    <w:rsid w:val="00F13599"/>
    <w:rsid w:val="00F136C9"/>
    <w:rsid w:val="00F14A60"/>
    <w:rsid w:val="00F152DB"/>
    <w:rsid w:val="00F2208F"/>
    <w:rsid w:val="00F22956"/>
    <w:rsid w:val="00F2583D"/>
    <w:rsid w:val="00F262EB"/>
    <w:rsid w:val="00F2670B"/>
    <w:rsid w:val="00F26E0E"/>
    <w:rsid w:val="00F27701"/>
    <w:rsid w:val="00F27ADC"/>
    <w:rsid w:val="00F310F9"/>
    <w:rsid w:val="00F31B3A"/>
    <w:rsid w:val="00F33DE8"/>
    <w:rsid w:val="00F35017"/>
    <w:rsid w:val="00F36F58"/>
    <w:rsid w:val="00F376A9"/>
    <w:rsid w:val="00F379A4"/>
    <w:rsid w:val="00F37FD4"/>
    <w:rsid w:val="00F42819"/>
    <w:rsid w:val="00F42D51"/>
    <w:rsid w:val="00F43599"/>
    <w:rsid w:val="00F473D7"/>
    <w:rsid w:val="00F51933"/>
    <w:rsid w:val="00F52151"/>
    <w:rsid w:val="00F568FF"/>
    <w:rsid w:val="00F5764F"/>
    <w:rsid w:val="00F6060A"/>
    <w:rsid w:val="00F61D17"/>
    <w:rsid w:val="00F639FB"/>
    <w:rsid w:val="00F67D7C"/>
    <w:rsid w:val="00F70597"/>
    <w:rsid w:val="00F71077"/>
    <w:rsid w:val="00F727AD"/>
    <w:rsid w:val="00F7343C"/>
    <w:rsid w:val="00F7345A"/>
    <w:rsid w:val="00F734C1"/>
    <w:rsid w:val="00F77929"/>
    <w:rsid w:val="00F82DB6"/>
    <w:rsid w:val="00F85A63"/>
    <w:rsid w:val="00F93011"/>
    <w:rsid w:val="00F93815"/>
    <w:rsid w:val="00F9591C"/>
    <w:rsid w:val="00FA05F7"/>
    <w:rsid w:val="00FA08D6"/>
    <w:rsid w:val="00FA0B3D"/>
    <w:rsid w:val="00FA3115"/>
    <w:rsid w:val="00FA4CC9"/>
    <w:rsid w:val="00FA6C92"/>
    <w:rsid w:val="00FA7C23"/>
    <w:rsid w:val="00FB1D7B"/>
    <w:rsid w:val="00FB37D1"/>
    <w:rsid w:val="00FB54D9"/>
    <w:rsid w:val="00FB6C61"/>
    <w:rsid w:val="00FC13BC"/>
    <w:rsid w:val="00FC4747"/>
    <w:rsid w:val="00FD08A8"/>
    <w:rsid w:val="00FD12A2"/>
    <w:rsid w:val="00FD3A7A"/>
    <w:rsid w:val="00FD53A6"/>
    <w:rsid w:val="00FD6038"/>
    <w:rsid w:val="00FD605F"/>
    <w:rsid w:val="00FD6AB0"/>
    <w:rsid w:val="00FD6FF0"/>
    <w:rsid w:val="00FD713F"/>
    <w:rsid w:val="00FE0684"/>
    <w:rsid w:val="00FE124F"/>
    <w:rsid w:val="00FE1D10"/>
    <w:rsid w:val="00FE3A82"/>
    <w:rsid w:val="00FE68FF"/>
    <w:rsid w:val="00FE6B06"/>
    <w:rsid w:val="00FE6CA1"/>
    <w:rsid w:val="00FE6D13"/>
    <w:rsid w:val="00FE7359"/>
    <w:rsid w:val="00FF06B5"/>
    <w:rsid w:val="00FF43A7"/>
    <w:rsid w:val="00FF48ED"/>
    <w:rsid w:val="00FF4DD0"/>
    <w:rsid w:val="00FF7053"/>
    <w:rsid w:val="00FF75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59"/>
    <w:rPr>
      <w:rFonts w:ascii="Times New Roman" w:eastAsia="Times New Roman" w:hAnsi="Times New Roman"/>
      <w:sz w:val="24"/>
    </w:rPr>
  </w:style>
  <w:style w:type="paragraph" w:styleId="Heading1">
    <w:name w:val="heading 1"/>
    <w:basedOn w:val="Normal"/>
    <w:next w:val="Normal"/>
    <w:link w:val="Heading1Char"/>
    <w:uiPriority w:val="9"/>
    <w:qFormat/>
    <w:rsid w:val="00815659"/>
    <w:pPr>
      <w:widowControl w:val="0"/>
      <w:jc w:val="center"/>
      <w:outlineLvl w:val="0"/>
    </w:pPr>
    <w:rPr>
      <w:b/>
      <w:szCs w:val="24"/>
    </w:rPr>
  </w:style>
  <w:style w:type="paragraph" w:styleId="Heading2">
    <w:name w:val="heading 2"/>
    <w:basedOn w:val="Heading1"/>
    <w:next w:val="Normal"/>
    <w:link w:val="Heading2Char"/>
    <w:uiPriority w:val="9"/>
    <w:unhideWhenUsed/>
    <w:qFormat/>
    <w:rsid w:val="00815659"/>
    <w:pPr>
      <w:outlineLvl w:val="1"/>
    </w:pPr>
  </w:style>
  <w:style w:type="paragraph" w:styleId="Heading3">
    <w:name w:val="heading 3"/>
    <w:basedOn w:val="Heading2"/>
    <w:next w:val="Normal"/>
    <w:link w:val="Heading3Char"/>
    <w:uiPriority w:val="9"/>
    <w:unhideWhenUsed/>
    <w:qFormat/>
    <w:rsid w:val="004A19B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rsid w:val="00A77D7D"/>
    <w:rPr>
      <w:sz w:val="24"/>
    </w:rPr>
  </w:style>
  <w:style w:type="paragraph" w:styleId="FootnoteText">
    <w:name w:val="footnote text"/>
    <w:basedOn w:val="Normal"/>
    <w:link w:val="FootnoteTextChar"/>
    <w:uiPriority w:val="99"/>
    <w:rsid w:val="00A77D7D"/>
    <w:pPr>
      <w:widowControl w:val="0"/>
      <w:ind w:firstLine="720"/>
    </w:pPr>
    <w:rPr>
      <w:rFonts w:ascii="Calibri" w:eastAsia="Calibri" w:hAnsi="Calibri"/>
    </w:rPr>
  </w:style>
  <w:style w:type="character" w:customStyle="1" w:styleId="FootnoteTextChar1">
    <w:name w:val="Footnote Text Char1"/>
    <w:uiPriority w:val="99"/>
    <w:semiHidden/>
    <w:rsid w:val="00A77D7D"/>
    <w:rPr>
      <w:rFonts w:ascii="Times New Roman" w:eastAsia="Times New Roman" w:hAnsi="Times New Roman"/>
    </w:rPr>
  </w:style>
  <w:style w:type="character" w:styleId="FootnoteReference">
    <w:name w:val="footnote reference"/>
    <w:uiPriority w:val="99"/>
    <w:semiHidden/>
    <w:rsid w:val="00A77D7D"/>
    <w:rPr>
      <w:vertAlign w:val="superscript"/>
    </w:rPr>
  </w:style>
  <w:style w:type="paragraph" w:customStyle="1" w:styleId="WPTitle">
    <w:name w:val="WP_Title"/>
    <w:basedOn w:val="Normal"/>
    <w:uiPriority w:val="99"/>
    <w:rsid w:val="00290C14"/>
    <w:pPr>
      <w:widowControl w:val="0"/>
      <w:jc w:val="center"/>
    </w:pPr>
    <w:rPr>
      <w:b/>
      <w:sz w:val="20"/>
    </w:rPr>
  </w:style>
  <w:style w:type="paragraph" w:styleId="Header">
    <w:name w:val="header"/>
    <w:basedOn w:val="Normal"/>
    <w:link w:val="HeaderChar"/>
    <w:uiPriority w:val="99"/>
    <w:unhideWhenUsed/>
    <w:rsid w:val="0092137F"/>
    <w:pPr>
      <w:tabs>
        <w:tab w:val="center" w:pos="4680"/>
        <w:tab w:val="right" w:pos="9360"/>
      </w:tabs>
    </w:pPr>
  </w:style>
  <w:style w:type="character" w:customStyle="1" w:styleId="HeaderChar">
    <w:name w:val="Header Char"/>
    <w:link w:val="Header"/>
    <w:uiPriority w:val="99"/>
    <w:rsid w:val="0092137F"/>
    <w:rPr>
      <w:rFonts w:ascii="Times New Roman" w:eastAsia="Times New Roman" w:hAnsi="Times New Roman"/>
      <w:sz w:val="24"/>
    </w:rPr>
  </w:style>
  <w:style w:type="paragraph" w:styleId="Footer">
    <w:name w:val="footer"/>
    <w:basedOn w:val="Normal"/>
    <w:link w:val="FooterChar"/>
    <w:uiPriority w:val="99"/>
    <w:unhideWhenUsed/>
    <w:rsid w:val="0092137F"/>
    <w:pPr>
      <w:tabs>
        <w:tab w:val="center" w:pos="4680"/>
        <w:tab w:val="right" w:pos="9360"/>
      </w:tabs>
    </w:pPr>
  </w:style>
  <w:style w:type="character" w:customStyle="1" w:styleId="FooterChar">
    <w:name w:val="Footer Char"/>
    <w:link w:val="Footer"/>
    <w:uiPriority w:val="99"/>
    <w:rsid w:val="0092137F"/>
    <w:rPr>
      <w:rFonts w:ascii="Times New Roman" w:eastAsia="Times New Roman" w:hAnsi="Times New Roman"/>
      <w:sz w:val="24"/>
    </w:rPr>
  </w:style>
  <w:style w:type="paragraph" w:styleId="BalloonText">
    <w:name w:val="Balloon Text"/>
    <w:basedOn w:val="Normal"/>
    <w:link w:val="BalloonTextChar"/>
    <w:uiPriority w:val="99"/>
    <w:semiHidden/>
    <w:unhideWhenUsed/>
    <w:rsid w:val="00180677"/>
    <w:rPr>
      <w:rFonts w:ascii="Tahoma" w:hAnsi="Tahoma"/>
      <w:sz w:val="16"/>
      <w:szCs w:val="16"/>
    </w:rPr>
  </w:style>
  <w:style w:type="character" w:customStyle="1" w:styleId="BalloonTextChar">
    <w:name w:val="Balloon Text Char"/>
    <w:link w:val="BalloonText"/>
    <w:uiPriority w:val="99"/>
    <w:semiHidden/>
    <w:rsid w:val="00180677"/>
    <w:rPr>
      <w:rFonts w:ascii="Tahoma" w:eastAsia="Times New Roman" w:hAnsi="Tahoma" w:cs="Tahoma"/>
      <w:sz w:val="16"/>
      <w:szCs w:val="16"/>
    </w:rPr>
  </w:style>
  <w:style w:type="paragraph" w:customStyle="1" w:styleId="ColorfulList-Accent11">
    <w:name w:val="Colorful List - Accent 11"/>
    <w:basedOn w:val="Normal"/>
    <w:uiPriority w:val="34"/>
    <w:qFormat/>
    <w:rsid w:val="009A2F5F"/>
    <w:pPr>
      <w:widowControl w:val="0"/>
      <w:autoSpaceDE w:val="0"/>
      <w:autoSpaceDN w:val="0"/>
      <w:adjustRightInd w:val="0"/>
      <w:ind w:left="720"/>
      <w:contextualSpacing/>
    </w:pPr>
    <w:rPr>
      <w:szCs w:val="24"/>
    </w:rPr>
  </w:style>
  <w:style w:type="character" w:styleId="Hyperlink">
    <w:name w:val="Hyperlink"/>
    <w:uiPriority w:val="99"/>
    <w:unhideWhenUsed/>
    <w:rsid w:val="00DC464C"/>
    <w:rPr>
      <w:color w:val="0000FF"/>
      <w:u w:val="single"/>
    </w:rPr>
  </w:style>
  <w:style w:type="paragraph" w:styleId="DocumentMap">
    <w:name w:val="Document Map"/>
    <w:basedOn w:val="Normal"/>
    <w:link w:val="DocumentMapChar"/>
    <w:uiPriority w:val="99"/>
    <w:semiHidden/>
    <w:unhideWhenUsed/>
    <w:rsid w:val="0040381C"/>
    <w:rPr>
      <w:rFonts w:ascii="Tahoma" w:hAnsi="Tahoma"/>
      <w:sz w:val="16"/>
      <w:szCs w:val="16"/>
    </w:rPr>
  </w:style>
  <w:style w:type="character" w:customStyle="1" w:styleId="DocumentMapChar">
    <w:name w:val="Document Map Char"/>
    <w:link w:val="DocumentMap"/>
    <w:uiPriority w:val="99"/>
    <w:semiHidden/>
    <w:rsid w:val="0040381C"/>
    <w:rPr>
      <w:rFonts w:ascii="Tahoma" w:eastAsia="Times New Roman" w:hAnsi="Tahoma" w:cs="Tahoma"/>
      <w:sz w:val="16"/>
      <w:szCs w:val="16"/>
    </w:rPr>
  </w:style>
  <w:style w:type="character" w:customStyle="1" w:styleId="searchterm">
    <w:name w:val="searchterm"/>
    <w:rsid w:val="00107277"/>
  </w:style>
  <w:style w:type="character" w:customStyle="1" w:styleId="starpage">
    <w:name w:val="starpage"/>
    <w:rsid w:val="00217F94"/>
  </w:style>
  <w:style w:type="paragraph" w:styleId="PlainText">
    <w:name w:val="Plain Text"/>
    <w:basedOn w:val="Normal"/>
    <w:link w:val="PlainTextChar"/>
    <w:uiPriority w:val="99"/>
    <w:unhideWhenUsed/>
    <w:rsid w:val="006F7F15"/>
    <w:rPr>
      <w:rFonts w:ascii="Calibri" w:eastAsia="Calibri" w:hAnsi="Calibri"/>
      <w:sz w:val="22"/>
      <w:szCs w:val="21"/>
    </w:rPr>
  </w:style>
  <w:style w:type="character" w:customStyle="1" w:styleId="PlainTextChar">
    <w:name w:val="Plain Text Char"/>
    <w:link w:val="PlainText"/>
    <w:uiPriority w:val="99"/>
    <w:rsid w:val="006F7F15"/>
    <w:rPr>
      <w:sz w:val="22"/>
      <w:szCs w:val="21"/>
    </w:rPr>
  </w:style>
  <w:style w:type="paragraph" w:customStyle="1" w:styleId="QuickA">
    <w:name w:val="Quick A."/>
    <w:uiPriority w:val="99"/>
    <w:rsid w:val="00F734C1"/>
    <w:pPr>
      <w:autoSpaceDE w:val="0"/>
      <w:autoSpaceDN w:val="0"/>
      <w:adjustRightInd w:val="0"/>
      <w:ind w:left="-1440"/>
    </w:pPr>
    <w:rPr>
      <w:rFonts w:ascii="Courier New" w:hAnsi="Courier New" w:cs="Courier New"/>
      <w:sz w:val="24"/>
      <w:szCs w:val="24"/>
    </w:rPr>
  </w:style>
  <w:style w:type="paragraph" w:styleId="ListParagraph">
    <w:name w:val="List Paragraph"/>
    <w:basedOn w:val="Normal"/>
    <w:uiPriority w:val="34"/>
    <w:qFormat/>
    <w:rsid w:val="005F4487"/>
    <w:pPr>
      <w:ind w:left="720"/>
    </w:pPr>
  </w:style>
  <w:style w:type="character" w:customStyle="1" w:styleId="Heading1Char">
    <w:name w:val="Heading 1 Char"/>
    <w:link w:val="Heading1"/>
    <w:uiPriority w:val="9"/>
    <w:rsid w:val="00815659"/>
    <w:rPr>
      <w:rFonts w:ascii="Times New Roman" w:eastAsia="Times New Roman" w:hAnsi="Times New Roman"/>
      <w:b/>
      <w:sz w:val="24"/>
      <w:szCs w:val="24"/>
    </w:rPr>
  </w:style>
  <w:style w:type="character" w:customStyle="1" w:styleId="Heading2Char">
    <w:name w:val="Heading 2 Char"/>
    <w:link w:val="Heading2"/>
    <w:uiPriority w:val="9"/>
    <w:rsid w:val="00815659"/>
    <w:rPr>
      <w:rFonts w:ascii="Times New Roman" w:eastAsia="Times New Roman" w:hAnsi="Times New Roman"/>
      <w:b/>
      <w:sz w:val="24"/>
      <w:szCs w:val="24"/>
    </w:rPr>
  </w:style>
  <w:style w:type="character" w:customStyle="1" w:styleId="documentbody">
    <w:name w:val="documentbody"/>
    <w:rsid w:val="007B131E"/>
  </w:style>
  <w:style w:type="character" w:customStyle="1" w:styleId="Heading3Char">
    <w:name w:val="Heading 3 Char"/>
    <w:link w:val="Heading3"/>
    <w:uiPriority w:val="9"/>
    <w:rsid w:val="004A19B2"/>
    <w:rPr>
      <w:rFonts w:ascii="Times New Roman" w:eastAsia="Times New Roman" w:hAnsi="Times New Roman"/>
      <w:b/>
      <w:sz w:val="24"/>
      <w:szCs w:val="24"/>
    </w:rPr>
  </w:style>
  <w:style w:type="paragraph" w:styleId="TOAHeading">
    <w:name w:val="toa heading"/>
    <w:basedOn w:val="Normal"/>
    <w:next w:val="Normal"/>
    <w:uiPriority w:val="99"/>
    <w:unhideWhenUsed/>
    <w:rsid w:val="00391B7C"/>
    <w:pPr>
      <w:spacing w:before="120"/>
    </w:pPr>
    <w:rPr>
      <w:rFonts w:ascii="Cambria" w:hAnsi="Cambria"/>
      <w:b/>
      <w:bCs/>
      <w:szCs w:val="24"/>
    </w:rPr>
  </w:style>
  <w:style w:type="paragraph" w:styleId="TableofAuthorities">
    <w:name w:val="table of authorities"/>
    <w:basedOn w:val="Normal"/>
    <w:next w:val="Normal"/>
    <w:uiPriority w:val="99"/>
    <w:unhideWhenUsed/>
    <w:rsid w:val="00391B7C"/>
    <w:pPr>
      <w:ind w:left="240" w:hanging="240"/>
    </w:pPr>
  </w:style>
  <w:style w:type="paragraph" w:styleId="TOC1">
    <w:name w:val="toc 1"/>
    <w:basedOn w:val="Normal"/>
    <w:next w:val="Normal"/>
    <w:autoRedefine/>
    <w:uiPriority w:val="39"/>
    <w:unhideWhenUsed/>
    <w:rsid w:val="00815659"/>
    <w:pPr>
      <w:tabs>
        <w:tab w:val="right" w:leader="dot" w:pos="9350"/>
      </w:tabs>
    </w:pPr>
    <w:rPr>
      <w:noProof/>
    </w:rPr>
  </w:style>
  <w:style w:type="paragraph" w:styleId="TOC2">
    <w:name w:val="toc 2"/>
    <w:basedOn w:val="Normal"/>
    <w:next w:val="Normal"/>
    <w:autoRedefine/>
    <w:uiPriority w:val="39"/>
    <w:unhideWhenUsed/>
    <w:rsid w:val="007578C0"/>
    <w:pPr>
      <w:tabs>
        <w:tab w:val="left" w:pos="720"/>
        <w:tab w:val="right" w:leader="dot" w:pos="9360"/>
      </w:tabs>
      <w:ind w:left="720" w:right="720" w:hanging="480"/>
    </w:pPr>
  </w:style>
  <w:style w:type="character" w:styleId="CommentReference">
    <w:name w:val="annotation reference"/>
    <w:basedOn w:val="DefaultParagraphFont"/>
    <w:uiPriority w:val="99"/>
    <w:semiHidden/>
    <w:unhideWhenUsed/>
    <w:rsid w:val="00841EFD"/>
    <w:rPr>
      <w:sz w:val="16"/>
      <w:szCs w:val="16"/>
    </w:rPr>
  </w:style>
  <w:style w:type="paragraph" w:styleId="CommentText">
    <w:name w:val="annotation text"/>
    <w:basedOn w:val="Normal"/>
    <w:link w:val="CommentTextChar"/>
    <w:uiPriority w:val="99"/>
    <w:semiHidden/>
    <w:unhideWhenUsed/>
    <w:rsid w:val="00841EFD"/>
    <w:rPr>
      <w:sz w:val="20"/>
    </w:rPr>
  </w:style>
  <w:style w:type="character" w:customStyle="1" w:styleId="CommentTextChar">
    <w:name w:val="Comment Text Char"/>
    <w:basedOn w:val="DefaultParagraphFont"/>
    <w:link w:val="CommentText"/>
    <w:uiPriority w:val="99"/>
    <w:semiHidden/>
    <w:rsid w:val="00841EF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41EFD"/>
    <w:rPr>
      <w:b/>
      <w:bCs/>
    </w:rPr>
  </w:style>
  <w:style w:type="character" w:customStyle="1" w:styleId="CommentSubjectChar">
    <w:name w:val="Comment Subject Char"/>
    <w:basedOn w:val="CommentTextChar"/>
    <w:link w:val="CommentSubject"/>
    <w:uiPriority w:val="99"/>
    <w:semiHidden/>
    <w:rsid w:val="00841EFD"/>
    <w:rPr>
      <w:rFonts w:ascii="Times New Roman" w:eastAsia="Times New Roman" w:hAnsi="Times New Roman"/>
      <w:b/>
      <w:bCs/>
    </w:rPr>
  </w:style>
  <w:style w:type="paragraph" w:styleId="Title">
    <w:name w:val="Title"/>
    <w:basedOn w:val="Normal"/>
    <w:next w:val="Normal"/>
    <w:link w:val="TitleChar"/>
    <w:uiPriority w:val="10"/>
    <w:qFormat/>
    <w:rsid w:val="00815659"/>
    <w:pPr>
      <w:spacing w:before="118"/>
    </w:pPr>
    <w:rPr>
      <w:szCs w:val="24"/>
    </w:rPr>
  </w:style>
  <w:style w:type="character" w:customStyle="1" w:styleId="TitleChar">
    <w:name w:val="Title Char"/>
    <w:basedOn w:val="DefaultParagraphFont"/>
    <w:link w:val="Title"/>
    <w:uiPriority w:val="10"/>
    <w:rsid w:val="0081565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97"/>
    <w:rPr>
      <w:rFonts w:ascii="Times New Roman" w:eastAsia="Times New Roman" w:hAnsi="Times New Roman"/>
      <w:sz w:val="24"/>
    </w:rPr>
  </w:style>
  <w:style w:type="paragraph" w:styleId="Heading1">
    <w:name w:val="heading 1"/>
    <w:basedOn w:val="Normal"/>
    <w:next w:val="Normal"/>
    <w:link w:val="Heading1Char"/>
    <w:uiPriority w:val="9"/>
    <w:qFormat/>
    <w:rsid w:val="005F4487"/>
    <w:pPr>
      <w:keepNext/>
      <w:jc w:val="center"/>
      <w:outlineLvl w:val="0"/>
    </w:pPr>
    <w:rPr>
      <w:b/>
      <w:bCs/>
      <w:kern w:val="32"/>
      <w:szCs w:val="32"/>
    </w:rPr>
  </w:style>
  <w:style w:type="paragraph" w:styleId="Heading2">
    <w:name w:val="heading 2"/>
    <w:basedOn w:val="Normal"/>
    <w:next w:val="Normal"/>
    <w:link w:val="Heading2Char"/>
    <w:uiPriority w:val="9"/>
    <w:unhideWhenUsed/>
    <w:qFormat/>
    <w:rsid w:val="005F4487"/>
    <w:pPr>
      <w:keepNext/>
      <w:numPr>
        <w:numId w:val="29"/>
      </w:numPr>
      <w:spacing w:before="240" w:after="60"/>
      <w:outlineLvl w:val="1"/>
    </w:pPr>
    <w:rPr>
      <w:b/>
      <w:bCs/>
      <w:iCs/>
      <w:szCs w:val="28"/>
    </w:rPr>
  </w:style>
  <w:style w:type="paragraph" w:styleId="Heading3">
    <w:name w:val="heading 3"/>
    <w:basedOn w:val="Normal"/>
    <w:next w:val="Normal"/>
    <w:link w:val="Heading3Char"/>
    <w:uiPriority w:val="9"/>
    <w:unhideWhenUsed/>
    <w:qFormat/>
    <w:rsid w:val="00376BB9"/>
    <w:pPr>
      <w:keepNext/>
      <w:numPr>
        <w:numId w:val="32"/>
      </w:numPr>
      <w:spacing w:before="240" w:after="60"/>
      <w:outlineLvl w:val="2"/>
    </w:pPr>
    <w:rPr>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rsid w:val="00A77D7D"/>
    <w:rPr>
      <w:sz w:val="24"/>
    </w:rPr>
  </w:style>
  <w:style w:type="paragraph" w:styleId="FootnoteText">
    <w:name w:val="footnote text"/>
    <w:basedOn w:val="Normal"/>
    <w:link w:val="FootnoteTextChar"/>
    <w:uiPriority w:val="99"/>
    <w:rsid w:val="00A77D7D"/>
    <w:pPr>
      <w:widowControl w:val="0"/>
      <w:ind w:firstLine="720"/>
    </w:pPr>
    <w:rPr>
      <w:rFonts w:ascii="Calibri" w:eastAsia="Calibri" w:hAnsi="Calibri"/>
    </w:rPr>
  </w:style>
  <w:style w:type="character" w:customStyle="1" w:styleId="FootnoteTextChar1">
    <w:name w:val="Footnote Text Char1"/>
    <w:uiPriority w:val="99"/>
    <w:semiHidden/>
    <w:rsid w:val="00A77D7D"/>
    <w:rPr>
      <w:rFonts w:ascii="Times New Roman" w:eastAsia="Times New Roman" w:hAnsi="Times New Roman"/>
    </w:rPr>
  </w:style>
  <w:style w:type="character" w:styleId="FootnoteReference">
    <w:name w:val="footnote reference"/>
    <w:uiPriority w:val="99"/>
    <w:semiHidden/>
    <w:rsid w:val="00A77D7D"/>
    <w:rPr>
      <w:vertAlign w:val="superscript"/>
    </w:rPr>
  </w:style>
  <w:style w:type="paragraph" w:customStyle="1" w:styleId="WPTitle">
    <w:name w:val="WP_Title"/>
    <w:basedOn w:val="Normal"/>
    <w:uiPriority w:val="99"/>
    <w:rsid w:val="00290C14"/>
    <w:pPr>
      <w:widowControl w:val="0"/>
      <w:jc w:val="center"/>
    </w:pPr>
    <w:rPr>
      <w:b/>
      <w:sz w:val="20"/>
    </w:rPr>
  </w:style>
  <w:style w:type="paragraph" w:styleId="Header">
    <w:name w:val="header"/>
    <w:basedOn w:val="Normal"/>
    <w:link w:val="HeaderChar"/>
    <w:uiPriority w:val="99"/>
    <w:unhideWhenUsed/>
    <w:rsid w:val="0092137F"/>
    <w:pPr>
      <w:tabs>
        <w:tab w:val="center" w:pos="4680"/>
        <w:tab w:val="right" w:pos="9360"/>
      </w:tabs>
    </w:pPr>
  </w:style>
  <w:style w:type="character" w:customStyle="1" w:styleId="HeaderChar">
    <w:name w:val="Header Char"/>
    <w:link w:val="Header"/>
    <w:uiPriority w:val="99"/>
    <w:rsid w:val="0092137F"/>
    <w:rPr>
      <w:rFonts w:ascii="Times New Roman" w:eastAsia="Times New Roman" w:hAnsi="Times New Roman"/>
      <w:sz w:val="24"/>
    </w:rPr>
  </w:style>
  <w:style w:type="paragraph" w:styleId="Footer">
    <w:name w:val="footer"/>
    <w:basedOn w:val="Normal"/>
    <w:link w:val="FooterChar"/>
    <w:uiPriority w:val="99"/>
    <w:unhideWhenUsed/>
    <w:rsid w:val="0092137F"/>
    <w:pPr>
      <w:tabs>
        <w:tab w:val="center" w:pos="4680"/>
        <w:tab w:val="right" w:pos="9360"/>
      </w:tabs>
    </w:pPr>
  </w:style>
  <w:style w:type="character" w:customStyle="1" w:styleId="FooterChar">
    <w:name w:val="Footer Char"/>
    <w:link w:val="Footer"/>
    <w:uiPriority w:val="99"/>
    <w:rsid w:val="0092137F"/>
    <w:rPr>
      <w:rFonts w:ascii="Times New Roman" w:eastAsia="Times New Roman" w:hAnsi="Times New Roman"/>
      <w:sz w:val="24"/>
    </w:rPr>
  </w:style>
  <w:style w:type="paragraph" w:styleId="BalloonText">
    <w:name w:val="Balloon Text"/>
    <w:basedOn w:val="Normal"/>
    <w:link w:val="BalloonTextChar"/>
    <w:uiPriority w:val="99"/>
    <w:semiHidden/>
    <w:unhideWhenUsed/>
    <w:rsid w:val="00180677"/>
    <w:rPr>
      <w:rFonts w:ascii="Tahoma" w:hAnsi="Tahoma"/>
      <w:sz w:val="16"/>
      <w:szCs w:val="16"/>
    </w:rPr>
  </w:style>
  <w:style w:type="character" w:customStyle="1" w:styleId="BalloonTextChar">
    <w:name w:val="Balloon Text Char"/>
    <w:link w:val="BalloonText"/>
    <w:uiPriority w:val="99"/>
    <w:semiHidden/>
    <w:rsid w:val="00180677"/>
    <w:rPr>
      <w:rFonts w:ascii="Tahoma" w:eastAsia="Times New Roman" w:hAnsi="Tahoma" w:cs="Tahoma"/>
      <w:sz w:val="16"/>
      <w:szCs w:val="16"/>
    </w:rPr>
  </w:style>
  <w:style w:type="paragraph" w:customStyle="1" w:styleId="ColorfulList-Accent11">
    <w:name w:val="Colorful List - Accent 11"/>
    <w:basedOn w:val="Normal"/>
    <w:uiPriority w:val="34"/>
    <w:qFormat/>
    <w:rsid w:val="009A2F5F"/>
    <w:pPr>
      <w:widowControl w:val="0"/>
      <w:autoSpaceDE w:val="0"/>
      <w:autoSpaceDN w:val="0"/>
      <w:adjustRightInd w:val="0"/>
      <w:ind w:left="720"/>
      <w:contextualSpacing/>
    </w:pPr>
    <w:rPr>
      <w:szCs w:val="24"/>
    </w:rPr>
  </w:style>
  <w:style w:type="character" w:styleId="Hyperlink">
    <w:name w:val="Hyperlink"/>
    <w:uiPriority w:val="99"/>
    <w:unhideWhenUsed/>
    <w:rsid w:val="00DC464C"/>
    <w:rPr>
      <w:color w:val="0000FF"/>
      <w:u w:val="single"/>
    </w:rPr>
  </w:style>
  <w:style w:type="paragraph" w:styleId="DocumentMap">
    <w:name w:val="Document Map"/>
    <w:basedOn w:val="Normal"/>
    <w:link w:val="DocumentMapChar"/>
    <w:uiPriority w:val="99"/>
    <w:semiHidden/>
    <w:unhideWhenUsed/>
    <w:rsid w:val="0040381C"/>
    <w:rPr>
      <w:rFonts w:ascii="Tahoma" w:hAnsi="Tahoma"/>
      <w:sz w:val="16"/>
      <w:szCs w:val="16"/>
    </w:rPr>
  </w:style>
  <w:style w:type="character" w:customStyle="1" w:styleId="DocumentMapChar">
    <w:name w:val="Document Map Char"/>
    <w:link w:val="DocumentMap"/>
    <w:uiPriority w:val="99"/>
    <w:semiHidden/>
    <w:rsid w:val="0040381C"/>
    <w:rPr>
      <w:rFonts w:ascii="Tahoma" w:eastAsia="Times New Roman" w:hAnsi="Tahoma" w:cs="Tahoma"/>
      <w:sz w:val="16"/>
      <w:szCs w:val="16"/>
    </w:rPr>
  </w:style>
  <w:style w:type="character" w:customStyle="1" w:styleId="searchterm">
    <w:name w:val="searchterm"/>
    <w:rsid w:val="00107277"/>
  </w:style>
  <w:style w:type="character" w:customStyle="1" w:styleId="starpage">
    <w:name w:val="starpage"/>
    <w:rsid w:val="00217F94"/>
  </w:style>
  <w:style w:type="paragraph" w:styleId="PlainText">
    <w:name w:val="Plain Text"/>
    <w:basedOn w:val="Normal"/>
    <w:link w:val="PlainTextChar"/>
    <w:uiPriority w:val="99"/>
    <w:unhideWhenUsed/>
    <w:rsid w:val="006F7F15"/>
    <w:rPr>
      <w:rFonts w:ascii="Calibri" w:eastAsia="Calibri" w:hAnsi="Calibri"/>
      <w:sz w:val="22"/>
      <w:szCs w:val="21"/>
    </w:rPr>
  </w:style>
  <w:style w:type="character" w:customStyle="1" w:styleId="PlainTextChar">
    <w:name w:val="Plain Text Char"/>
    <w:link w:val="PlainText"/>
    <w:uiPriority w:val="99"/>
    <w:rsid w:val="006F7F15"/>
    <w:rPr>
      <w:sz w:val="22"/>
      <w:szCs w:val="21"/>
    </w:rPr>
  </w:style>
  <w:style w:type="paragraph" w:customStyle="1" w:styleId="QuickA">
    <w:name w:val="Quick A."/>
    <w:uiPriority w:val="99"/>
    <w:rsid w:val="00F734C1"/>
    <w:pPr>
      <w:autoSpaceDE w:val="0"/>
      <w:autoSpaceDN w:val="0"/>
      <w:adjustRightInd w:val="0"/>
      <w:ind w:left="-1440"/>
    </w:pPr>
    <w:rPr>
      <w:rFonts w:ascii="Courier New" w:hAnsi="Courier New" w:cs="Courier New"/>
      <w:sz w:val="24"/>
      <w:szCs w:val="24"/>
    </w:rPr>
  </w:style>
  <w:style w:type="paragraph" w:styleId="ListParagraph">
    <w:name w:val="List Paragraph"/>
    <w:basedOn w:val="Normal"/>
    <w:uiPriority w:val="34"/>
    <w:qFormat/>
    <w:rsid w:val="005F4487"/>
    <w:pPr>
      <w:ind w:left="720"/>
    </w:pPr>
  </w:style>
  <w:style w:type="character" w:customStyle="1" w:styleId="Heading1Char">
    <w:name w:val="Heading 1 Char"/>
    <w:link w:val="Heading1"/>
    <w:uiPriority w:val="9"/>
    <w:rsid w:val="005F4487"/>
    <w:rPr>
      <w:rFonts w:ascii="Times New Roman" w:eastAsia="Times New Roman" w:hAnsi="Times New Roman" w:cs="Times New Roman"/>
      <w:b/>
      <w:bCs/>
      <w:kern w:val="32"/>
      <w:sz w:val="24"/>
      <w:szCs w:val="32"/>
    </w:rPr>
  </w:style>
  <w:style w:type="character" w:customStyle="1" w:styleId="Heading2Char">
    <w:name w:val="Heading 2 Char"/>
    <w:link w:val="Heading2"/>
    <w:uiPriority w:val="9"/>
    <w:rsid w:val="005F4487"/>
    <w:rPr>
      <w:rFonts w:ascii="Times New Roman" w:eastAsia="Times New Roman" w:hAnsi="Times New Roman"/>
      <w:b/>
      <w:bCs/>
      <w:iCs/>
      <w:sz w:val="24"/>
      <w:szCs w:val="28"/>
    </w:rPr>
  </w:style>
  <w:style w:type="character" w:customStyle="1" w:styleId="documentbody">
    <w:name w:val="documentbody"/>
    <w:rsid w:val="007B131E"/>
  </w:style>
  <w:style w:type="character" w:customStyle="1" w:styleId="Heading3Char">
    <w:name w:val="Heading 3 Char"/>
    <w:link w:val="Heading3"/>
    <w:uiPriority w:val="9"/>
    <w:rsid w:val="00376BB9"/>
    <w:rPr>
      <w:rFonts w:ascii="Times New Roman" w:eastAsia="Times New Roman" w:hAnsi="Times New Roman" w:cs="Times New Roman"/>
      <w:bCs/>
      <w:i/>
      <w:sz w:val="24"/>
      <w:szCs w:val="26"/>
      <w:u w:val="single"/>
    </w:rPr>
  </w:style>
  <w:style w:type="paragraph" w:styleId="TOAHeading">
    <w:name w:val="toa heading"/>
    <w:basedOn w:val="Normal"/>
    <w:next w:val="Normal"/>
    <w:uiPriority w:val="99"/>
    <w:unhideWhenUsed/>
    <w:rsid w:val="00391B7C"/>
    <w:pPr>
      <w:spacing w:before="120"/>
    </w:pPr>
    <w:rPr>
      <w:rFonts w:ascii="Cambria" w:hAnsi="Cambria"/>
      <w:b/>
      <w:bCs/>
      <w:szCs w:val="24"/>
    </w:rPr>
  </w:style>
  <w:style w:type="paragraph" w:styleId="TableofAuthorities">
    <w:name w:val="table of authorities"/>
    <w:basedOn w:val="Normal"/>
    <w:next w:val="Normal"/>
    <w:uiPriority w:val="99"/>
    <w:unhideWhenUsed/>
    <w:rsid w:val="00391B7C"/>
    <w:pPr>
      <w:ind w:left="240" w:hanging="240"/>
    </w:pPr>
  </w:style>
  <w:style w:type="paragraph" w:styleId="TOC1">
    <w:name w:val="toc 1"/>
    <w:basedOn w:val="Normal"/>
    <w:next w:val="Normal"/>
    <w:autoRedefine/>
    <w:uiPriority w:val="39"/>
    <w:unhideWhenUsed/>
    <w:rsid w:val="00984746"/>
  </w:style>
  <w:style w:type="paragraph" w:styleId="TOC2">
    <w:name w:val="toc 2"/>
    <w:basedOn w:val="Normal"/>
    <w:next w:val="Normal"/>
    <w:autoRedefine/>
    <w:uiPriority w:val="39"/>
    <w:unhideWhenUsed/>
    <w:rsid w:val="007578C0"/>
    <w:pPr>
      <w:tabs>
        <w:tab w:val="left" w:pos="720"/>
        <w:tab w:val="right" w:leader="dot" w:pos="9360"/>
      </w:tabs>
      <w:ind w:left="720" w:right="720" w:hanging="480"/>
    </w:pPr>
  </w:style>
  <w:style w:type="character" w:styleId="CommentReference">
    <w:name w:val="annotation reference"/>
    <w:basedOn w:val="DefaultParagraphFont"/>
    <w:uiPriority w:val="99"/>
    <w:semiHidden/>
    <w:unhideWhenUsed/>
    <w:rsid w:val="00841EFD"/>
    <w:rPr>
      <w:sz w:val="16"/>
      <w:szCs w:val="16"/>
    </w:rPr>
  </w:style>
  <w:style w:type="paragraph" w:styleId="CommentText">
    <w:name w:val="annotation text"/>
    <w:basedOn w:val="Normal"/>
    <w:link w:val="CommentTextChar"/>
    <w:uiPriority w:val="99"/>
    <w:semiHidden/>
    <w:unhideWhenUsed/>
    <w:rsid w:val="00841EFD"/>
    <w:rPr>
      <w:sz w:val="20"/>
    </w:rPr>
  </w:style>
  <w:style w:type="character" w:customStyle="1" w:styleId="CommentTextChar">
    <w:name w:val="Comment Text Char"/>
    <w:basedOn w:val="DefaultParagraphFont"/>
    <w:link w:val="CommentText"/>
    <w:uiPriority w:val="99"/>
    <w:semiHidden/>
    <w:rsid w:val="00841EF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41EFD"/>
    <w:rPr>
      <w:b/>
      <w:bCs/>
    </w:rPr>
  </w:style>
  <w:style w:type="character" w:customStyle="1" w:styleId="CommentSubjectChar">
    <w:name w:val="Comment Subject Char"/>
    <w:basedOn w:val="CommentTextChar"/>
    <w:link w:val="CommentSubject"/>
    <w:uiPriority w:val="99"/>
    <w:semiHidden/>
    <w:rsid w:val="00841EFD"/>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200165879">
      <w:bodyDiv w:val="1"/>
      <w:marLeft w:val="0"/>
      <w:marRight w:val="0"/>
      <w:marTop w:val="0"/>
      <w:marBottom w:val="0"/>
      <w:divBdr>
        <w:top w:val="none" w:sz="0" w:space="0" w:color="auto"/>
        <w:left w:val="none" w:sz="0" w:space="0" w:color="auto"/>
        <w:bottom w:val="none" w:sz="0" w:space="0" w:color="auto"/>
        <w:right w:val="none" w:sz="0" w:space="0" w:color="auto"/>
      </w:divBdr>
    </w:div>
    <w:div w:id="801115676">
      <w:bodyDiv w:val="1"/>
      <w:marLeft w:val="0"/>
      <w:marRight w:val="0"/>
      <w:marTop w:val="0"/>
      <w:marBottom w:val="0"/>
      <w:divBdr>
        <w:top w:val="none" w:sz="0" w:space="0" w:color="auto"/>
        <w:left w:val="none" w:sz="0" w:space="0" w:color="auto"/>
        <w:bottom w:val="none" w:sz="0" w:space="0" w:color="auto"/>
        <w:right w:val="none" w:sz="0" w:space="0" w:color="auto"/>
      </w:divBdr>
    </w:div>
    <w:div w:id="855659604">
      <w:bodyDiv w:val="1"/>
      <w:marLeft w:val="0"/>
      <w:marRight w:val="0"/>
      <w:marTop w:val="0"/>
      <w:marBottom w:val="0"/>
      <w:divBdr>
        <w:top w:val="none" w:sz="0" w:space="0" w:color="auto"/>
        <w:left w:val="none" w:sz="0" w:space="0" w:color="auto"/>
        <w:bottom w:val="none" w:sz="0" w:space="0" w:color="auto"/>
        <w:right w:val="none" w:sz="0" w:space="0" w:color="auto"/>
      </w:divBdr>
      <w:divsChild>
        <w:div w:id="827289329">
          <w:marLeft w:val="48"/>
          <w:marRight w:val="0"/>
          <w:marTop w:val="0"/>
          <w:marBottom w:val="0"/>
          <w:divBdr>
            <w:top w:val="none" w:sz="0" w:space="0" w:color="auto"/>
            <w:left w:val="none" w:sz="0" w:space="0" w:color="auto"/>
            <w:bottom w:val="none" w:sz="0" w:space="0" w:color="auto"/>
            <w:right w:val="none" w:sz="0" w:space="0" w:color="auto"/>
          </w:divBdr>
        </w:div>
      </w:divsChild>
    </w:div>
    <w:div w:id="1692295887">
      <w:bodyDiv w:val="1"/>
      <w:marLeft w:val="0"/>
      <w:marRight w:val="0"/>
      <w:marTop w:val="0"/>
      <w:marBottom w:val="0"/>
      <w:divBdr>
        <w:top w:val="none" w:sz="0" w:space="0" w:color="auto"/>
        <w:left w:val="none" w:sz="0" w:space="0" w:color="auto"/>
        <w:bottom w:val="none" w:sz="0" w:space="0" w:color="auto"/>
        <w:right w:val="none" w:sz="0" w:space="0" w:color="auto"/>
      </w:divBdr>
      <w:divsChild>
        <w:div w:id="2120098354">
          <w:marLeft w:val="48"/>
          <w:marRight w:val="0"/>
          <w:marTop w:val="0"/>
          <w:marBottom w:val="0"/>
          <w:divBdr>
            <w:top w:val="none" w:sz="0" w:space="0" w:color="auto"/>
            <w:left w:val="none" w:sz="0" w:space="0" w:color="auto"/>
            <w:bottom w:val="none" w:sz="0" w:space="0" w:color="auto"/>
            <w:right w:val="none" w:sz="0" w:space="0" w:color="auto"/>
          </w:divBdr>
          <w:divsChild>
            <w:div w:id="191654082">
              <w:marLeft w:val="0"/>
              <w:marRight w:val="0"/>
              <w:marTop w:val="0"/>
              <w:marBottom w:val="0"/>
              <w:divBdr>
                <w:top w:val="none" w:sz="0" w:space="0" w:color="auto"/>
                <w:left w:val="none" w:sz="0" w:space="0" w:color="auto"/>
                <w:bottom w:val="none" w:sz="0" w:space="0" w:color="auto"/>
                <w:right w:val="none" w:sz="0" w:space="0" w:color="auto"/>
              </w:divBdr>
            </w:div>
            <w:div w:id="10533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6279">
      <w:bodyDiv w:val="1"/>
      <w:marLeft w:val="0"/>
      <w:marRight w:val="0"/>
      <w:marTop w:val="0"/>
      <w:marBottom w:val="0"/>
      <w:divBdr>
        <w:top w:val="none" w:sz="0" w:space="0" w:color="auto"/>
        <w:left w:val="none" w:sz="0" w:space="0" w:color="auto"/>
        <w:bottom w:val="none" w:sz="0" w:space="0" w:color="auto"/>
        <w:right w:val="none" w:sz="0" w:space="0" w:color="auto"/>
      </w:divBdr>
      <w:divsChild>
        <w:div w:id="1336615754">
          <w:marLeft w:val="48"/>
          <w:marRight w:val="0"/>
          <w:marTop w:val="0"/>
          <w:marBottom w:val="0"/>
          <w:divBdr>
            <w:top w:val="none" w:sz="0" w:space="0" w:color="auto"/>
            <w:left w:val="none" w:sz="0" w:space="0" w:color="auto"/>
            <w:bottom w:val="none" w:sz="0" w:space="0" w:color="auto"/>
            <w:right w:val="none" w:sz="0" w:space="0" w:color="auto"/>
          </w:divBdr>
          <w:divsChild>
            <w:div w:id="251400042">
              <w:marLeft w:val="0"/>
              <w:marRight w:val="0"/>
              <w:marTop w:val="0"/>
              <w:marBottom w:val="0"/>
              <w:divBdr>
                <w:top w:val="none" w:sz="0" w:space="0" w:color="auto"/>
                <w:left w:val="none" w:sz="0" w:space="0" w:color="auto"/>
                <w:bottom w:val="none" w:sz="0" w:space="0" w:color="auto"/>
                <w:right w:val="none" w:sz="0" w:space="0" w:color="auto"/>
              </w:divBdr>
            </w:div>
            <w:div w:id="6744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5454">
      <w:bodyDiv w:val="1"/>
      <w:marLeft w:val="0"/>
      <w:marRight w:val="0"/>
      <w:marTop w:val="0"/>
      <w:marBottom w:val="0"/>
      <w:divBdr>
        <w:top w:val="none" w:sz="0" w:space="0" w:color="auto"/>
        <w:left w:val="none" w:sz="0" w:space="0" w:color="auto"/>
        <w:bottom w:val="none" w:sz="0" w:space="0" w:color="auto"/>
        <w:right w:val="none" w:sz="0" w:space="0" w:color="auto"/>
      </w:divBdr>
      <w:divsChild>
        <w:div w:id="2019194324">
          <w:marLeft w:val="48"/>
          <w:marRight w:val="0"/>
          <w:marTop w:val="0"/>
          <w:marBottom w:val="0"/>
          <w:divBdr>
            <w:top w:val="none" w:sz="0" w:space="0" w:color="auto"/>
            <w:left w:val="none" w:sz="0" w:space="0" w:color="auto"/>
            <w:bottom w:val="none" w:sz="0" w:space="0" w:color="auto"/>
            <w:right w:val="none" w:sz="0" w:space="0" w:color="auto"/>
          </w:divBdr>
          <w:divsChild>
            <w:div w:id="6937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70148">
      <w:bodyDiv w:val="1"/>
      <w:marLeft w:val="30"/>
      <w:marRight w:val="30"/>
      <w:marTop w:val="30"/>
      <w:marBottom w:val="30"/>
      <w:divBdr>
        <w:top w:val="none" w:sz="0" w:space="0" w:color="auto"/>
        <w:left w:val="none" w:sz="0" w:space="0" w:color="auto"/>
        <w:bottom w:val="none" w:sz="0" w:space="0" w:color="auto"/>
        <w:right w:val="none" w:sz="0" w:space="0" w:color="auto"/>
      </w:divBdr>
      <w:divsChild>
        <w:div w:id="1083649621">
          <w:marLeft w:val="0"/>
          <w:marRight w:val="0"/>
          <w:marTop w:val="0"/>
          <w:marBottom w:val="0"/>
          <w:divBdr>
            <w:top w:val="none" w:sz="0" w:space="0" w:color="auto"/>
            <w:left w:val="none" w:sz="0" w:space="0" w:color="auto"/>
            <w:bottom w:val="none" w:sz="0" w:space="0" w:color="auto"/>
            <w:right w:val="none" w:sz="0" w:space="0" w:color="auto"/>
          </w:divBdr>
          <w:divsChild>
            <w:div w:id="1871144362">
              <w:marLeft w:val="45"/>
              <w:marRight w:val="45"/>
              <w:marTop w:val="45"/>
              <w:marBottom w:val="45"/>
              <w:divBdr>
                <w:top w:val="none" w:sz="0" w:space="0" w:color="auto"/>
                <w:left w:val="none" w:sz="0" w:space="0" w:color="auto"/>
                <w:bottom w:val="none" w:sz="0" w:space="0" w:color="auto"/>
                <w:right w:val="none" w:sz="0" w:space="0" w:color="auto"/>
              </w:divBdr>
              <w:divsChild>
                <w:div w:id="126898902">
                  <w:marLeft w:val="0"/>
                  <w:marRight w:val="0"/>
                  <w:marTop w:val="0"/>
                  <w:marBottom w:val="0"/>
                  <w:divBdr>
                    <w:top w:val="none" w:sz="0" w:space="0" w:color="auto"/>
                    <w:left w:val="none" w:sz="0" w:space="0" w:color="auto"/>
                    <w:bottom w:val="none" w:sz="0" w:space="0" w:color="auto"/>
                    <w:right w:val="none" w:sz="0" w:space="0" w:color="auto"/>
                  </w:divBdr>
                  <w:divsChild>
                    <w:div w:id="1051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2.westlaw.com/find/default.wl?mt=Westlaw&amp;db=1000547&amp;docname=29CFRS1630.2&amp;rp=%2ffind%2fdefault.wl&amp;findtype=L&amp;ordoc=2001750368&amp;tc=-1&amp;vr=2.0&amp;fn=_top&amp;sv=Split&amp;tf=-1&amp;pbc=27D5BB21&amp;rs=WLW14.1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eb2.westlaw.com/find/default.wl?mt=Westlaw&amp;db=1000547&amp;docname=29CFRS1630.2&amp;rp=%2ffind%2fdefault.wl&amp;findtype=L&amp;ordoc=2001750368&amp;tc=-1&amp;vr=2.0&amp;fn=_top&amp;sv=Split&amp;tf=-1&amp;pbc=27D5BB21&amp;rs=WLW14.10" TargetMode="External"/><Relationship Id="rId4" Type="http://schemas.openxmlformats.org/officeDocument/2006/relationships/styles" Target="styles.xml"/><Relationship Id="rId9" Type="http://schemas.openxmlformats.org/officeDocument/2006/relationships/hyperlink" Target="https://web2.westlaw.com/find/default.wl?mt=Westlaw&amp;db=1000547&amp;docname=29CFRS1630.2&amp;rp=%2ffind%2fdefault.wl&amp;findtype=L&amp;ordoc=2001750368&amp;tc=-1&amp;vr=2.0&amp;fn=_top&amp;sv=Split&amp;tf=-1&amp;pbc=27D5BB21&amp;rs=WLW14.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A6E71-4739-4944-A691-F3A60B272324}">
  <ds:schemaRefs>
    <ds:schemaRef ds:uri="http://schemas.openxmlformats.org/officeDocument/2006/bibliography"/>
  </ds:schemaRefs>
</ds:datastoreItem>
</file>

<file path=customXml/itemProps2.xml><?xml version="1.0" encoding="utf-8"?>
<ds:datastoreItem xmlns:ds="http://schemas.openxmlformats.org/officeDocument/2006/customXml" ds:itemID="{A5657175-57ED-4526-A383-67B5A493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5993</Words>
  <Characters>34162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40075</CharactersWithSpaces>
  <SharedDoc>false</SharedDoc>
  <HLinks>
    <vt:vector size="84" baseType="variant">
      <vt:variant>
        <vt:i4>1048637</vt:i4>
      </vt:variant>
      <vt:variant>
        <vt:i4>88</vt:i4>
      </vt:variant>
      <vt:variant>
        <vt:i4>0</vt:i4>
      </vt:variant>
      <vt:variant>
        <vt:i4>5</vt:i4>
      </vt:variant>
      <vt:variant>
        <vt:lpwstr>https://web2.westlaw.com/find/default.wl?mt=Westlaw&amp;db=1000547&amp;docname=29CFRS1630.2&amp;rp=%2ffind%2fdefault.wl&amp;findtype=L&amp;ordoc=2001750368&amp;tc=-1&amp;vr=2.0&amp;fn=_top&amp;sv=Split&amp;tf=-1&amp;pbc=27D5BB21&amp;rs=WLW14.10</vt:lpwstr>
      </vt:variant>
      <vt:variant>
        <vt:lpwstr/>
      </vt:variant>
      <vt:variant>
        <vt:i4>1048637</vt:i4>
      </vt:variant>
      <vt:variant>
        <vt:i4>83</vt:i4>
      </vt:variant>
      <vt:variant>
        <vt:i4>0</vt:i4>
      </vt:variant>
      <vt:variant>
        <vt:i4>5</vt:i4>
      </vt:variant>
      <vt:variant>
        <vt:lpwstr>https://web2.westlaw.com/find/default.wl?mt=Westlaw&amp;db=1000547&amp;docname=29CFRS1630.2&amp;rp=%2ffind%2fdefault.wl&amp;findtype=L&amp;ordoc=2001750368&amp;tc=-1&amp;vr=2.0&amp;fn=_top&amp;sv=Split&amp;tf=-1&amp;pbc=27D5BB21&amp;rs=WLW14.10</vt:lpwstr>
      </vt:variant>
      <vt:variant>
        <vt:lpwstr/>
      </vt:variant>
      <vt:variant>
        <vt:i4>1048637</vt:i4>
      </vt:variant>
      <vt:variant>
        <vt:i4>80</vt:i4>
      </vt:variant>
      <vt:variant>
        <vt:i4>0</vt:i4>
      </vt:variant>
      <vt:variant>
        <vt:i4>5</vt:i4>
      </vt:variant>
      <vt:variant>
        <vt:lpwstr>https://web2.westlaw.com/find/default.wl?mt=Westlaw&amp;db=1000547&amp;docname=29CFRS1630.2&amp;rp=%2ffind%2fdefault.wl&amp;findtype=L&amp;ordoc=2001750368&amp;tc=-1&amp;vr=2.0&amp;fn=_top&amp;sv=Split&amp;tf=-1&amp;pbc=27D5BB21&amp;rs=WLW14.10</vt:lpwstr>
      </vt:variant>
      <vt:variant>
        <vt:lpwstr/>
      </vt:variant>
      <vt:variant>
        <vt:i4>1048637</vt:i4>
      </vt:variant>
      <vt:variant>
        <vt:i4>77</vt:i4>
      </vt:variant>
      <vt:variant>
        <vt:i4>0</vt:i4>
      </vt:variant>
      <vt:variant>
        <vt:i4>5</vt:i4>
      </vt:variant>
      <vt:variant>
        <vt:lpwstr>https://web2.westlaw.com/find/default.wl?mt=Westlaw&amp;db=1000547&amp;docname=29CFRS1630.2&amp;rp=%2ffind%2fdefault.wl&amp;findtype=L&amp;ordoc=2001750368&amp;tc=-1&amp;vr=2.0&amp;fn=_top&amp;sv=Split&amp;tf=-1&amp;pbc=27D5BB21&amp;rs=WLW14.10</vt:lpwstr>
      </vt:variant>
      <vt:variant>
        <vt:lpwstr/>
      </vt:variant>
      <vt:variant>
        <vt:i4>1310769</vt:i4>
      </vt:variant>
      <vt:variant>
        <vt:i4>58</vt:i4>
      </vt:variant>
      <vt:variant>
        <vt:i4>0</vt:i4>
      </vt:variant>
      <vt:variant>
        <vt:i4>5</vt:i4>
      </vt:variant>
      <vt:variant>
        <vt:lpwstr/>
      </vt:variant>
      <vt:variant>
        <vt:lpwstr>_Toc422214679</vt:lpwstr>
      </vt:variant>
      <vt:variant>
        <vt:i4>1310769</vt:i4>
      </vt:variant>
      <vt:variant>
        <vt:i4>52</vt:i4>
      </vt:variant>
      <vt:variant>
        <vt:i4>0</vt:i4>
      </vt:variant>
      <vt:variant>
        <vt:i4>5</vt:i4>
      </vt:variant>
      <vt:variant>
        <vt:lpwstr/>
      </vt:variant>
      <vt:variant>
        <vt:lpwstr>_Toc422214678</vt:lpwstr>
      </vt:variant>
      <vt:variant>
        <vt:i4>1310769</vt:i4>
      </vt:variant>
      <vt:variant>
        <vt:i4>46</vt:i4>
      </vt:variant>
      <vt:variant>
        <vt:i4>0</vt:i4>
      </vt:variant>
      <vt:variant>
        <vt:i4>5</vt:i4>
      </vt:variant>
      <vt:variant>
        <vt:lpwstr/>
      </vt:variant>
      <vt:variant>
        <vt:lpwstr>_Toc422214677</vt:lpwstr>
      </vt:variant>
      <vt:variant>
        <vt:i4>1310769</vt:i4>
      </vt:variant>
      <vt:variant>
        <vt:i4>40</vt:i4>
      </vt:variant>
      <vt:variant>
        <vt:i4>0</vt:i4>
      </vt:variant>
      <vt:variant>
        <vt:i4>5</vt:i4>
      </vt:variant>
      <vt:variant>
        <vt:lpwstr/>
      </vt:variant>
      <vt:variant>
        <vt:lpwstr>_Toc422214676</vt:lpwstr>
      </vt:variant>
      <vt:variant>
        <vt:i4>1310769</vt:i4>
      </vt:variant>
      <vt:variant>
        <vt:i4>34</vt:i4>
      </vt:variant>
      <vt:variant>
        <vt:i4>0</vt:i4>
      </vt:variant>
      <vt:variant>
        <vt:i4>5</vt:i4>
      </vt:variant>
      <vt:variant>
        <vt:lpwstr/>
      </vt:variant>
      <vt:variant>
        <vt:lpwstr>_Toc422214675</vt:lpwstr>
      </vt:variant>
      <vt:variant>
        <vt:i4>1310769</vt:i4>
      </vt:variant>
      <vt:variant>
        <vt:i4>28</vt:i4>
      </vt:variant>
      <vt:variant>
        <vt:i4>0</vt:i4>
      </vt:variant>
      <vt:variant>
        <vt:i4>5</vt:i4>
      </vt:variant>
      <vt:variant>
        <vt:lpwstr/>
      </vt:variant>
      <vt:variant>
        <vt:lpwstr>_Toc422214674</vt:lpwstr>
      </vt:variant>
      <vt:variant>
        <vt:i4>1310769</vt:i4>
      </vt:variant>
      <vt:variant>
        <vt:i4>22</vt:i4>
      </vt:variant>
      <vt:variant>
        <vt:i4>0</vt:i4>
      </vt:variant>
      <vt:variant>
        <vt:i4>5</vt:i4>
      </vt:variant>
      <vt:variant>
        <vt:lpwstr/>
      </vt:variant>
      <vt:variant>
        <vt:lpwstr>_Toc422214673</vt:lpwstr>
      </vt:variant>
      <vt:variant>
        <vt:i4>1310769</vt:i4>
      </vt:variant>
      <vt:variant>
        <vt:i4>16</vt:i4>
      </vt:variant>
      <vt:variant>
        <vt:i4>0</vt:i4>
      </vt:variant>
      <vt:variant>
        <vt:i4>5</vt:i4>
      </vt:variant>
      <vt:variant>
        <vt:lpwstr/>
      </vt:variant>
      <vt:variant>
        <vt:lpwstr>_Toc422214672</vt:lpwstr>
      </vt:variant>
      <vt:variant>
        <vt:i4>1310769</vt:i4>
      </vt:variant>
      <vt:variant>
        <vt:i4>10</vt:i4>
      </vt:variant>
      <vt:variant>
        <vt:i4>0</vt:i4>
      </vt:variant>
      <vt:variant>
        <vt:i4>5</vt:i4>
      </vt:variant>
      <vt:variant>
        <vt:lpwstr/>
      </vt:variant>
      <vt:variant>
        <vt:lpwstr>_Toc422214671</vt:lpwstr>
      </vt:variant>
      <vt:variant>
        <vt:i4>1310769</vt:i4>
      </vt:variant>
      <vt:variant>
        <vt:i4>4</vt:i4>
      </vt:variant>
      <vt:variant>
        <vt:i4>0</vt:i4>
      </vt:variant>
      <vt:variant>
        <vt:i4>5</vt:i4>
      </vt:variant>
      <vt:variant>
        <vt:lpwstr/>
      </vt:variant>
      <vt:variant>
        <vt:lpwstr>_Toc422214670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2015-06-29T19:20:00Z</dcterms:created>
  <dcterms:modified xsi:type="dcterms:W3CDTF">2015-06-29T19:38:00Z</dcterms:modified>
</cp:coreProperties>
</file>