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28" w:rsidRPr="00920628" w:rsidRDefault="00524DBB" w:rsidP="00920628">
      <w:pPr>
        <w:widowControl w:val="0"/>
        <w:autoSpaceDE w:val="0"/>
        <w:autoSpaceDN w:val="0"/>
        <w:adjustRightInd w:val="0"/>
        <w:jc w:val="center"/>
        <w:rPr>
          <w:rFonts w:ascii="Times New Roman" w:hAnsi="Times New Roman" w:cs="Times New Roman"/>
          <w:b/>
          <w:sz w:val="24"/>
          <w:szCs w:val="24"/>
        </w:rPr>
      </w:pPr>
      <w:r w:rsidRPr="00920628">
        <w:rPr>
          <w:rFonts w:ascii="Times New Roman" w:hAnsi="Times New Roman" w:cs="Times New Roman"/>
          <w:b/>
          <w:sz w:val="24"/>
          <w:szCs w:val="24"/>
          <w:lang w:val="en-CA"/>
        </w:rPr>
        <w:fldChar w:fldCharType="begin"/>
      </w:r>
      <w:r w:rsidR="00920628" w:rsidRPr="00920628">
        <w:rPr>
          <w:rFonts w:ascii="Times New Roman" w:hAnsi="Times New Roman" w:cs="Times New Roman"/>
          <w:b/>
          <w:sz w:val="24"/>
          <w:szCs w:val="24"/>
          <w:lang w:val="en-CA"/>
        </w:rPr>
        <w:instrText xml:space="preserve"> SEQ CHAPTER \h \r 1</w:instrText>
      </w:r>
      <w:r w:rsidRPr="00920628">
        <w:rPr>
          <w:rFonts w:ascii="Times New Roman" w:hAnsi="Times New Roman" w:cs="Times New Roman"/>
          <w:b/>
          <w:sz w:val="24"/>
          <w:szCs w:val="24"/>
          <w:lang w:val="en-CA"/>
        </w:rPr>
        <w:fldChar w:fldCharType="end"/>
      </w:r>
      <w:r w:rsidR="00920628" w:rsidRPr="00920628">
        <w:rPr>
          <w:rFonts w:ascii="Times New Roman" w:hAnsi="Times New Roman" w:cs="Times New Roman"/>
          <w:b/>
          <w:smallCaps/>
          <w:sz w:val="24"/>
          <w:szCs w:val="24"/>
        </w:rPr>
        <w:t>UNITED STATES DISTRICT COURT</w:t>
      </w:r>
    </w:p>
    <w:p w:rsidR="00920628" w:rsidRPr="00920628" w:rsidRDefault="00920628" w:rsidP="00920628">
      <w:pPr>
        <w:widowControl w:val="0"/>
        <w:autoSpaceDE w:val="0"/>
        <w:autoSpaceDN w:val="0"/>
        <w:adjustRightInd w:val="0"/>
        <w:jc w:val="center"/>
        <w:rPr>
          <w:rFonts w:ascii="Times New Roman" w:hAnsi="Times New Roman" w:cs="Times New Roman"/>
          <w:b/>
          <w:sz w:val="24"/>
          <w:szCs w:val="24"/>
        </w:rPr>
      </w:pPr>
      <w:r w:rsidRPr="00920628">
        <w:rPr>
          <w:rFonts w:ascii="Times New Roman" w:hAnsi="Times New Roman" w:cs="Times New Roman"/>
          <w:b/>
          <w:sz w:val="24"/>
          <w:szCs w:val="24"/>
        </w:rPr>
        <w:t>FOR THE SOUTHERN DISTRICT OF TEXAS</w:t>
      </w:r>
    </w:p>
    <w:p w:rsidR="00920628" w:rsidRPr="00920628" w:rsidRDefault="00920628" w:rsidP="00920628">
      <w:pPr>
        <w:widowControl w:val="0"/>
        <w:autoSpaceDE w:val="0"/>
        <w:autoSpaceDN w:val="0"/>
        <w:adjustRightInd w:val="0"/>
        <w:jc w:val="center"/>
        <w:rPr>
          <w:rFonts w:ascii="Times New Roman" w:hAnsi="Times New Roman" w:cs="Times New Roman"/>
          <w:b/>
          <w:sz w:val="24"/>
          <w:szCs w:val="24"/>
        </w:rPr>
      </w:pPr>
      <w:r w:rsidRPr="00920628">
        <w:rPr>
          <w:rFonts w:ascii="Times New Roman" w:hAnsi="Times New Roman" w:cs="Times New Roman"/>
          <w:b/>
          <w:sz w:val="24"/>
          <w:szCs w:val="24"/>
        </w:rPr>
        <w:t>HOUSTON DIVISION</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p>
    <w:tbl>
      <w:tblPr>
        <w:tblW w:w="0" w:type="auto"/>
        <w:tblInd w:w="36" w:type="dxa"/>
        <w:tblCellMar>
          <w:left w:w="36" w:type="dxa"/>
          <w:right w:w="36" w:type="dxa"/>
        </w:tblCellMar>
        <w:tblLook w:val="0000"/>
      </w:tblPr>
      <w:tblGrid>
        <w:gridCol w:w="4662"/>
        <w:gridCol w:w="792"/>
        <w:gridCol w:w="3942"/>
      </w:tblGrid>
      <w:tr w:rsidR="00920628" w:rsidRPr="00920628" w:rsidTr="00485445">
        <w:tc>
          <w:tcPr>
            <w:tcW w:w="4662" w:type="dxa"/>
          </w:tcPr>
          <w:p w:rsidR="00920628" w:rsidRPr="00920628" w:rsidRDefault="00920628" w:rsidP="00920628">
            <w:pPr>
              <w:widowControl w:val="0"/>
              <w:autoSpaceDE w:val="0"/>
              <w:autoSpaceDN w:val="0"/>
              <w:adjustRightInd w:val="0"/>
              <w:rPr>
                <w:rFonts w:ascii="Times New Roman" w:hAnsi="Times New Roman" w:cs="Times New Roman"/>
                <w:sz w:val="24"/>
                <w:szCs w:val="24"/>
              </w:rPr>
            </w:pPr>
            <w:r w:rsidRPr="00920628">
              <w:rPr>
                <w:rFonts w:ascii="Times New Roman" w:hAnsi="Times New Roman" w:cs="Times New Roman"/>
                <w:sz w:val="24"/>
                <w:szCs w:val="24"/>
              </w:rPr>
              <w:t>UNITED STATES OF AMERICA,</w:t>
            </w:r>
          </w:p>
          <w:p w:rsidR="00920628" w:rsidRPr="00920628" w:rsidRDefault="00920628" w:rsidP="00920628">
            <w:pPr>
              <w:widowControl w:val="0"/>
              <w:autoSpaceDE w:val="0"/>
              <w:autoSpaceDN w:val="0"/>
              <w:adjustRightInd w:val="0"/>
              <w:rPr>
                <w:rFonts w:ascii="Times New Roman" w:hAnsi="Times New Roman" w:cs="Times New Roman"/>
                <w:sz w:val="24"/>
                <w:szCs w:val="24"/>
              </w:rPr>
            </w:pPr>
            <w:r w:rsidRPr="00920628">
              <w:rPr>
                <w:rFonts w:ascii="Times New Roman" w:hAnsi="Times New Roman" w:cs="Times New Roman"/>
                <w:sz w:val="24"/>
                <w:szCs w:val="24"/>
              </w:rPr>
              <w:tab/>
            </w:r>
          </w:p>
          <w:p w:rsidR="00920628" w:rsidRPr="00920628" w:rsidRDefault="00920628" w:rsidP="00920628">
            <w:pPr>
              <w:widowControl w:val="0"/>
              <w:autoSpaceDE w:val="0"/>
              <w:autoSpaceDN w:val="0"/>
              <w:adjustRightInd w:val="0"/>
              <w:rPr>
                <w:rFonts w:ascii="Times New Roman" w:hAnsi="Times New Roman" w:cs="Times New Roman"/>
                <w:sz w:val="24"/>
                <w:szCs w:val="24"/>
              </w:rPr>
            </w:pPr>
            <w:r w:rsidRPr="00920628">
              <w:rPr>
                <w:rFonts w:ascii="Times New Roman" w:hAnsi="Times New Roman" w:cs="Times New Roman"/>
                <w:sz w:val="24"/>
                <w:szCs w:val="24"/>
              </w:rPr>
              <w:tab/>
            </w:r>
            <w:r w:rsidRPr="00920628">
              <w:rPr>
                <w:rFonts w:ascii="Times New Roman" w:hAnsi="Times New Roman" w:cs="Times New Roman"/>
                <w:sz w:val="24"/>
                <w:szCs w:val="24"/>
              </w:rPr>
              <w:tab/>
            </w:r>
            <w:r w:rsidRPr="00920628">
              <w:rPr>
                <w:rFonts w:ascii="Times New Roman" w:hAnsi="Times New Roman" w:cs="Times New Roman"/>
                <w:sz w:val="24"/>
                <w:szCs w:val="24"/>
              </w:rPr>
              <w:tab/>
              <w:t>Plaintiff,</w:t>
            </w:r>
          </w:p>
          <w:p w:rsidR="00920628" w:rsidRP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r w:rsidRPr="00920628">
              <w:rPr>
                <w:rFonts w:ascii="Times New Roman" w:hAnsi="Times New Roman" w:cs="Times New Roman"/>
                <w:sz w:val="24"/>
                <w:szCs w:val="24"/>
              </w:rPr>
              <w:tab/>
            </w:r>
            <w:r w:rsidRPr="00920628">
              <w:rPr>
                <w:rFonts w:ascii="Times New Roman" w:hAnsi="Times New Roman" w:cs="Times New Roman"/>
                <w:sz w:val="24"/>
                <w:szCs w:val="24"/>
              </w:rPr>
              <w:tab/>
            </w:r>
            <w:proofErr w:type="gramStart"/>
            <w:r w:rsidRPr="00920628">
              <w:rPr>
                <w:rFonts w:ascii="Times New Roman" w:hAnsi="Times New Roman" w:cs="Times New Roman"/>
                <w:sz w:val="24"/>
                <w:szCs w:val="24"/>
              </w:rPr>
              <w:t>v</w:t>
            </w:r>
            <w:proofErr w:type="gramEnd"/>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r w:rsidRPr="00920628">
              <w:rPr>
                <w:rFonts w:ascii="Times New Roman" w:hAnsi="Times New Roman" w:cs="Times New Roman"/>
                <w:sz w:val="24"/>
                <w:szCs w:val="24"/>
              </w:rPr>
              <w:t>HARRIS COUNTY,</w:t>
            </w:r>
          </w:p>
          <w:p w:rsidR="00920628" w:rsidRP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r w:rsidRPr="00920628">
              <w:rPr>
                <w:rFonts w:ascii="Times New Roman" w:hAnsi="Times New Roman" w:cs="Times New Roman"/>
                <w:sz w:val="24"/>
                <w:szCs w:val="24"/>
              </w:rPr>
              <w:tab/>
            </w:r>
            <w:r w:rsidRPr="00920628">
              <w:rPr>
                <w:rFonts w:ascii="Times New Roman" w:hAnsi="Times New Roman" w:cs="Times New Roman"/>
                <w:sz w:val="24"/>
                <w:szCs w:val="24"/>
              </w:rPr>
              <w:tab/>
            </w:r>
            <w:r w:rsidRPr="00920628">
              <w:rPr>
                <w:rFonts w:ascii="Times New Roman" w:hAnsi="Times New Roman" w:cs="Times New Roman"/>
                <w:sz w:val="24"/>
                <w:szCs w:val="24"/>
              </w:rPr>
              <w:tab/>
              <w:t>Defendant.</w:t>
            </w:r>
          </w:p>
        </w:tc>
        <w:tc>
          <w:tcPr>
            <w:tcW w:w="792" w:type="dxa"/>
          </w:tcPr>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p w:rsidR="00920628" w:rsidRPr="00920628" w:rsidRDefault="00920628" w:rsidP="00920628">
            <w:pPr>
              <w:widowControl w:val="0"/>
              <w:autoSpaceDE w:val="0"/>
              <w:autoSpaceDN w:val="0"/>
              <w:adjustRightInd w:val="0"/>
              <w:jc w:val="center"/>
              <w:rPr>
                <w:rFonts w:ascii="Times New Roman" w:hAnsi="Times New Roman" w:cs="Times New Roman"/>
                <w:sz w:val="24"/>
                <w:szCs w:val="24"/>
              </w:rPr>
            </w:pPr>
            <w:r w:rsidRPr="00920628">
              <w:rPr>
                <w:rFonts w:ascii="Times New Roman" w:hAnsi="Times New Roman" w:cs="Times New Roman"/>
                <w:sz w:val="24"/>
                <w:szCs w:val="24"/>
              </w:rPr>
              <w:t>)</w:t>
            </w:r>
          </w:p>
        </w:tc>
        <w:tc>
          <w:tcPr>
            <w:tcW w:w="3942" w:type="dxa"/>
          </w:tcPr>
          <w:p w:rsidR="00920628" w:rsidRP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sz w:val="24"/>
                <w:szCs w:val="24"/>
              </w:rPr>
            </w:pPr>
            <w:r w:rsidRPr="00920628">
              <w:rPr>
                <w:rFonts w:ascii="Times New Roman" w:hAnsi="Times New Roman" w:cs="Times New Roman"/>
                <w:sz w:val="24"/>
                <w:szCs w:val="24"/>
              </w:rPr>
              <w:t>Civ. Action No. 4:16-cv-02331</w:t>
            </w:r>
          </w:p>
          <w:p w:rsidR="00920628" w:rsidRDefault="00920628" w:rsidP="00920628">
            <w:pPr>
              <w:widowControl w:val="0"/>
              <w:autoSpaceDE w:val="0"/>
              <w:autoSpaceDN w:val="0"/>
              <w:adjustRightInd w:val="0"/>
              <w:rPr>
                <w:rFonts w:ascii="Times New Roman" w:hAnsi="Times New Roman" w:cs="Times New Roman"/>
                <w:sz w:val="24"/>
                <w:szCs w:val="24"/>
              </w:rPr>
            </w:pPr>
          </w:p>
          <w:p w:rsidR="00920628" w:rsidRPr="00920628" w:rsidRDefault="00920628" w:rsidP="0092062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ORAL ARGUMENT REQUESTED</w:t>
            </w:r>
          </w:p>
        </w:tc>
      </w:tr>
    </w:tbl>
    <w:p w:rsidR="00920628" w:rsidRPr="00920628" w:rsidRDefault="00920628" w:rsidP="00920628">
      <w:pPr>
        <w:autoSpaceDE w:val="0"/>
        <w:autoSpaceDN w:val="0"/>
        <w:adjustRightInd w:val="0"/>
        <w:spacing w:line="235" w:lineRule="exact"/>
        <w:ind w:left="720"/>
        <w:rPr>
          <w:rFonts w:ascii="Times New Roman" w:eastAsia="@MingLiU" w:hAnsi="Times New Roman" w:cs="Times New Roman"/>
          <w:sz w:val="24"/>
          <w:szCs w:val="24"/>
        </w:rPr>
      </w:pPr>
      <w:r w:rsidRPr="00920628">
        <w:rPr>
          <w:rFonts w:ascii="Times New Roman" w:eastAsia="@MingLiU" w:hAnsi="Times New Roman" w:cs="Times New Roman"/>
          <w:sz w:val="24"/>
          <w:szCs w:val="24"/>
        </w:rPr>
        <w:tab/>
      </w:r>
      <w:r w:rsidRPr="00920628">
        <w:rPr>
          <w:rFonts w:ascii="Times New Roman" w:eastAsia="@MingLiU" w:hAnsi="Times New Roman" w:cs="Times New Roman"/>
          <w:sz w:val="24"/>
          <w:szCs w:val="24"/>
        </w:rPr>
        <w:tab/>
      </w:r>
      <w:r w:rsidRPr="00920628">
        <w:rPr>
          <w:rFonts w:ascii="Times New Roman" w:eastAsia="@MingLiU" w:hAnsi="Times New Roman" w:cs="Times New Roman"/>
          <w:sz w:val="24"/>
          <w:szCs w:val="24"/>
        </w:rPr>
        <w:tab/>
      </w:r>
      <w:r w:rsidRPr="00920628">
        <w:rPr>
          <w:rFonts w:ascii="Times New Roman" w:eastAsia="@MingLiU" w:hAnsi="Times New Roman" w:cs="Times New Roman"/>
          <w:sz w:val="24"/>
          <w:szCs w:val="24"/>
        </w:rPr>
        <w:tab/>
      </w:r>
      <w:r w:rsidRPr="00920628">
        <w:rPr>
          <w:rFonts w:ascii="Times New Roman" w:eastAsia="@MingLiU" w:hAnsi="Times New Roman" w:cs="Times New Roman"/>
          <w:sz w:val="24"/>
          <w:szCs w:val="24"/>
        </w:rPr>
        <w:tab/>
      </w:r>
      <w:r w:rsidRPr="00920628">
        <w:rPr>
          <w:rFonts w:ascii="Times New Roman" w:eastAsia="@MingLiU" w:hAnsi="Times New Roman" w:cs="Times New Roman"/>
          <w:sz w:val="24"/>
          <w:szCs w:val="24"/>
        </w:rPr>
        <w:tab/>
        <w:t>)</w:t>
      </w:r>
    </w:p>
    <w:p w:rsidR="00920628" w:rsidRPr="00920628" w:rsidRDefault="00524DBB" w:rsidP="00920628">
      <w:pPr>
        <w:autoSpaceDE w:val="0"/>
        <w:autoSpaceDN w:val="0"/>
        <w:adjustRightInd w:val="0"/>
        <w:spacing w:line="235" w:lineRule="exact"/>
        <w:ind w:firstLine="5040"/>
        <w:rPr>
          <w:rFonts w:ascii="Times New Roman" w:eastAsia="@MingLiU" w:hAnsi="Times New Roman" w:cs="Times New Roman"/>
          <w:sz w:val="24"/>
          <w:szCs w:val="24"/>
        </w:rPr>
      </w:pPr>
      <w:r>
        <w:rPr>
          <w:rFonts w:ascii="Times New Roman" w:eastAsia="@MingLiU"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9" type="#_x0000_t32" style="position:absolute;left:0;text-align:left;margin-left:-.75pt;margin-top:7.7pt;width:255.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"/>
        </w:pict>
      </w:r>
    </w:p>
    <w:p w:rsidR="00920628" w:rsidRPr="008C01A6" w:rsidRDefault="00920628" w:rsidP="00920628">
      <w:pPr>
        <w:widowControl w:val="0"/>
        <w:autoSpaceDE w:val="0"/>
        <w:autoSpaceDN w:val="0"/>
        <w:adjustRightInd w:val="0"/>
        <w:spacing w:line="235" w:lineRule="exact"/>
        <w:ind w:firstLine="5040"/>
        <w:rPr>
          <w:rFonts w:ascii="Times New Roman" w:eastAsia="Times New Roman" w:hAnsi="Times New Roman" w:cs="Times New Roman"/>
          <w:sz w:val="24"/>
          <w:szCs w:val="24"/>
        </w:rPr>
      </w:pPr>
    </w:p>
    <w:p w:rsidR="00B52105" w:rsidRPr="008C01A6" w:rsidRDefault="00B52105">
      <w:pPr>
        <w:widowControl w:val="0"/>
        <w:autoSpaceDE w:val="0"/>
        <w:autoSpaceDN w:val="0"/>
        <w:adjustRightInd w:val="0"/>
        <w:jc w:val="center"/>
        <w:rPr>
          <w:rFonts w:ascii="Times New Roman" w:eastAsia="Times New Roman" w:hAnsi="Times New Roman" w:cs="Times New Roman"/>
          <w:sz w:val="24"/>
          <w:szCs w:val="24"/>
        </w:rPr>
      </w:pPr>
    </w:p>
    <w:p w:rsidR="00B52105" w:rsidRPr="008C01A6" w:rsidRDefault="00013D2F">
      <w:pPr>
        <w:widowControl w:val="0"/>
        <w:autoSpaceDE w:val="0"/>
        <w:autoSpaceDN w:val="0"/>
        <w:adjustRightInd w:val="0"/>
        <w:jc w:val="center"/>
        <w:rPr>
          <w:rFonts w:ascii="Times New Roman" w:eastAsia="Times New Roman" w:hAnsi="Times New Roman" w:cs="Times New Roman"/>
          <w:sz w:val="24"/>
          <w:szCs w:val="24"/>
          <w:u w:val="single"/>
        </w:rPr>
      </w:pPr>
      <w:r w:rsidRPr="008C01A6">
        <w:rPr>
          <w:rFonts w:ascii="Times New Roman" w:eastAsia="Times New Roman" w:hAnsi="Times New Roman" w:cs="Times New Roman"/>
          <w:b/>
          <w:sz w:val="24"/>
          <w:szCs w:val="24"/>
          <w:u w:val="single"/>
        </w:rPr>
        <w:t xml:space="preserve">UNITED STATES’ OPPOSITION TO HARRIS COUNTY’S MOTION TO DISMISS AND, ALTERNATIVELY, MOTION FOR MORE DEFINITE STATEMENT </w:t>
      </w:r>
    </w:p>
    <w:p w:rsidR="00B52105" w:rsidRPr="008C01A6" w:rsidRDefault="00B52105">
      <w:pPr>
        <w:widowControl w:val="0"/>
        <w:rPr>
          <w:rFonts w:ascii="Times New Roman" w:hAnsi="Times New Roman" w:cs="Times New Roman"/>
          <w:sz w:val="24"/>
          <w:szCs w:val="24"/>
        </w:rPr>
      </w:pPr>
    </w:p>
    <w:p w:rsidR="00B52105" w:rsidRPr="008C01A6" w:rsidRDefault="00B52105">
      <w:pPr>
        <w:widowControl w:val="0"/>
        <w:rPr>
          <w:rFonts w:ascii="Times New Roman" w:hAnsi="Times New Roman" w:cs="Times New Roman"/>
          <w:sz w:val="24"/>
          <w:szCs w:val="24"/>
        </w:rPr>
      </w:pPr>
    </w:p>
    <w:p w:rsidR="00D63422" w:rsidRPr="008C01A6" w:rsidRDefault="00D63422">
      <w:pPr>
        <w:rPr>
          <w:rFonts w:ascii="Times New Roman" w:eastAsiaTheme="majorEastAsia" w:hAnsi="Times New Roman" w:cs="Times New Roman"/>
          <w:b/>
          <w:bCs/>
          <w:sz w:val="24"/>
          <w:szCs w:val="24"/>
        </w:rPr>
      </w:pPr>
      <w:r w:rsidRPr="008C01A6">
        <w:rPr>
          <w:rFonts w:ascii="Times New Roman" w:hAnsi="Times New Roman" w:cs="Times New Roman"/>
          <w:sz w:val="24"/>
          <w:szCs w:val="24"/>
        </w:rPr>
        <w:br w:type="page"/>
      </w:r>
    </w:p>
    <w:sdt>
      <w:sdtPr>
        <w:rPr>
          <w:rFonts w:ascii="Times New Roman" w:eastAsiaTheme="minorEastAsia" w:hAnsi="Times New Roman" w:cs="Times New Roman"/>
          <w:b w:val="0"/>
          <w:bCs w:val="0"/>
          <w:color w:val="auto"/>
          <w:sz w:val="24"/>
          <w:szCs w:val="24"/>
        </w:rPr>
        <w:id w:val="230443098"/>
        <w:docPartObj>
          <w:docPartGallery w:val="Table of Contents"/>
          <w:docPartUnique/>
        </w:docPartObj>
      </w:sdtPr>
      <w:sdtContent>
        <w:p w:rsidR="00D63422" w:rsidRPr="008C01A6" w:rsidRDefault="00D63422" w:rsidP="00D63422">
          <w:pPr>
            <w:pStyle w:val="TOCHeading"/>
            <w:jc w:val="center"/>
            <w:rPr>
              <w:rFonts w:ascii="Times New Roman" w:hAnsi="Times New Roman" w:cs="Times New Roman"/>
              <w:color w:val="auto"/>
              <w:sz w:val="24"/>
              <w:szCs w:val="24"/>
            </w:rPr>
          </w:pPr>
          <w:r w:rsidRPr="008C01A6">
            <w:rPr>
              <w:rFonts w:ascii="Times New Roman" w:hAnsi="Times New Roman" w:cs="Times New Roman"/>
              <w:color w:val="auto"/>
              <w:sz w:val="24"/>
              <w:szCs w:val="24"/>
            </w:rPr>
            <w:t>Table of Contents</w:t>
          </w:r>
        </w:p>
        <w:p w:rsidR="00D63422" w:rsidRPr="008C01A6" w:rsidRDefault="00D63422" w:rsidP="00D63422">
          <w:pPr>
            <w:rPr>
              <w:rFonts w:ascii="Times New Roman" w:hAnsi="Times New Roman" w:cs="Times New Roman"/>
              <w:sz w:val="24"/>
              <w:szCs w:val="24"/>
            </w:rPr>
          </w:pPr>
        </w:p>
        <w:p w:rsidR="00D63422" w:rsidRPr="008C01A6" w:rsidRDefault="00524DBB" w:rsidP="00D63422">
          <w:pPr>
            <w:pStyle w:val="TOC1"/>
            <w:spacing w:after="0"/>
            <w:contextualSpacing/>
            <w:rPr>
              <w:rStyle w:val="Hyperlink"/>
              <w:rFonts w:ascii="Times New Roman" w:hAnsi="Times New Roman" w:cs="Times New Roman"/>
              <w:noProof/>
              <w:color w:val="auto"/>
              <w:sz w:val="24"/>
              <w:szCs w:val="24"/>
            </w:rPr>
          </w:pPr>
          <w:r w:rsidRPr="008C01A6">
            <w:rPr>
              <w:rFonts w:ascii="Times New Roman" w:hAnsi="Times New Roman" w:cs="Times New Roman"/>
              <w:sz w:val="24"/>
              <w:szCs w:val="24"/>
            </w:rPr>
            <w:fldChar w:fldCharType="begin"/>
          </w:r>
          <w:r w:rsidR="00D63422" w:rsidRPr="008C01A6">
            <w:rPr>
              <w:rFonts w:ascii="Times New Roman" w:hAnsi="Times New Roman" w:cs="Times New Roman"/>
              <w:sz w:val="24"/>
              <w:szCs w:val="24"/>
            </w:rPr>
            <w:instrText xml:space="preserve"> TOC \o "1-3" \h \z \u </w:instrText>
          </w:r>
          <w:r w:rsidRPr="008C01A6">
            <w:rPr>
              <w:rFonts w:ascii="Times New Roman" w:hAnsi="Times New Roman" w:cs="Times New Roman"/>
              <w:sz w:val="24"/>
              <w:szCs w:val="24"/>
            </w:rPr>
            <w:fldChar w:fldCharType="separate"/>
          </w:r>
          <w:hyperlink w:anchor="_Toc465681930" w:history="1">
            <w:r w:rsidR="00D63422" w:rsidRPr="008C01A6">
              <w:rPr>
                <w:rStyle w:val="Hyperlink"/>
                <w:rFonts w:ascii="Times New Roman" w:hAnsi="Times New Roman" w:cs="Times New Roman"/>
                <w:noProof/>
                <w:color w:val="auto"/>
                <w:sz w:val="24"/>
                <w:szCs w:val="24"/>
              </w:rPr>
              <w:t>I.</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Introduction</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_Toc465681930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1</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1"/>
            <w:spacing w:after="0"/>
            <w:contextualSpacing/>
            <w:rPr>
              <w:rStyle w:val="Hyperlink"/>
              <w:rFonts w:ascii="Times New Roman" w:hAnsi="Times New Roman" w:cs="Times New Roman"/>
              <w:noProof/>
              <w:color w:val="auto"/>
              <w:sz w:val="24"/>
              <w:szCs w:val="24"/>
            </w:rPr>
          </w:pPr>
          <w:hyperlink w:anchor="_Toc465681931" w:history="1">
            <w:r w:rsidR="00D63422" w:rsidRPr="008C01A6">
              <w:rPr>
                <w:rStyle w:val="Hyperlink"/>
                <w:rFonts w:ascii="Times New Roman" w:hAnsi="Times New Roman" w:cs="Times New Roman"/>
                <w:noProof/>
                <w:color w:val="auto"/>
                <w:sz w:val="24"/>
                <w:szCs w:val="24"/>
              </w:rPr>
              <w:t>II.</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Factual Background</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_Toc465681931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1</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1"/>
            <w:spacing w:after="0"/>
            <w:contextualSpacing/>
            <w:rPr>
              <w:rStyle w:val="Hyperlink"/>
              <w:rFonts w:ascii="Times New Roman" w:hAnsi="Times New Roman" w:cs="Times New Roman"/>
              <w:noProof/>
              <w:color w:val="auto"/>
              <w:sz w:val="24"/>
              <w:szCs w:val="24"/>
            </w:rPr>
          </w:pPr>
          <w:hyperlink w:anchor="_Toc465681932" w:history="1">
            <w:r w:rsidR="00D63422" w:rsidRPr="008C01A6">
              <w:rPr>
                <w:rStyle w:val="Hyperlink"/>
                <w:rFonts w:ascii="Times New Roman" w:hAnsi="Times New Roman" w:cs="Times New Roman"/>
                <w:noProof/>
                <w:color w:val="auto"/>
                <w:sz w:val="24"/>
                <w:szCs w:val="24"/>
              </w:rPr>
              <w:t>III.</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The Attorney General Has A Right Of Action To Enforce Title II</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_Toc465681932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3</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8C01A6">
          <w:pPr>
            <w:pStyle w:val="TOC2"/>
            <w:rPr>
              <w:rStyle w:val="Hyperlink"/>
              <w:rFonts w:ascii="Times New Roman" w:hAnsi="Times New Roman" w:cs="Times New Roman"/>
              <w:noProof/>
              <w:color w:val="auto"/>
              <w:sz w:val="24"/>
              <w:szCs w:val="24"/>
            </w:rPr>
          </w:pPr>
          <w:hyperlink w:anchor="_Toc465681933" w:history="1">
            <w:r w:rsidR="00D63422" w:rsidRPr="008C01A6">
              <w:rPr>
                <w:rStyle w:val="Hyperlink"/>
                <w:rFonts w:ascii="Times New Roman" w:hAnsi="Times New Roman" w:cs="Times New Roman"/>
                <w:noProof/>
                <w:color w:val="auto"/>
                <w:sz w:val="24"/>
                <w:szCs w:val="24"/>
              </w:rPr>
              <w:t>A.</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Overview</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_Toc465681933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3</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8C01A6">
          <w:pPr>
            <w:pStyle w:val="TOC2"/>
            <w:rPr>
              <w:rStyle w:val="Hyperlink"/>
              <w:rFonts w:ascii="Times New Roman" w:hAnsi="Times New Roman" w:cs="Times New Roman"/>
              <w:noProof/>
              <w:color w:val="auto"/>
              <w:sz w:val="24"/>
              <w:szCs w:val="24"/>
            </w:rPr>
          </w:pPr>
          <w:hyperlink w:anchor="_Toc465681934" w:history="1">
            <w:r w:rsidR="00D63422" w:rsidRPr="008C01A6">
              <w:rPr>
                <w:rStyle w:val="Hyperlink"/>
                <w:rFonts w:ascii="Times New Roman" w:hAnsi="Times New Roman" w:cs="Times New Roman"/>
                <w:noProof/>
                <w:color w:val="auto"/>
                <w:sz w:val="24"/>
                <w:szCs w:val="24"/>
              </w:rPr>
              <w:t>B.</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Statutory Text</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_Toc465681934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5</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8C01A6">
          <w:pPr>
            <w:pStyle w:val="TOC2"/>
            <w:rPr>
              <w:rStyle w:val="Hyperlink"/>
              <w:rFonts w:ascii="Times New Roman" w:hAnsi="Times New Roman" w:cs="Times New Roman"/>
              <w:noProof/>
              <w:color w:val="auto"/>
              <w:sz w:val="24"/>
              <w:szCs w:val="24"/>
            </w:rPr>
          </w:pPr>
          <w:hyperlink w:anchor="_Toc465681935" w:history="1">
            <w:r w:rsidR="00D63422" w:rsidRPr="008C01A6">
              <w:rPr>
                <w:rStyle w:val="Hyperlink"/>
                <w:rFonts w:ascii="Times New Roman" w:hAnsi="Times New Roman" w:cs="Times New Roman"/>
                <w:noProof/>
                <w:color w:val="auto"/>
                <w:sz w:val="24"/>
                <w:szCs w:val="24"/>
              </w:rPr>
              <w:t>C.</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The Attorney General Can Enforce Title VI Through Litigation</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_Toc465681935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6</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8C01A6">
          <w:pPr>
            <w:pStyle w:val="TOC2"/>
            <w:rPr>
              <w:rStyle w:val="Hyperlink"/>
              <w:rFonts w:ascii="Times New Roman" w:hAnsi="Times New Roman" w:cs="Times New Roman"/>
              <w:noProof/>
              <w:color w:val="auto"/>
              <w:sz w:val="24"/>
              <w:szCs w:val="24"/>
            </w:rPr>
          </w:pPr>
          <w:hyperlink w:anchor="_Toc465681936" w:history="1">
            <w:r w:rsidR="00D63422" w:rsidRPr="008C01A6">
              <w:rPr>
                <w:rStyle w:val="Hyperlink"/>
                <w:rFonts w:ascii="Times New Roman" w:hAnsi="Times New Roman" w:cs="Times New Roman"/>
                <w:noProof/>
                <w:color w:val="auto"/>
                <w:sz w:val="24"/>
                <w:szCs w:val="24"/>
              </w:rPr>
              <w:t>D.</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The Attorney General Can Enforce the Rehabilitation Act Through Litigation</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_Toc465681936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10</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8C01A6">
          <w:pPr>
            <w:pStyle w:val="TOC2"/>
            <w:rPr>
              <w:rStyle w:val="Hyperlink"/>
              <w:rFonts w:ascii="Times New Roman" w:hAnsi="Times New Roman" w:cs="Times New Roman"/>
              <w:noProof/>
              <w:color w:val="auto"/>
              <w:sz w:val="24"/>
              <w:szCs w:val="24"/>
            </w:rPr>
          </w:pPr>
          <w:hyperlink w:anchor="_Toc465681937" w:history="1">
            <w:r w:rsidR="00D63422" w:rsidRPr="008C01A6">
              <w:rPr>
                <w:rStyle w:val="Hyperlink"/>
                <w:rFonts w:ascii="Times New Roman" w:hAnsi="Times New Roman" w:cs="Times New Roman"/>
                <w:noProof/>
                <w:color w:val="auto"/>
                <w:sz w:val="24"/>
                <w:szCs w:val="24"/>
              </w:rPr>
              <w:t>E.</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The Attorney General Can Enforce Title II of the ADA Through Litigation</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_Toc465681937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11</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3"/>
            <w:tabs>
              <w:tab w:val="left" w:pos="880"/>
              <w:tab w:val="right" w:leader="dot" w:pos="9350"/>
            </w:tabs>
            <w:spacing w:after="0"/>
            <w:ind w:left="1440" w:hanging="720"/>
            <w:contextualSpacing/>
            <w:rPr>
              <w:rStyle w:val="Hyperlink"/>
              <w:rFonts w:ascii="Times New Roman" w:hAnsi="Times New Roman" w:cs="Times New Roman"/>
              <w:noProof/>
              <w:color w:val="auto"/>
              <w:sz w:val="24"/>
              <w:szCs w:val="24"/>
            </w:rPr>
          </w:pPr>
          <w:hyperlink w:anchor="_Toc465681938" w:history="1">
            <w:r w:rsidR="00D63422" w:rsidRPr="008C01A6">
              <w:rPr>
                <w:rStyle w:val="Hyperlink"/>
                <w:rFonts w:ascii="Times New Roman" w:hAnsi="Times New Roman" w:cs="Times New Roman"/>
                <w:noProof/>
                <w:color w:val="auto"/>
                <w:sz w:val="24"/>
                <w:szCs w:val="24"/>
              </w:rPr>
              <w:t>1.</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As Congress Understood, Title II of the ADA Incorporated Title VI’s and          the Rehabilitation Act’s Right of Action for the Attorney General</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_Toc465681938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11</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3"/>
            <w:tabs>
              <w:tab w:val="left" w:pos="880"/>
              <w:tab w:val="right" w:leader="dot" w:pos="9350"/>
            </w:tabs>
            <w:spacing w:after="0"/>
            <w:ind w:left="1440" w:hanging="720"/>
            <w:contextualSpacing/>
            <w:rPr>
              <w:rStyle w:val="Hyperlink"/>
              <w:rFonts w:ascii="Times New Roman" w:hAnsi="Times New Roman" w:cs="Times New Roman"/>
              <w:noProof/>
              <w:color w:val="auto"/>
              <w:sz w:val="24"/>
              <w:szCs w:val="24"/>
            </w:rPr>
          </w:pPr>
          <w:hyperlink w:anchor="_Toc465681939" w:history="1">
            <w:r w:rsidR="00D63422" w:rsidRPr="008C01A6">
              <w:rPr>
                <w:rStyle w:val="Hyperlink"/>
                <w:rFonts w:ascii="Times New Roman" w:hAnsi="Times New Roman" w:cs="Times New Roman"/>
                <w:noProof/>
                <w:color w:val="auto"/>
                <w:sz w:val="24"/>
                <w:szCs w:val="24"/>
              </w:rPr>
              <w:t>2.</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Title II Properly Incorporates the Attorney General’s Right of Action                  by Reference Instead of Naming Her Specifically</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_Toc465681939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16</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3"/>
            <w:tabs>
              <w:tab w:val="left" w:pos="880"/>
              <w:tab w:val="right" w:leader="dot" w:pos="9350"/>
            </w:tabs>
            <w:spacing w:after="0"/>
            <w:ind w:left="1440" w:hanging="720"/>
            <w:contextualSpacing/>
            <w:rPr>
              <w:rStyle w:val="Hyperlink"/>
              <w:rFonts w:ascii="Times New Roman" w:hAnsi="Times New Roman" w:cs="Times New Roman"/>
              <w:noProof/>
              <w:color w:val="auto"/>
              <w:sz w:val="24"/>
              <w:szCs w:val="24"/>
            </w:rPr>
          </w:pPr>
          <w:hyperlink w:anchor="_Toc465681940" w:history="1">
            <w:r w:rsidR="00D63422" w:rsidRPr="008C01A6">
              <w:rPr>
                <w:rStyle w:val="Hyperlink"/>
                <w:rFonts w:ascii="Times New Roman" w:hAnsi="Times New Roman" w:cs="Times New Roman"/>
                <w:noProof/>
                <w:color w:val="auto"/>
                <w:sz w:val="24"/>
                <w:szCs w:val="24"/>
              </w:rPr>
              <w:t>3.</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Courts Have Consistently Concluded That the Attorney General Can           Enforce Title II Through Litigation</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_Toc465681940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19</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3"/>
            <w:tabs>
              <w:tab w:val="left" w:pos="880"/>
              <w:tab w:val="right" w:leader="dot" w:pos="9350"/>
            </w:tabs>
            <w:spacing w:after="0"/>
            <w:ind w:left="1440" w:hanging="720"/>
            <w:contextualSpacing/>
            <w:rPr>
              <w:rStyle w:val="Hyperlink"/>
              <w:rFonts w:ascii="Times New Roman" w:hAnsi="Times New Roman" w:cs="Times New Roman"/>
              <w:noProof/>
              <w:color w:val="auto"/>
              <w:sz w:val="24"/>
              <w:szCs w:val="24"/>
            </w:rPr>
          </w:pPr>
          <w:hyperlink w:anchor="_Toc465681941" w:history="1">
            <w:r w:rsidR="00D63422" w:rsidRPr="008C01A6">
              <w:rPr>
                <w:rStyle w:val="Hyperlink"/>
                <w:rFonts w:ascii="Times New Roman" w:hAnsi="Times New Roman" w:cs="Times New Roman"/>
                <w:noProof/>
                <w:color w:val="auto"/>
                <w:sz w:val="24"/>
                <w:szCs w:val="24"/>
              </w:rPr>
              <w:t>4.</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There Is No Indication That Congress Was Motivated by Federalism         Concerns</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_Toc465681941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20</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8C01A6">
          <w:pPr>
            <w:pStyle w:val="TOC2"/>
            <w:rPr>
              <w:rStyle w:val="Hyperlink"/>
              <w:rFonts w:ascii="Times New Roman" w:hAnsi="Times New Roman" w:cs="Times New Roman"/>
              <w:noProof/>
              <w:color w:val="auto"/>
              <w:sz w:val="24"/>
              <w:szCs w:val="24"/>
            </w:rPr>
          </w:pPr>
          <w:hyperlink w:anchor="_Toc465681942" w:history="1">
            <w:r w:rsidR="00D63422" w:rsidRPr="008C01A6">
              <w:rPr>
                <w:rStyle w:val="Hyperlink"/>
                <w:rFonts w:ascii="Times New Roman" w:hAnsi="Times New Roman" w:cs="Times New Roman"/>
                <w:noProof/>
                <w:color w:val="auto"/>
                <w:sz w:val="24"/>
                <w:szCs w:val="24"/>
              </w:rPr>
              <w:t>F.</w:t>
            </w:r>
            <w:r w:rsidR="00D63422" w:rsidRPr="008C01A6">
              <w:rPr>
                <w:rFonts w:ascii="Times New Roman" w:hAnsi="Times New Roman" w:cs="Times New Roman"/>
                <w:noProof/>
                <w:sz w:val="24"/>
                <w:szCs w:val="24"/>
              </w:rPr>
              <w:tab/>
            </w:r>
            <w:r w:rsidR="00D63422" w:rsidRPr="008C01A6">
              <w:rPr>
                <w:rStyle w:val="Hyperlink"/>
                <w:rFonts w:ascii="Times New Roman" w:hAnsi="Times New Roman" w:cs="Times New Roman"/>
                <w:noProof/>
                <w:color w:val="auto"/>
                <w:sz w:val="24"/>
                <w:szCs w:val="24"/>
              </w:rPr>
              <w:t>To the Extent That Title II Is Ambiguous, This Court Must Defer to the Department        of Justice’s Regulations</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_Toc465681942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21</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1"/>
            <w:spacing w:after="0"/>
            <w:contextualSpacing/>
            <w:rPr>
              <w:rStyle w:val="Hyperlink"/>
              <w:rFonts w:ascii="Times New Roman" w:hAnsi="Times New Roman" w:cs="Times New Roman"/>
              <w:noProof/>
              <w:color w:val="auto"/>
              <w:sz w:val="24"/>
              <w:szCs w:val="24"/>
            </w:rPr>
          </w:pPr>
          <w:hyperlink w:anchor="_Toc465681943" w:history="1">
            <w:r w:rsidR="00D63422" w:rsidRPr="008C01A6">
              <w:rPr>
                <w:rStyle w:val="Hyperlink"/>
                <w:rFonts w:ascii="Times New Roman" w:eastAsia="Calibri" w:hAnsi="Times New Roman" w:cs="Times New Roman"/>
                <w:noProof/>
                <w:color w:val="auto"/>
                <w:sz w:val="24"/>
                <w:szCs w:val="24"/>
              </w:rPr>
              <w:t>IV.</w:t>
            </w:r>
            <w:r w:rsidR="00D63422" w:rsidRPr="008C01A6">
              <w:rPr>
                <w:rFonts w:ascii="Times New Roman" w:hAnsi="Times New Roman" w:cs="Times New Roman"/>
                <w:noProof/>
                <w:sz w:val="24"/>
                <w:szCs w:val="24"/>
              </w:rPr>
              <w:tab/>
            </w:r>
            <w:r w:rsidR="00D63422" w:rsidRPr="008C01A6">
              <w:rPr>
                <w:rStyle w:val="Hyperlink"/>
                <w:rFonts w:ascii="Times New Roman" w:eastAsia="Calibri" w:hAnsi="Times New Roman" w:cs="Times New Roman"/>
                <w:noProof/>
                <w:color w:val="auto"/>
                <w:sz w:val="24"/>
                <w:szCs w:val="24"/>
              </w:rPr>
              <w:t>The United States Has Complied With All Of The Administrative Prerequisites             For Filing A Suit</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_Toc465681943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23</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1"/>
            <w:spacing w:after="0"/>
            <w:contextualSpacing/>
            <w:rPr>
              <w:rStyle w:val="Hyperlink"/>
              <w:rFonts w:ascii="Times New Roman" w:hAnsi="Times New Roman" w:cs="Times New Roman"/>
              <w:noProof/>
              <w:color w:val="auto"/>
              <w:sz w:val="24"/>
              <w:szCs w:val="24"/>
            </w:rPr>
          </w:pPr>
          <w:hyperlink w:anchor="_Toc465681944" w:history="1">
            <w:r w:rsidR="00D63422" w:rsidRPr="008C01A6">
              <w:rPr>
                <w:rStyle w:val="Hyperlink"/>
                <w:rFonts w:ascii="Times New Roman" w:eastAsia="Calibri" w:hAnsi="Times New Roman" w:cs="Times New Roman"/>
                <w:noProof/>
                <w:color w:val="auto"/>
                <w:sz w:val="24"/>
                <w:szCs w:val="24"/>
              </w:rPr>
              <w:t>V.</w:t>
            </w:r>
            <w:r w:rsidR="00D63422" w:rsidRPr="008C01A6">
              <w:rPr>
                <w:rFonts w:ascii="Times New Roman" w:hAnsi="Times New Roman" w:cs="Times New Roman"/>
                <w:noProof/>
                <w:sz w:val="24"/>
                <w:szCs w:val="24"/>
              </w:rPr>
              <w:tab/>
            </w:r>
            <w:r w:rsidR="00D63422" w:rsidRPr="008C01A6">
              <w:rPr>
                <w:rStyle w:val="Hyperlink"/>
                <w:rFonts w:ascii="Times New Roman" w:eastAsia="Calibri" w:hAnsi="Times New Roman" w:cs="Times New Roman"/>
                <w:noProof/>
                <w:color w:val="auto"/>
                <w:sz w:val="24"/>
                <w:szCs w:val="24"/>
              </w:rPr>
              <w:t>The United States Has Properly Alleged That Harris County Violated Title II</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_Toc465681944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25</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1"/>
            <w:spacing w:after="0"/>
            <w:contextualSpacing/>
            <w:rPr>
              <w:rStyle w:val="Hyperlink"/>
              <w:rFonts w:ascii="Times New Roman" w:hAnsi="Times New Roman" w:cs="Times New Roman"/>
              <w:noProof/>
              <w:color w:val="auto"/>
              <w:sz w:val="24"/>
              <w:szCs w:val="24"/>
            </w:rPr>
          </w:pPr>
          <w:hyperlink w:anchor="_Toc465681945" w:history="1">
            <w:r w:rsidR="00D63422" w:rsidRPr="008C01A6">
              <w:rPr>
                <w:rStyle w:val="Hyperlink"/>
                <w:rFonts w:ascii="Times New Roman" w:eastAsia="Calibri" w:hAnsi="Times New Roman" w:cs="Times New Roman"/>
                <w:noProof/>
                <w:color w:val="auto"/>
                <w:sz w:val="24"/>
                <w:szCs w:val="24"/>
              </w:rPr>
              <w:t>VI.</w:t>
            </w:r>
            <w:r w:rsidR="00D63422" w:rsidRPr="008C01A6">
              <w:rPr>
                <w:rFonts w:ascii="Times New Roman" w:hAnsi="Times New Roman" w:cs="Times New Roman"/>
                <w:noProof/>
                <w:sz w:val="24"/>
                <w:szCs w:val="24"/>
              </w:rPr>
              <w:tab/>
            </w:r>
            <w:r w:rsidR="00D63422" w:rsidRPr="008C01A6">
              <w:rPr>
                <w:rStyle w:val="Hyperlink"/>
                <w:rFonts w:ascii="Times New Roman" w:eastAsia="Calibri" w:hAnsi="Times New Roman" w:cs="Times New Roman"/>
                <w:noProof/>
                <w:color w:val="auto"/>
                <w:sz w:val="24"/>
                <w:szCs w:val="24"/>
              </w:rPr>
              <w:t>Facility Owners And Election Judges Are Not Necessary Parties</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_Toc465681945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27</w:t>
            </w:r>
            <w:r w:rsidRPr="008C01A6">
              <w:rPr>
                <w:rFonts w:ascii="Times New Roman" w:hAnsi="Times New Roman" w:cs="Times New Roman"/>
                <w:noProof/>
                <w:webHidden/>
                <w:sz w:val="24"/>
                <w:szCs w:val="24"/>
              </w:rPr>
              <w:fldChar w:fldCharType="end"/>
            </w:r>
          </w:hyperlink>
        </w:p>
        <w:p w:rsidR="00D63422" w:rsidRPr="008C01A6" w:rsidRDefault="00D63422" w:rsidP="00D63422">
          <w:pPr>
            <w:rPr>
              <w:rFonts w:ascii="Times New Roman" w:hAnsi="Times New Roman" w:cs="Times New Roman"/>
              <w:noProof/>
              <w:sz w:val="24"/>
              <w:szCs w:val="24"/>
            </w:rPr>
          </w:pPr>
        </w:p>
        <w:p w:rsidR="00D63422" w:rsidRPr="008C01A6" w:rsidRDefault="00524DBB" w:rsidP="00D63422">
          <w:pPr>
            <w:pStyle w:val="TOC1"/>
            <w:spacing w:after="0"/>
            <w:contextualSpacing/>
            <w:rPr>
              <w:rFonts w:ascii="Times New Roman" w:hAnsi="Times New Roman" w:cs="Times New Roman"/>
              <w:noProof/>
              <w:sz w:val="24"/>
              <w:szCs w:val="24"/>
            </w:rPr>
          </w:pPr>
          <w:hyperlink w:anchor="_Toc465681946" w:history="1">
            <w:r w:rsidR="00D63422" w:rsidRPr="008C01A6">
              <w:rPr>
                <w:rStyle w:val="Hyperlink"/>
                <w:rFonts w:ascii="Times New Roman" w:eastAsia="Calibri" w:hAnsi="Times New Roman" w:cs="Times New Roman"/>
                <w:noProof/>
                <w:color w:val="auto"/>
                <w:sz w:val="24"/>
                <w:szCs w:val="24"/>
              </w:rPr>
              <w:t>VII.</w:t>
            </w:r>
            <w:r w:rsidR="00D63422" w:rsidRPr="008C01A6">
              <w:rPr>
                <w:rFonts w:ascii="Times New Roman" w:hAnsi="Times New Roman" w:cs="Times New Roman"/>
                <w:noProof/>
                <w:sz w:val="24"/>
                <w:szCs w:val="24"/>
              </w:rPr>
              <w:tab/>
            </w:r>
            <w:r w:rsidR="00D63422" w:rsidRPr="008C01A6">
              <w:rPr>
                <w:rStyle w:val="Hyperlink"/>
                <w:rFonts w:ascii="Times New Roman" w:eastAsia="Calibri" w:hAnsi="Times New Roman" w:cs="Times New Roman"/>
                <w:noProof/>
                <w:color w:val="auto"/>
                <w:sz w:val="24"/>
                <w:szCs w:val="24"/>
              </w:rPr>
              <w:t xml:space="preserve">Harris County’s Motion </w:t>
            </w:r>
            <w:r w:rsidR="00920628">
              <w:rPr>
                <w:rStyle w:val="Hyperlink"/>
                <w:rFonts w:ascii="Times New Roman" w:eastAsia="Calibri" w:hAnsi="Times New Roman" w:cs="Times New Roman"/>
                <w:noProof/>
                <w:color w:val="auto"/>
                <w:sz w:val="24"/>
                <w:szCs w:val="24"/>
              </w:rPr>
              <w:t>F</w:t>
            </w:r>
            <w:r w:rsidR="00D63422" w:rsidRPr="008C01A6">
              <w:rPr>
                <w:rStyle w:val="Hyperlink"/>
                <w:rFonts w:ascii="Times New Roman" w:eastAsia="Calibri" w:hAnsi="Times New Roman" w:cs="Times New Roman"/>
                <w:noProof/>
                <w:color w:val="auto"/>
                <w:sz w:val="24"/>
                <w:szCs w:val="24"/>
              </w:rPr>
              <w:t xml:space="preserve">or </w:t>
            </w:r>
            <w:r w:rsidR="00920628">
              <w:rPr>
                <w:rStyle w:val="Hyperlink"/>
                <w:rFonts w:ascii="Times New Roman" w:eastAsia="Calibri" w:hAnsi="Times New Roman" w:cs="Times New Roman"/>
                <w:noProof/>
                <w:color w:val="auto"/>
                <w:sz w:val="24"/>
                <w:szCs w:val="24"/>
              </w:rPr>
              <w:t>A</w:t>
            </w:r>
            <w:r w:rsidR="00D63422" w:rsidRPr="008C01A6">
              <w:rPr>
                <w:rStyle w:val="Hyperlink"/>
                <w:rFonts w:ascii="Times New Roman" w:eastAsia="Calibri" w:hAnsi="Times New Roman" w:cs="Times New Roman"/>
                <w:noProof/>
                <w:color w:val="auto"/>
                <w:sz w:val="24"/>
                <w:szCs w:val="24"/>
              </w:rPr>
              <w:t xml:space="preserve"> More Definite Statement Should be Denied</w:t>
            </w:r>
            <w:r w:rsidR="00D63422" w:rsidRPr="008C01A6">
              <w:rPr>
                <w:rFonts w:ascii="Times New Roman" w:hAnsi="Times New Roman" w:cs="Times New Roman"/>
                <w:noProof/>
                <w:webHidden/>
                <w:sz w:val="24"/>
                <w:szCs w:val="24"/>
              </w:rPr>
              <w:tab/>
            </w:r>
            <w:r w:rsidRPr="008C01A6">
              <w:rPr>
                <w:rFonts w:ascii="Times New Roman" w:hAnsi="Times New Roman" w:cs="Times New Roman"/>
                <w:noProof/>
                <w:webHidden/>
                <w:sz w:val="24"/>
                <w:szCs w:val="24"/>
              </w:rPr>
              <w:fldChar w:fldCharType="begin"/>
            </w:r>
            <w:r w:rsidR="00D63422" w:rsidRPr="008C01A6">
              <w:rPr>
                <w:rFonts w:ascii="Times New Roman" w:hAnsi="Times New Roman" w:cs="Times New Roman"/>
                <w:noProof/>
                <w:webHidden/>
                <w:sz w:val="24"/>
                <w:szCs w:val="24"/>
              </w:rPr>
              <w:instrText xml:space="preserve"> PAGEREF _Toc465681946 \h </w:instrText>
            </w:r>
            <w:r w:rsidRPr="008C01A6">
              <w:rPr>
                <w:rFonts w:ascii="Times New Roman" w:hAnsi="Times New Roman" w:cs="Times New Roman"/>
                <w:noProof/>
                <w:webHidden/>
                <w:sz w:val="24"/>
                <w:szCs w:val="24"/>
              </w:rPr>
            </w:r>
            <w:r w:rsidRPr="008C01A6">
              <w:rPr>
                <w:rFonts w:ascii="Times New Roman" w:hAnsi="Times New Roman" w:cs="Times New Roman"/>
                <w:noProof/>
                <w:webHidden/>
                <w:sz w:val="24"/>
                <w:szCs w:val="24"/>
              </w:rPr>
              <w:fldChar w:fldCharType="separate"/>
            </w:r>
            <w:r w:rsidR="008C039D">
              <w:rPr>
                <w:rFonts w:ascii="Times New Roman" w:hAnsi="Times New Roman" w:cs="Times New Roman"/>
                <w:noProof/>
                <w:webHidden/>
                <w:sz w:val="24"/>
                <w:szCs w:val="24"/>
              </w:rPr>
              <w:t>30</w:t>
            </w:r>
            <w:r w:rsidRPr="008C01A6">
              <w:rPr>
                <w:rFonts w:ascii="Times New Roman" w:hAnsi="Times New Roman" w:cs="Times New Roman"/>
                <w:noProof/>
                <w:webHidden/>
                <w:sz w:val="24"/>
                <w:szCs w:val="24"/>
              </w:rPr>
              <w:fldChar w:fldCharType="end"/>
            </w:r>
          </w:hyperlink>
        </w:p>
        <w:p w:rsidR="00D63422" w:rsidRPr="008C01A6" w:rsidRDefault="00524DBB">
          <w:pPr>
            <w:rPr>
              <w:rFonts w:ascii="Times New Roman" w:hAnsi="Times New Roman" w:cs="Times New Roman"/>
              <w:sz w:val="24"/>
              <w:szCs w:val="24"/>
            </w:rPr>
          </w:pPr>
          <w:r w:rsidRPr="008C01A6">
            <w:rPr>
              <w:rFonts w:ascii="Times New Roman" w:hAnsi="Times New Roman" w:cs="Times New Roman"/>
              <w:sz w:val="24"/>
              <w:szCs w:val="24"/>
            </w:rPr>
            <w:fldChar w:fldCharType="end"/>
          </w:r>
        </w:p>
      </w:sdtContent>
    </w:sdt>
    <w:p w:rsidR="008A0BAC" w:rsidRPr="00A7707F" w:rsidRDefault="008A0BAC" w:rsidP="008A0BAC">
      <w:pPr>
        <w:rPr>
          <w:rFonts w:cs="Times New Roman"/>
          <w:szCs w:val="24"/>
        </w:rPr>
        <w:sectPr w:rsidR="008A0BAC" w:rsidRPr="00A7707F" w:rsidSect="008A0B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noEndnote/>
          <w:docGrid w:linePitch="299"/>
        </w:sectPr>
      </w:pPr>
      <w:r>
        <w:rPr>
          <w:rFonts w:cs="Times New Roman"/>
          <w:szCs w:val="24"/>
        </w:rPr>
        <w:br w:type="page"/>
      </w:r>
    </w:p>
    <w:p w:rsidR="00B52105" w:rsidRPr="008C01A6" w:rsidRDefault="006F63CD" w:rsidP="007F0152">
      <w:pPr>
        <w:pStyle w:val="Heading1"/>
        <w:rPr>
          <w:rFonts w:cs="Times New Roman"/>
          <w:szCs w:val="24"/>
        </w:rPr>
      </w:pPr>
      <w:bookmarkStart w:id="0" w:name="_Toc465681930"/>
      <w:r w:rsidRPr="008C01A6">
        <w:rPr>
          <w:rFonts w:cs="Times New Roman"/>
          <w:szCs w:val="24"/>
        </w:rPr>
        <w:lastRenderedPageBreak/>
        <w:t>Introduction</w:t>
      </w:r>
      <w:bookmarkEnd w:id="0"/>
    </w:p>
    <w:p w:rsidR="00B52105" w:rsidRPr="008C01A6" w:rsidRDefault="00B52105">
      <w:pPr>
        <w:widowControl w:val="0"/>
        <w:contextualSpacing/>
        <w:rPr>
          <w:rFonts w:ascii="Times New Roman" w:hAnsi="Times New Roman" w:cs="Times New Roman"/>
          <w:b/>
          <w:sz w:val="24"/>
          <w:szCs w:val="24"/>
        </w:rPr>
      </w:pPr>
    </w:p>
    <w:p w:rsidR="0026715D" w:rsidRPr="008C01A6" w:rsidRDefault="00175172">
      <w:pPr>
        <w:widowControl w:val="0"/>
        <w:spacing w:line="480" w:lineRule="auto"/>
        <w:contextualSpacing/>
        <w:rPr>
          <w:rFonts w:ascii="Times New Roman" w:hAnsi="Times New Roman" w:cs="Times New Roman"/>
          <w:sz w:val="24"/>
          <w:szCs w:val="24"/>
        </w:rPr>
      </w:pPr>
      <w:r w:rsidRPr="008C01A6">
        <w:rPr>
          <w:rFonts w:ascii="Times New Roman" w:hAnsi="Times New Roman" w:cs="Times New Roman"/>
          <w:b/>
          <w:sz w:val="24"/>
          <w:szCs w:val="24"/>
        </w:rPr>
        <w:tab/>
      </w:r>
      <w:r w:rsidR="006F63CD" w:rsidRPr="008C01A6">
        <w:rPr>
          <w:rFonts w:ascii="Times New Roman" w:hAnsi="Times New Roman" w:cs="Times New Roman"/>
          <w:sz w:val="24"/>
          <w:szCs w:val="24"/>
        </w:rPr>
        <w:t>Title II of the Americans with Disabilities Act</w:t>
      </w:r>
      <w:r w:rsidR="006F63CD" w:rsidRPr="008C0D93">
        <w:rPr>
          <w:rFonts w:ascii="Times New Roman" w:hAnsi="Times New Roman" w:cs="Times New Roman"/>
          <w:sz w:val="24"/>
          <w:szCs w:val="24"/>
        </w:rPr>
        <w:t>, 42 U.S.C. §§ 12131</w:t>
      </w:r>
      <w:r w:rsidR="006F63CD" w:rsidRPr="008C01A6">
        <w:rPr>
          <w:rFonts w:ascii="Times New Roman" w:hAnsi="Times New Roman" w:cs="Times New Roman"/>
          <w:sz w:val="24"/>
          <w:szCs w:val="24"/>
        </w:rPr>
        <w:t xml:space="preserve">-12134 (“Title II” or “ADA”), requires public entities like Harris County to ensure that </w:t>
      </w:r>
      <w:r w:rsidR="001F4C15" w:rsidRPr="008C01A6">
        <w:rPr>
          <w:rFonts w:ascii="Times New Roman" w:hAnsi="Times New Roman" w:cs="Times New Roman"/>
          <w:sz w:val="24"/>
          <w:szCs w:val="24"/>
        </w:rPr>
        <w:t>their</w:t>
      </w:r>
      <w:r w:rsidR="006F63CD" w:rsidRPr="008C01A6">
        <w:rPr>
          <w:rFonts w:ascii="Times New Roman" w:hAnsi="Times New Roman" w:cs="Times New Roman"/>
          <w:sz w:val="24"/>
          <w:szCs w:val="24"/>
        </w:rPr>
        <w:t xml:space="preserve"> programs, services, and activities do not discriminate against individuals with disabilities. </w:t>
      </w:r>
      <w:r w:rsidR="001F4C15" w:rsidRPr="008C01A6">
        <w:rPr>
          <w:rFonts w:ascii="Times New Roman" w:hAnsi="Times New Roman" w:cs="Times New Roman"/>
          <w:sz w:val="24"/>
          <w:szCs w:val="24"/>
        </w:rPr>
        <w:t>Title II’s mandate</w:t>
      </w:r>
      <w:r w:rsidR="006F63CD" w:rsidRPr="008C01A6">
        <w:rPr>
          <w:rFonts w:ascii="Times New Roman" w:hAnsi="Times New Roman" w:cs="Times New Roman"/>
          <w:sz w:val="24"/>
          <w:szCs w:val="24"/>
        </w:rPr>
        <w:t xml:space="preserve"> includes ensuring that the core governmental function of voting is accessible to those with di</w:t>
      </w:r>
      <w:r w:rsidR="001F4C15" w:rsidRPr="008C01A6">
        <w:rPr>
          <w:rFonts w:ascii="Times New Roman" w:hAnsi="Times New Roman" w:cs="Times New Roman"/>
          <w:sz w:val="24"/>
          <w:szCs w:val="24"/>
        </w:rPr>
        <w:t>sabilities. The United States’ C</w:t>
      </w:r>
      <w:r w:rsidR="006F63CD" w:rsidRPr="008C01A6">
        <w:rPr>
          <w:rFonts w:ascii="Times New Roman" w:hAnsi="Times New Roman" w:cs="Times New Roman"/>
          <w:sz w:val="24"/>
          <w:szCs w:val="24"/>
        </w:rPr>
        <w:t>omplaint, which must be taken as true for purposes of this motion to dismiss,</w:t>
      </w:r>
      <w:r w:rsidRPr="008C01A6">
        <w:rPr>
          <w:rFonts w:ascii="Times New Roman" w:hAnsi="Times New Roman" w:cs="Times New Roman"/>
          <w:sz w:val="24"/>
          <w:szCs w:val="24"/>
        </w:rPr>
        <w:t xml:space="preserve"> </w:t>
      </w:r>
      <w:r w:rsidR="006F63CD" w:rsidRPr="008C01A6">
        <w:rPr>
          <w:rFonts w:ascii="Times New Roman" w:hAnsi="Times New Roman" w:cs="Times New Roman"/>
          <w:sz w:val="24"/>
          <w:szCs w:val="24"/>
        </w:rPr>
        <w:t xml:space="preserve">alleges that Harris County has failed to </w:t>
      </w:r>
      <w:r w:rsidR="006829D0" w:rsidRPr="008C01A6">
        <w:rPr>
          <w:rFonts w:ascii="Times New Roman" w:hAnsi="Times New Roman" w:cs="Times New Roman"/>
          <w:sz w:val="24"/>
          <w:szCs w:val="24"/>
        </w:rPr>
        <w:t>comply with this mandate</w:t>
      </w:r>
      <w:r w:rsidR="00FE1CAE" w:rsidRPr="008C01A6">
        <w:rPr>
          <w:rFonts w:ascii="Times New Roman" w:hAnsi="Times New Roman" w:cs="Times New Roman"/>
          <w:sz w:val="24"/>
          <w:szCs w:val="24"/>
        </w:rPr>
        <w:t xml:space="preserve">. </w:t>
      </w:r>
    </w:p>
    <w:p w:rsidR="0026715D" w:rsidRPr="008C01A6" w:rsidRDefault="0026715D" w:rsidP="0026715D">
      <w:pPr>
        <w:spacing w:line="480" w:lineRule="auto"/>
        <w:ind w:firstLine="720"/>
        <w:rPr>
          <w:rFonts w:ascii="Times New Roman" w:hAnsi="Times New Roman" w:cs="Times New Roman"/>
          <w:sz w:val="24"/>
          <w:szCs w:val="24"/>
        </w:rPr>
      </w:pPr>
      <w:r w:rsidRPr="008C01A6">
        <w:rPr>
          <w:rFonts w:ascii="Times New Roman" w:eastAsia="Calibri" w:hAnsi="Times New Roman" w:cs="Times New Roman"/>
          <w:sz w:val="24"/>
          <w:szCs w:val="24"/>
        </w:rPr>
        <w:t>Harris County has moved to dismiss (ECF 11, “MTD”)</w:t>
      </w:r>
      <w:proofErr w:type="gramStart"/>
      <w:r w:rsidRPr="008C01A6">
        <w:rPr>
          <w:rFonts w:ascii="Times New Roman" w:eastAsia="Calibri" w:hAnsi="Times New Roman" w:cs="Times New Roman"/>
          <w:sz w:val="24"/>
          <w:szCs w:val="24"/>
        </w:rPr>
        <w:t>,</w:t>
      </w:r>
      <w:proofErr w:type="gramEnd"/>
      <w:r w:rsidRPr="008C01A6">
        <w:rPr>
          <w:rFonts w:ascii="Times New Roman" w:eastAsia="Calibri" w:hAnsi="Times New Roman" w:cs="Times New Roman"/>
          <w:sz w:val="24"/>
          <w:szCs w:val="24"/>
        </w:rPr>
        <w:t xml:space="preserve"> arguing principally that </w:t>
      </w:r>
      <w:r w:rsidRPr="008C01A6">
        <w:rPr>
          <w:rFonts w:ascii="Times New Roman" w:hAnsi="Times New Roman" w:cs="Times New Roman"/>
          <w:sz w:val="24"/>
          <w:szCs w:val="24"/>
        </w:rPr>
        <w:t xml:space="preserve">the United States has no authority to </w:t>
      </w:r>
      <w:r w:rsidRPr="008C01A6">
        <w:rPr>
          <w:rFonts w:ascii="Times New Roman" w:eastAsia="Calibri" w:hAnsi="Times New Roman" w:cs="Times New Roman"/>
          <w:sz w:val="24"/>
          <w:szCs w:val="24"/>
        </w:rPr>
        <w:t>file suit to enforce the guarantees of Title II</w:t>
      </w:r>
      <w:r w:rsidRPr="008C01A6">
        <w:rPr>
          <w:rFonts w:ascii="Times New Roman" w:hAnsi="Times New Roman" w:cs="Times New Roman"/>
          <w:sz w:val="24"/>
          <w:szCs w:val="24"/>
        </w:rPr>
        <w:t>. That is wrong: Title II incorporates well-known enforcement remedies from other civil rights statutes that have long been interpreted to provide the Attorney General with a right of action. (</w:t>
      </w:r>
      <w:r w:rsidRPr="008C01A6">
        <w:rPr>
          <w:rFonts w:ascii="Times New Roman" w:hAnsi="Times New Roman" w:cs="Times New Roman"/>
          <w:i/>
          <w:sz w:val="24"/>
          <w:szCs w:val="24"/>
        </w:rPr>
        <w:t>See</w:t>
      </w:r>
      <w:r w:rsidRPr="008C01A6">
        <w:rPr>
          <w:rFonts w:ascii="Times New Roman" w:hAnsi="Times New Roman" w:cs="Times New Roman"/>
          <w:sz w:val="24"/>
          <w:szCs w:val="24"/>
        </w:rPr>
        <w:t xml:space="preserve"> Section III, </w:t>
      </w:r>
      <w:r w:rsidRPr="008C01A6">
        <w:rPr>
          <w:rFonts w:ascii="Times New Roman" w:hAnsi="Times New Roman" w:cs="Times New Roman"/>
          <w:i/>
          <w:sz w:val="24"/>
          <w:szCs w:val="24"/>
        </w:rPr>
        <w:t>infra</w:t>
      </w:r>
      <w:r w:rsidR="00920628">
        <w:rPr>
          <w:rFonts w:ascii="Times New Roman" w:hAnsi="Times New Roman" w:cs="Times New Roman"/>
          <w:i/>
          <w:sz w:val="24"/>
          <w:szCs w:val="24"/>
        </w:rPr>
        <w:t>.</w:t>
      </w:r>
      <w:r w:rsidR="00920628">
        <w:rPr>
          <w:rFonts w:ascii="Times New Roman" w:hAnsi="Times New Roman" w:cs="Times New Roman"/>
          <w:sz w:val="24"/>
          <w:szCs w:val="24"/>
        </w:rPr>
        <w:t>)</w:t>
      </w:r>
      <w:r w:rsidRPr="008C01A6">
        <w:rPr>
          <w:rFonts w:ascii="Times New Roman" w:hAnsi="Times New Roman" w:cs="Times New Roman"/>
          <w:sz w:val="24"/>
          <w:szCs w:val="24"/>
        </w:rPr>
        <w:t xml:space="preserve"> Harris County’s other arguments for </w:t>
      </w:r>
      <w:proofErr w:type="gramStart"/>
      <w:r w:rsidRPr="008C01A6">
        <w:rPr>
          <w:rFonts w:ascii="Times New Roman" w:hAnsi="Times New Roman" w:cs="Times New Roman"/>
          <w:sz w:val="24"/>
          <w:szCs w:val="24"/>
        </w:rPr>
        <w:t>dismissal are</w:t>
      </w:r>
      <w:proofErr w:type="gramEnd"/>
      <w:r w:rsidRPr="008C01A6">
        <w:rPr>
          <w:rFonts w:ascii="Times New Roman" w:hAnsi="Times New Roman" w:cs="Times New Roman"/>
          <w:sz w:val="24"/>
          <w:szCs w:val="24"/>
        </w:rPr>
        <w:t xml:space="preserve"> equally unavailing. Contrary to Harris County’s contention, the United States fulfilled all necessary prerequisites to filing suit (Section IV), and the Complaint properly provides Harris County fair notice of the claim and the ground on which it rests</w:t>
      </w:r>
      <w:r w:rsidRPr="008C01A6">
        <w:rPr>
          <w:rStyle w:val="cosearchdetaillevel1"/>
          <w:rFonts w:ascii="Times New Roman" w:hAnsi="Times New Roman" w:cs="Times New Roman"/>
          <w:sz w:val="24"/>
          <w:szCs w:val="24"/>
        </w:rPr>
        <w:t xml:space="preserve"> (Section V). And because Harris County has </w:t>
      </w:r>
      <w:proofErr w:type="gramStart"/>
      <w:r w:rsidRPr="008C01A6">
        <w:rPr>
          <w:rStyle w:val="cosearchdetaillevel1"/>
          <w:rFonts w:ascii="Times New Roman" w:hAnsi="Times New Roman" w:cs="Times New Roman"/>
          <w:sz w:val="24"/>
          <w:szCs w:val="24"/>
        </w:rPr>
        <w:t>both the</w:t>
      </w:r>
      <w:proofErr w:type="gramEnd"/>
      <w:r w:rsidRPr="008C01A6">
        <w:rPr>
          <w:rStyle w:val="cosearchdetaillevel1"/>
          <w:rFonts w:ascii="Times New Roman" w:hAnsi="Times New Roman" w:cs="Times New Roman"/>
          <w:sz w:val="24"/>
          <w:szCs w:val="24"/>
        </w:rPr>
        <w:t xml:space="preserve"> right and the authority to ensure the accessibility of polling places, neither facility owners nor election judges are necessary parties (Section VI). Finally, Harris County’s motion for a mor</w:t>
      </w:r>
      <w:r w:rsidR="002324D1" w:rsidRPr="008C01A6">
        <w:rPr>
          <w:rStyle w:val="cosearchdetaillevel1"/>
          <w:rFonts w:ascii="Times New Roman" w:hAnsi="Times New Roman" w:cs="Times New Roman"/>
          <w:sz w:val="24"/>
          <w:szCs w:val="24"/>
        </w:rPr>
        <w:t>e definite statement should</w:t>
      </w:r>
      <w:r w:rsidRPr="008C01A6">
        <w:rPr>
          <w:rStyle w:val="cosearchdetaillevel1"/>
          <w:rFonts w:ascii="Times New Roman" w:hAnsi="Times New Roman" w:cs="Times New Roman"/>
          <w:sz w:val="24"/>
          <w:szCs w:val="24"/>
        </w:rPr>
        <w:t xml:space="preserve"> be denied because the United States has already provided Harris County with the information it s</w:t>
      </w:r>
      <w:r w:rsidR="002324D1" w:rsidRPr="008C01A6">
        <w:rPr>
          <w:rStyle w:val="cosearchdetaillevel1"/>
          <w:rFonts w:ascii="Times New Roman" w:hAnsi="Times New Roman" w:cs="Times New Roman"/>
          <w:sz w:val="24"/>
          <w:szCs w:val="24"/>
        </w:rPr>
        <w:t>eeks</w:t>
      </w:r>
      <w:r w:rsidRPr="008C01A6">
        <w:rPr>
          <w:rStyle w:val="cosearchdetaillevel1"/>
          <w:rFonts w:ascii="Times New Roman" w:hAnsi="Times New Roman" w:cs="Times New Roman"/>
          <w:sz w:val="24"/>
          <w:szCs w:val="24"/>
        </w:rPr>
        <w:t xml:space="preserve"> (Section VII).</w:t>
      </w:r>
    </w:p>
    <w:p w:rsidR="0026715D" w:rsidRPr="008C01A6" w:rsidRDefault="0026715D" w:rsidP="0026715D">
      <w:pPr>
        <w:pStyle w:val="Heading1"/>
        <w:rPr>
          <w:rFonts w:cs="Times New Roman"/>
          <w:szCs w:val="24"/>
        </w:rPr>
      </w:pPr>
      <w:bookmarkStart w:id="1" w:name="_Toc465681931"/>
      <w:r w:rsidRPr="008C01A6">
        <w:rPr>
          <w:rFonts w:cs="Times New Roman"/>
          <w:szCs w:val="24"/>
        </w:rPr>
        <w:t>Factual Background</w:t>
      </w:r>
      <w:bookmarkEnd w:id="1"/>
    </w:p>
    <w:p w:rsidR="0026715D" w:rsidRPr="008C01A6" w:rsidRDefault="0026715D" w:rsidP="0026715D">
      <w:pPr>
        <w:widowControl w:val="0"/>
        <w:contextualSpacing/>
        <w:rPr>
          <w:rFonts w:ascii="Times New Roman" w:hAnsi="Times New Roman" w:cs="Times New Roman"/>
          <w:sz w:val="24"/>
          <w:szCs w:val="24"/>
        </w:rPr>
      </w:pPr>
    </w:p>
    <w:p w:rsidR="0026715D" w:rsidRPr="008C01A6" w:rsidRDefault="006F63CD">
      <w:pPr>
        <w:widowControl w:val="0"/>
        <w:spacing w:line="480" w:lineRule="auto"/>
        <w:contextualSpacing/>
        <w:rPr>
          <w:rFonts w:ascii="Times New Roman" w:hAnsi="Times New Roman" w:cs="Times New Roman"/>
          <w:sz w:val="24"/>
          <w:szCs w:val="24"/>
        </w:rPr>
      </w:pPr>
      <w:r w:rsidRPr="008C01A6">
        <w:rPr>
          <w:rFonts w:ascii="Times New Roman" w:hAnsi="Times New Roman" w:cs="Times New Roman"/>
          <w:sz w:val="24"/>
          <w:szCs w:val="24"/>
        </w:rPr>
        <w:tab/>
      </w:r>
      <w:r w:rsidR="00175172" w:rsidRPr="008C01A6">
        <w:rPr>
          <w:rFonts w:ascii="Times New Roman" w:hAnsi="Times New Roman" w:cs="Times New Roman"/>
          <w:sz w:val="24"/>
          <w:szCs w:val="24"/>
        </w:rPr>
        <w:t xml:space="preserve">The </w:t>
      </w:r>
      <w:r w:rsidRPr="008C01A6">
        <w:rPr>
          <w:rFonts w:ascii="Times New Roman" w:hAnsi="Times New Roman" w:cs="Times New Roman"/>
          <w:sz w:val="24"/>
          <w:szCs w:val="24"/>
        </w:rPr>
        <w:t xml:space="preserve">United States’ </w:t>
      </w:r>
      <w:r w:rsidR="00175172" w:rsidRPr="008C01A6">
        <w:rPr>
          <w:rFonts w:ascii="Times New Roman" w:hAnsi="Times New Roman" w:cs="Times New Roman"/>
          <w:sz w:val="24"/>
          <w:szCs w:val="24"/>
        </w:rPr>
        <w:t>C</w:t>
      </w:r>
      <w:r w:rsidR="004F55CC" w:rsidRPr="008C01A6">
        <w:rPr>
          <w:rFonts w:ascii="Times New Roman" w:hAnsi="Times New Roman" w:cs="Times New Roman"/>
          <w:sz w:val="24"/>
          <w:szCs w:val="24"/>
        </w:rPr>
        <w:t>omplaint</w:t>
      </w:r>
      <w:r w:rsidRPr="008C01A6">
        <w:rPr>
          <w:rFonts w:ascii="Times New Roman" w:hAnsi="Times New Roman" w:cs="Times New Roman"/>
          <w:sz w:val="24"/>
          <w:szCs w:val="24"/>
        </w:rPr>
        <w:t xml:space="preserve"> (ECF 1)</w:t>
      </w:r>
      <w:r w:rsidR="004F55CC" w:rsidRPr="008C01A6">
        <w:rPr>
          <w:rFonts w:ascii="Times New Roman" w:hAnsi="Times New Roman" w:cs="Times New Roman"/>
          <w:sz w:val="24"/>
          <w:szCs w:val="24"/>
        </w:rPr>
        <w:t xml:space="preserve"> alleges that Harris County is responsible for the administration of elections</w:t>
      </w:r>
      <w:r w:rsidR="00E36B58" w:rsidRPr="008C01A6">
        <w:rPr>
          <w:rFonts w:ascii="Times New Roman" w:hAnsi="Times New Roman" w:cs="Times New Roman"/>
          <w:sz w:val="24"/>
          <w:szCs w:val="24"/>
        </w:rPr>
        <w:t xml:space="preserve"> in Harris County</w:t>
      </w:r>
      <w:r w:rsidR="004F55CC" w:rsidRPr="008C01A6">
        <w:rPr>
          <w:rFonts w:ascii="Times New Roman" w:hAnsi="Times New Roman" w:cs="Times New Roman"/>
          <w:sz w:val="24"/>
          <w:szCs w:val="24"/>
        </w:rPr>
        <w:t xml:space="preserve">, including selecting </w:t>
      </w:r>
      <w:r w:rsidR="00B21D5A" w:rsidRPr="008C01A6">
        <w:rPr>
          <w:rFonts w:ascii="Times New Roman" w:hAnsi="Times New Roman" w:cs="Times New Roman"/>
          <w:sz w:val="24"/>
          <w:szCs w:val="24"/>
        </w:rPr>
        <w:t xml:space="preserve">more than 700 </w:t>
      </w:r>
      <w:r w:rsidR="004F55CC" w:rsidRPr="008C01A6">
        <w:rPr>
          <w:rFonts w:ascii="Times New Roman" w:hAnsi="Times New Roman" w:cs="Times New Roman"/>
          <w:sz w:val="24"/>
          <w:szCs w:val="24"/>
        </w:rPr>
        <w:t xml:space="preserve">facilities that are used </w:t>
      </w:r>
      <w:r w:rsidR="00175172" w:rsidRPr="008C01A6">
        <w:rPr>
          <w:rFonts w:ascii="Times New Roman" w:hAnsi="Times New Roman" w:cs="Times New Roman"/>
          <w:sz w:val="24"/>
          <w:szCs w:val="24"/>
        </w:rPr>
        <w:t xml:space="preserve">as </w:t>
      </w:r>
      <w:r w:rsidR="004F55CC" w:rsidRPr="008C01A6">
        <w:rPr>
          <w:rFonts w:ascii="Times New Roman" w:hAnsi="Times New Roman" w:cs="Times New Roman"/>
          <w:sz w:val="24"/>
          <w:szCs w:val="24"/>
        </w:rPr>
        <w:t>polling places and ensuring the physical accessibility of each facility</w:t>
      </w:r>
      <w:r w:rsidR="00175172" w:rsidRPr="008C01A6">
        <w:rPr>
          <w:rFonts w:ascii="Times New Roman" w:hAnsi="Times New Roman" w:cs="Times New Roman"/>
          <w:sz w:val="24"/>
          <w:szCs w:val="24"/>
        </w:rPr>
        <w:t xml:space="preserve">. </w:t>
      </w:r>
      <w:proofErr w:type="spellStart"/>
      <w:proofErr w:type="gramStart"/>
      <w:r w:rsidR="00175172" w:rsidRPr="008C01A6">
        <w:rPr>
          <w:rFonts w:ascii="Times New Roman" w:hAnsi="Times New Roman" w:cs="Times New Roman"/>
          <w:sz w:val="24"/>
          <w:szCs w:val="24"/>
        </w:rPr>
        <w:t>Compl</w:t>
      </w:r>
      <w:proofErr w:type="spellEnd"/>
      <w:r w:rsidR="00175172" w:rsidRPr="008C01A6">
        <w:rPr>
          <w:rFonts w:ascii="Times New Roman" w:hAnsi="Times New Roman" w:cs="Times New Roman"/>
          <w:sz w:val="24"/>
          <w:szCs w:val="24"/>
        </w:rPr>
        <w:t>.</w:t>
      </w:r>
      <w:proofErr w:type="gramEnd"/>
      <w:r w:rsidR="00175172" w:rsidRPr="008C01A6">
        <w:rPr>
          <w:rFonts w:ascii="Times New Roman" w:hAnsi="Times New Roman" w:cs="Times New Roman"/>
          <w:sz w:val="24"/>
          <w:szCs w:val="24"/>
        </w:rPr>
        <w:t xml:space="preserve"> </w:t>
      </w:r>
      <w:proofErr w:type="gramStart"/>
      <w:r w:rsidR="00E24522" w:rsidRPr="008C01A6">
        <w:rPr>
          <w:rFonts w:ascii="Times New Roman" w:hAnsi="Times New Roman" w:cs="Times New Roman"/>
          <w:sz w:val="24"/>
          <w:szCs w:val="24"/>
        </w:rPr>
        <w:t>¶</w:t>
      </w:r>
      <w:r w:rsidR="00236C25" w:rsidRPr="008C01A6">
        <w:rPr>
          <w:rFonts w:ascii="Times New Roman" w:hAnsi="Times New Roman" w:cs="Times New Roman"/>
          <w:sz w:val="24"/>
          <w:szCs w:val="24"/>
        </w:rPr>
        <w:t>¶ 1, 6</w:t>
      </w:r>
      <w:r w:rsidR="003E6C84" w:rsidRPr="008C01A6">
        <w:rPr>
          <w:rFonts w:ascii="Times New Roman" w:hAnsi="Times New Roman" w:cs="Times New Roman"/>
          <w:sz w:val="24"/>
          <w:szCs w:val="24"/>
        </w:rPr>
        <w:t>, 7</w:t>
      </w:r>
      <w:r w:rsidR="00175172" w:rsidRPr="008C01A6">
        <w:rPr>
          <w:rFonts w:ascii="Times New Roman" w:hAnsi="Times New Roman" w:cs="Times New Roman"/>
          <w:sz w:val="24"/>
          <w:szCs w:val="24"/>
        </w:rPr>
        <w:t>.</w:t>
      </w:r>
      <w:proofErr w:type="gramEnd"/>
      <w:r w:rsidR="00175172" w:rsidRPr="008C01A6">
        <w:rPr>
          <w:rFonts w:ascii="Times New Roman" w:hAnsi="Times New Roman" w:cs="Times New Roman"/>
          <w:sz w:val="24"/>
          <w:szCs w:val="24"/>
        </w:rPr>
        <w:t xml:space="preserve"> </w:t>
      </w:r>
      <w:r w:rsidR="0026715D" w:rsidRPr="008C01A6">
        <w:rPr>
          <w:rFonts w:ascii="Times New Roman" w:hAnsi="Times New Roman" w:cs="Times New Roman"/>
          <w:sz w:val="24"/>
          <w:szCs w:val="24"/>
        </w:rPr>
        <w:t>In January 2013</w:t>
      </w:r>
      <w:r w:rsidR="004F55CC" w:rsidRPr="008C01A6">
        <w:rPr>
          <w:rFonts w:ascii="Times New Roman" w:hAnsi="Times New Roman" w:cs="Times New Roman"/>
          <w:sz w:val="24"/>
          <w:szCs w:val="24"/>
        </w:rPr>
        <w:t xml:space="preserve">, the United States </w:t>
      </w:r>
      <w:r w:rsidR="00B21D5A" w:rsidRPr="008C01A6">
        <w:rPr>
          <w:rFonts w:ascii="Times New Roman" w:hAnsi="Times New Roman" w:cs="Times New Roman"/>
          <w:sz w:val="24"/>
          <w:szCs w:val="24"/>
        </w:rPr>
        <w:t>surveyed</w:t>
      </w:r>
      <w:r w:rsidR="004F55CC" w:rsidRPr="008C01A6">
        <w:rPr>
          <w:rFonts w:ascii="Times New Roman" w:hAnsi="Times New Roman" w:cs="Times New Roman"/>
          <w:sz w:val="24"/>
          <w:szCs w:val="24"/>
        </w:rPr>
        <w:t xml:space="preserve"> 86 polling places</w:t>
      </w:r>
      <w:r w:rsidR="00E36B58" w:rsidRPr="008C01A6">
        <w:rPr>
          <w:rFonts w:ascii="Times New Roman" w:hAnsi="Times New Roman" w:cs="Times New Roman"/>
          <w:sz w:val="24"/>
          <w:szCs w:val="24"/>
        </w:rPr>
        <w:t xml:space="preserve"> in Harris County</w:t>
      </w:r>
      <w:r w:rsidR="00A05E4D" w:rsidRPr="008C01A6">
        <w:rPr>
          <w:rFonts w:ascii="Times New Roman" w:hAnsi="Times New Roman" w:cs="Times New Roman"/>
          <w:sz w:val="24"/>
          <w:szCs w:val="24"/>
        </w:rPr>
        <w:t xml:space="preserve"> </w:t>
      </w:r>
      <w:r w:rsidR="00175172" w:rsidRPr="008C01A6">
        <w:rPr>
          <w:rFonts w:ascii="Times New Roman" w:hAnsi="Times New Roman" w:cs="Times New Roman"/>
          <w:sz w:val="24"/>
          <w:szCs w:val="24"/>
        </w:rPr>
        <w:t xml:space="preserve">to determine whether they </w:t>
      </w:r>
      <w:r w:rsidR="00A05E4D" w:rsidRPr="008C01A6">
        <w:rPr>
          <w:rFonts w:ascii="Times New Roman" w:hAnsi="Times New Roman" w:cs="Times New Roman"/>
          <w:sz w:val="24"/>
          <w:szCs w:val="24"/>
        </w:rPr>
        <w:t>were accessible to individuals with mobility disabilities</w:t>
      </w:r>
      <w:r w:rsidR="007C60D6" w:rsidRPr="008C01A6">
        <w:rPr>
          <w:rFonts w:ascii="Times New Roman" w:hAnsi="Times New Roman" w:cs="Times New Roman"/>
          <w:sz w:val="24"/>
          <w:szCs w:val="24"/>
        </w:rPr>
        <w:t xml:space="preserve"> and to assess whether Harris County’s voting program was in compliance with Title II</w:t>
      </w:r>
      <w:r w:rsidR="00175172" w:rsidRPr="008C01A6">
        <w:rPr>
          <w:rFonts w:ascii="Times New Roman" w:hAnsi="Times New Roman" w:cs="Times New Roman"/>
          <w:sz w:val="24"/>
          <w:szCs w:val="24"/>
        </w:rPr>
        <w:t xml:space="preserve">. </w:t>
      </w:r>
      <w:proofErr w:type="gramStart"/>
      <w:r w:rsidR="004F55CC" w:rsidRPr="008C01A6">
        <w:rPr>
          <w:rFonts w:ascii="Times New Roman" w:hAnsi="Times New Roman" w:cs="Times New Roman"/>
          <w:i/>
          <w:sz w:val="24"/>
          <w:szCs w:val="24"/>
        </w:rPr>
        <w:t xml:space="preserve">Id. </w:t>
      </w:r>
      <w:r w:rsidR="004F55CC" w:rsidRPr="008C01A6">
        <w:rPr>
          <w:rFonts w:ascii="Times New Roman" w:hAnsi="Times New Roman" w:cs="Times New Roman"/>
          <w:sz w:val="24"/>
          <w:szCs w:val="24"/>
        </w:rPr>
        <w:t>¶ </w:t>
      </w:r>
      <w:r w:rsidR="00236C25" w:rsidRPr="008C01A6">
        <w:rPr>
          <w:rFonts w:ascii="Times New Roman" w:hAnsi="Times New Roman" w:cs="Times New Roman"/>
          <w:sz w:val="24"/>
          <w:szCs w:val="24"/>
        </w:rPr>
        <w:t>9</w:t>
      </w:r>
      <w:r w:rsidR="00175172" w:rsidRPr="008C01A6">
        <w:rPr>
          <w:rFonts w:ascii="Times New Roman" w:hAnsi="Times New Roman" w:cs="Times New Roman"/>
          <w:sz w:val="24"/>
          <w:szCs w:val="24"/>
        </w:rPr>
        <w:t>.</w:t>
      </w:r>
      <w:proofErr w:type="gramEnd"/>
      <w:r w:rsidR="00175172" w:rsidRPr="008C01A6">
        <w:rPr>
          <w:rFonts w:ascii="Times New Roman" w:hAnsi="Times New Roman" w:cs="Times New Roman"/>
          <w:sz w:val="24"/>
          <w:szCs w:val="24"/>
        </w:rPr>
        <w:t xml:space="preserve"> </w:t>
      </w:r>
      <w:r w:rsidR="00614F9E" w:rsidRPr="008C01A6">
        <w:rPr>
          <w:rFonts w:ascii="Times New Roman" w:hAnsi="Times New Roman" w:cs="Times New Roman"/>
          <w:sz w:val="24"/>
          <w:szCs w:val="24"/>
        </w:rPr>
        <w:t>The United States found that most of the polling places were not accessible, but nearly all could be made accessible with temporary modifications</w:t>
      </w:r>
      <w:r w:rsidR="004F55CC" w:rsidRPr="008C01A6">
        <w:rPr>
          <w:rFonts w:ascii="Times New Roman" w:hAnsi="Times New Roman" w:cs="Times New Roman"/>
          <w:sz w:val="24"/>
          <w:szCs w:val="24"/>
        </w:rPr>
        <w:t>, such as portable ramps</w:t>
      </w:r>
      <w:r w:rsidR="008F0645" w:rsidRPr="008C01A6">
        <w:rPr>
          <w:rFonts w:ascii="Times New Roman" w:hAnsi="Times New Roman" w:cs="Times New Roman"/>
          <w:sz w:val="24"/>
          <w:szCs w:val="24"/>
        </w:rPr>
        <w:t xml:space="preserve"> or alternative routes</w:t>
      </w:r>
      <w:r w:rsidR="00175172" w:rsidRPr="008C01A6">
        <w:rPr>
          <w:rFonts w:ascii="Times New Roman" w:hAnsi="Times New Roman" w:cs="Times New Roman"/>
          <w:sz w:val="24"/>
          <w:szCs w:val="24"/>
        </w:rPr>
        <w:t xml:space="preserve">. </w:t>
      </w:r>
      <w:proofErr w:type="gramStart"/>
      <w:r w:rsidR="004F55CC" w:rsidRPr="008C01A6">
        <w:rPr>
          <w:rFonts w:ascii="Times New Roman" w:hAnsi="Times New Roman" w:cs="Times New Roman"/>
          <w:i/>
          <w:sz w:val="24"/>
          <w:szCs w:val="24"/>
        </w:rPr>
        <w:t>Id</w:t>
      </w:r>
      <w:r w:rsidR="00175172" w:rsidRPr="008C01A6">
        <w:rPr>
          <w:rFonts w:ascii="Times New Roman" w:hAnsi="Times New Roman" w:cs="Times New Roman"/>
          <w:i/>
          <w:sz w:val="24"/>
          <w:szCs w:val="24"/>
        </w:rPr>
        <w:t xml:space="preserve">. </w:t>
      </w:r>
      <w:r w:rsidR="003E6C84" w:rsidRPr="008C01A6">
        <w:rPr>
          <w:rFonts w:ascii="Times New Roman" w:hAnsi="Times New Roman" w:cs="Times New Roman"/>
          <w:sz w:val="24"/>
          <w:szCs w:val="24"/>
        </w:rPr>
        <w:t>¶ 10.</w:t>
      </w:r>
      <w:proofErr w:type="gramEnd"/>
      <w:r w:rsidR="003E6C84" w:rsidRPr="008C01A6">
        <w:rPr>
          <w:rFonts w:ascii="Times New Roman" w:hAnsi="Times New Roman" w:cs="Times New Roman"/>
          <w:sz w:val="24"/>
          <w:szCs w:val="24"/>
        </w:rPr>
        <w:t xml:space="preserve"> </w:t>
      </w:r>
      <w:r w:rsidR="004F55CC" w:rsidRPr="008C01A6">
        <w:rPr>
          <w:rFonts w:ascii="Times New Roman" w:hAnsi="Times New Roman" w:cs="Times New Roman"/>
          <w:sz w:val="24"/>
          <w:szCs w:val="24"/>
        </w:rPr>
        <w:t>In September 2014, the United States</w:t>
      </w:r>
      <w:r w:rsidR="00A05E4D" w:rsidRPr="008C01A6">
        <w:rPr>
          <w:rFonts w:ascii="Times New Roman" w:hAnsi="Times New Roman" w:cs="Times New Roman"/>
          <w:sz w:val="24"/>
          <w:szCs w:val="24"/>
        </w:rPr>
        <w:t xml:space="preserve"> sent Harris County </w:t>
      </w:r>
      <w:r w:rsidR="004F55CC" w:rsidRPr="008C01A6">
        <w:rPr>
          <w:rFonts w:ascii="Times New Roman" w:hAnsi="Times New Roman" w:cs="Times New Roman"/>
          <w:sz w:val="24"/>
          <w:szCs w:val="24"/>
        </w:rPr>
        <w:t>a L</w:t>
      </w:r>
      <w:r w:rsidR="00614F9E" w:rsidRPr="008C01A6">
        <w:rPr>
          <w:rFonts w:ascii="Times New Roman" w:hAnsi="Times New Roman" w:cs="Times New Roman"/>
          <w:sz w:val="24"/>
          <w:szCs w:val="24"/>
        </w:rPr>
        <w:t xml:space="preserve">etter of Findings detailing the survey results and the temporary modifications that would be necessary to make each polling place accessible. </w:t>
      </w:r>
    </w:p>
    <w:p w:rsidR="007905A0" w:rsidRPr="008C01A6" w:rsidRDefault="0026715D">
      <w:pPr>
        <w:widowControl w:val="0"/>
        <w:spacing w:line="480" w:lineRule="auto"/>
        <w:contextualSpacing/>
        <w:rPr>
          <w:rFonts w:ascii="Times New Roman" w:hAnsi="Times New Roman" w:cs="Times New Roman"/>
          <w:sz w:val="24"/>
          <w:szCs w:val="24"/>
        </w:rPr>
      </w:pPr>
      <w:r w:rsidRPr="008C01A6">
        <w:rPr>
          <w:rFonts w:ascii="Times New Roman" w:hAnsi="Times New Roman" w:cs="Times New Roman"/>
          <w:sz w:val="24"/>
          <w:szCs w:val="24"/>
        </w:rPr>
        <w:tab/>
      </w:r>
      <w:r w:rsidR="00614F9E" w:rsidRPr="008C01A6">
        <w:rPr>
          <w:rFonts w:ascii="Times New Roman" w:hAnsi="Times New Roman" w:cs="Times New Roman"/>
          <w:sz w:val="24"/>
          <w:szCs w:val="24"/>
        </w:rPr>
        <w:t>The Lette</w:t>
      </w:r>
      <w:r w:rsidR="00747AD3" w:rsidRPr="008C01A6">
        <w:rPr>
          <w:rFonts w:ascii="Times New Roman" w:hAnsi="Times New Roman" w:cs="Times New Roman"/>
          <w:sz w:val="24"/>
          <w:szCs w:val="24"/>
        </w:rPr>
        <w:t>r</w:t>
      </w:r>
      <w:r w:rsidRPr="008C01A6">
        <w:rPr>
          <w:rFonts w:ascii="Times New Roman" w:hAnsi="Times New Roman" w:cs="Times New Roman"/>
          <w:sz w:val="24"/>
          <w:szCs w:val="24"/>
        </w:rPr>
        <w:t xml:space="preserve"> explained</w:t>
      </w:r>
      <w:r w:rsidR="008449E1" w:rsidRPr="008C01A6">
        <w:rPr>
          <w:rFonts w:ascii="Times New Roman" w:hAnsi="Times New Roman" w:cs="Times New Roman"/>
          <w:sz w:val="24"/>
          <w:szCs w:val="24"/>
        </w:rPr>
        <w:t xml:space="preserve"> that Harris County had violated </w:t>
      </w:r>
      <w:r w:rsidR="00614F9E" w:rsidRPr="008C01A6">
        <w:rPr>
          <w:rFonts w:ascii="Times New Roman" w:hAnsi="Times New Roman" w:cs="Times New Roman"/>
          <w:sz w:val="24"/>
          <w:szCs w:val="24"/>
        </w:rPr>
        <w:t xml:space="preserve">Title II of the </w:t>
      </w:r>
      <w:r w:rsidR="008449E1" w:rsidRPr="008C01A6">
        <w:rPr>
          <w:rFonts w:ascii="Times New Roman" w:hAnsi="Times New Roman" w:cs="Times New Roman"/>
          <w:sz w:val="24"/>
          <w:szCs w:val="24"/>
        </w:rPr>
        <w:t>ADA by failing to select polli</w:t>
      </w:r>
      <w:r w:rsidR="00614F9E" w:rsidRPr="008C01A6">
        <w:rPr>
          <w:rFonts w:ascii="Times New Roman" w:hAnsi="Times New Roman" w:cs="Times New Roman"/>
          <w:sz w:val="24"/>
          <w:szCs w:val="24"/>
        </w:rPr>
        <w:t>ng places that were accessible (</w:t>
      </w:r>
      <w:r w:rsidR="00B56D61" w:rsidRPr="008C01A6">
        <w:rPr>
          <w:rFonts w:ascii="Times New Roman" w:hAnsi="Times New Roman" w:cs="Times New Roman"/>
          <w:sz w:val="24"/>
          <w:szCs w:val="24"/>
        </w:rPr>
        <w:t>or would be</w:t>
      </w:r>
      <w:r w:rsidR="008449E1" w:rsidRPr="008C01A6">
        <w:rPr>
          <w:rFonts w:ascii="Times New Roman" w:hAnsi="Times New Roman" w:cs="Times New Roman"/>
          <w:sz w:val="24"/>
          <w:szCs w:val="24"/>
        </w:rPr>
        <w:t xml:space="preserve"> made accessible through temporary measures</w:t>
      </w:r>
      <w:r w:rsidR="00614F9E" w:rsidRPr="008C01A6">
        <w:rPr>
          <w:rFonts w:ascii="Times New Roman" w:hAnsi="Times New Roman" w:cs="Times New Roman"/>
          <w:sz w:val="24"/>
          <w:szCs w:val="24"/>
        </w:rPr>
        <w:t>)</w:t>
      </w:r>
      <w:r w:rsidR="00F815E8" w:rsidRPr="008C01A6">
        <w:rPr>
          <w:rFonts w:ascii="Times New Roman" w:hAnsi="Times New Roman" w:cs="Times New Roman"/>
          <w:sz w:val="24"/>
          <w:szCs w:val="24"/>
        </w:rPr>
        <w:t xml:space="preserve">. </w:t>
      </w:r>
      <w:r w:rsidR="00A71F86" w:rsidRPr="008C01A6">
        <w:rPr>
          <w:rFonts w:ascii="Times New Roman" w:hAnsi="Times New Roman" w:cs="Times New Roman"/>
          <w:sz w:val="24"/>
          <w:szCs w:val="24"/>
        </w:rPr>
        <w:t>The Letter further</w:t>
      </w:r>
      <w:r w:rsidR="00614F9E" w:rsidRPr="008C01A6">
        <w:rPr>
          <w:rFonts w:ascii="Times New Roman" w:hAnsi="Times New Roman" w:cs="Times New Roman"/>
          <w:sz w:val="24"/>
          <w:szCs w:val="24"/>
        </w:rPr>
        <w:t xml:space="preserve"> </w:t>
      </w:r>
      <w:r w:rsidR="00747AD3" w:rsidRPr="008C01A6">
        <w:rPr>
          <w:rFonts w:ascii="Times New Roman" w:hAnsi="Times New Roman" w:cs="Times New Roman"/>
          <w:sz w:val="24"/>
          <w:szCs w:val="24"/>
        </w:rPr>
        <w:t xml:space="preserve">explained </w:t>
      </w:r>
      <w:r w:rsidR="00614F9E" w:rsidRPr="008C01A6">
        <w:rPr>
          <w:rFonts w:ascii="Times New Roman" w:hAnsi="Times New Roman" w:cs="Times New Roman"/>
          <w:sz w:val="24"/>
          <w:szCs w:val="24"/>
        </w:rPr>
        <w:t xml:space="preserve">that coming into compliance with Title </w:t>
      </w:r>
      <w:r w:rsidR="00D663F5" w:rsidRPr="008C01A6">
        <w:rPr>
          <w:rFonts w:ascii="Times New Roman" w:hAnsi="Times New Roman" w:cs="Times New Roman"/>
          <w:sz w:val="24"/>
          <w:szCs w:val="24"/>
        </w:rPr>
        <w:t>I</w:t>
      </w:r>
      <w:r w:rsidR="00614F9E" w:rsidRPr="008C01A6">
        <w:rPr>
          <w:rFonts w:ascii="Times New Roman" w:hAnsi="Times New Roman" w:cs="Times New Roman"/>
          <w:sz w:val="24"/>
          <w:szCs w:val="24"/>
        </w:rPr>
        <w:t>I would require</w:t>
      </w:r>
      <w:r w:rsidR="007905A0" w:rsidRPr="008C01A6">
        <w:rPr>
          <w:rFonts w:ascii="Times New Roman" w:hAnsi="Times New Roman" w:cs="Times New Roman"/>
          <w:sz w:val="24"/>
          <w:szCs w:val="24"/>
        </w:rPr>
        <w:t xml:space="preserve"> Harris County to</w:t>
      </w:r>
      <w:r w:rsidR="00614F9E" w:rsidRPr="008C01A6">
        <w:rPr>
          <w:rFonts w:ascii="Times New Roman" w:hAnsi="Times New Roman" w:cs="Times New Roman"/>
          <w:sz w:val="24"/>
          <w:szCs w:val="24"/>
        </w:rPr>
        <w:t xml:space="preserve"> (1) remedy identified problems through temporary measures, </w:t>
      </w:r>
      <w:r w:rsidR="00FE168C" w:rsidRPr="008C01A6">
        <w:rPr>
          <w:rFonts w:ascii="Times New Roman" w:hAnsi="Times New Roman" w:cs="Times New Roman"/>
          <w:sz w:val="24"/>
          <w:szCs w:val="24"/>
        </w:rPr>
        <w:t>if</w:t>
      </w:r>
      <w:r w:rsidR="00614F9E" w:rsidRPr="008C01A6">
        <w:rPr>
          <w:rFonts w:ascii="Times New Roman" w:hAnsi="Times New Roman" w:cs="Times New Roman"/>
          <w:sz w:val="24"/>
          <w:szCs w:val="24"/>
        </w:rPr>
        <w:t xml:space="preserve"> possible, and (2) assess the remainder of</w:t>
      </w:r>
      <w:r w:rsidR="007905A0" w:rsidRPr="008C01A6">
        <w:rPr>
          <w:rFonts w:ascii="Times New Roman" w:hAnsi="Times New Roman" w:cs="Times New Roman"/>
          <w:sz w:val="24"/>
          <w:szCs w:val="24"/>
        </w:rPr>
        <w:t xml:space="preserve"> its</w:t>
      </w:r>
      <w:r w:rsidR="00614F9E" w:rsidRPr="008C01A6">
        <w:rPr>
          <w:rFonts w:ascii="Times New Roman" w:hAnsi="Times New Roman" w:cs="Times New Roman"/>
          <w:sz w:val="24"/>
          <w:szCs w:val="24"/>
        </w:rPr>
        <w:t xml:space="preserve"> polling places and ensur</w:t>
      </w:r>
      <w:r w:rsidR="007905A0" w:rsidRPr="008C01A6">
        <w:rPr>
          <w:rFonts w:ascii="Times New Roman" w:hAnsi="Times New Roman" w:cs="Times New Roman"/>
          <w:sz w:val="24"/>
          <w:szCs w:val="24"/>
        </w:rPr>
        <w:t>e</w:t>
      </w:r>
      <w:r w:rsidR="00614F9E" w:rsidRPr="008C01A6">
        <w:rPr>
          <w:rFonts w:ascii="Times New Roman" w:hAnsi="Times New Roman" w:cs="Times New Roman"/>
          <w:sz w:val="24"/>
          <w:szCs w:val="24"/>
        </w:rPr>
        <w:t xml:space="preserve"> that they were accessible</w:t>
      </w:r>
      <w:r w:rsidR="00B56D61" w:rsidRPr="008C01A6">
        <w:rPr>
          <w:rFonts w:ascii="Times New Roman" w:hAnsi="Times New Roman" w:cs="Times New Roman"/>
          <w:sz w:val="24"/>
          <w:szCs w:val="24"/>
        </w:rPr>
        <w:t xml:space="preserve"> or would be made accessible through temporary measures</w:t>
      </w:r>
      <w:r w:rsidR="00EE13BB">
        <w:rPr>
          <w:rFonts w:ascii="Times New Roman" w:hAnsi="Times New Roman" w:cs="Times New Roman"/>
          <w:sz w:val="24"/>
          <w:szCs w:val="24"/>
        </w:rPr>
        <w:t xml:space="preserve">. </w:t>
      </w:r>
      <w:r w:rsidR="00900EA7" w:rsidRPr="008C01A6">
        <w:rPr>
          <w:rFonts w:ascii="Times New Roman" w:hAnsi="Times New Roman" w:cs="Times New Roman"/>
          <w:i/>
          <w:sz w:val="24"/>
          <w:szCs w:val="24"/>
        </w:rPr>
        <w:t xml:space="preserve">See </w:t>
      </w:r>
      <w:r w:rsidR="00900EA7" w:rsidRPr="008C01A6">
        <w:rPr>
          <w:rFonts w:ascii="Times New Roman" w:hAnsi="Times New Roman" w:cs="Times New Roman"/>
          <w:sz w:val="24"/>
          <w:szCs w:val="24"/>
        </w:rPr>
        <w:t>https://www.ada.gov/harris_county_lof.htm.</w:t>
      </w:r>
    </w:p>
    <w:p w:rsidR="00B52105" w:rsidRPr="008C01A6" w:rsidRDefault="007905A0" w:rsidP="007905A0">
      <w:pPr>
        <w:spacing w:line="480" w:lineRule="auto"/>
        <w:contextualSpacing/>
        <w:rPr>
          <w:rFonts w:ascii="Times New Roman" w:hAnsi="Times New Roman" w:cs="Times New Roman"/>
          <w:sz w:val="24"/>
          <w:szCs w:val="24"/>
        </w:rPr>
      </w:pPr>
      <w:r w:rsidRPr="008C01A6">
        <w:rPr>
          <w:rFonts w:ascii="Times New Roman" w:hAnsi="Times New Roman" w:cs="Times New Roman"/>
          <w:sz w:val="24"/>
          <w:szCs w:val="24"/>
        </w:rPr>
        <w:tab/>
      </w:r>
      <w:r w:rsidR="008449E1" w:rsidRPr="008C01A6">
        <w:rPr>
          <w:rFonts w:ascii="Times New Roman" w:hAnsi="Times New Roman" w:cs="Times New Roman"/>
          <w:sz w:val="24"/>
          <w:szCs w:val="24"/>
        </w:rPr>
        <w:t>In</w:t>
      </w:r>
      <w:r w:rsidR="00236C25" w:rsidRPr="008C01A6">
        <w:rPr>
          <w:rFonts w:ascii="Times New Roman" w:hAnsi="Times New Roman" w:cs="Times New Roman"/>
          <w:sz w:val="24"/>
          <w:szCs w:val="24"/>
        </w:rPr>
        <w:t xml:space="preserve"> </w:t>
      </w:r>
      <w:r w:rsidR="00B21D5A" w:rsidRPr="008C01A6">
        <w:rPr>
          <w:rFonts w:ascii="Times New Roman" w:hAnsi="Times New Roman" w:cs="Times New Roman"/>
          <w:sz w:val="24"/>
          <w:szCs w:val="24"/>
        </w:rPr>
        <w:t xml:space="preserve">May </w:t>
      </w:r>
      <w:r w:rsidR="00236C25" w:rsidRPr="008C01A6">
        <w:rPr>
          <w:rFonts w:ascii="Times New Roman" w:hAnsi="Times New Roman" w:cs="Times New Roman"/>
          <w:sz w:val="24"/>
          <w:szCs w:val="24"/>
        </w:rPr>
        <w:t xml:space="preserve">2016, </w:t>
      </w:r>
      <w:r w:rsidR="00873CC8">
        <w:rPr>
          <w:rFonts w:ascii="Times New Roman" w:hAnsi="Times New Roman" w:cs="Times New Roman"/>
          <w:sz w:val="24"/>
          <w:szCs w:val="24"/>
        </w:rPr>
        <w:t xml:space="preserve">in order </w:t>
      </w:r>
      <w:r w:rsidR="00133A9F" w:rsidRPr="008C01A6">
        <w:rPr>
          <w:rFonts w:ascii="Times New Roman" w:hAnsi="Times New Roman" w:cs="Times New Roman"/>
          <w:sz w:val="24"/>
          <w:szCs w:val="24"/>
        </w:rPr>
        <w:t xml:space="preserve">to verify </w:t>
      </w:r>
      <w:r w:rsidR="00236C25" w:rsidRPr="008C01A6">
        <w:rPr>
          <w:rFonts w:ascii="Times New Roman" w:hAnsi="Times New Roman" w:cs="Times New Roman"/>
          <w:sz w:val="24"/>
          <w:szCs w:val="24"/>
        </w:rPr>
        <w:t xml:space="preserve">Harris County’s </w:t>
      </w:r>
      <w:r w:rsidR="00AF370C" w:rsidRPr="008C01A6">
        <w:rPr>
          <w:rFonts w:ascii="Times New Roman" w:hAnsi="Times New Roman" w:cs="Times New Roman"/>
          <w:sz w:val="24"/>
          <w:szCs w:val="24"/>
        </w:rPr>
        <w:t xml:space="preserve">written </w:t>
      </w:r>
      <w:r w:rsidR="00873CC8">
        <w:rPr>
          <w:rFonts w:ascii="Times New Roman" w:hAnsi="Times New Roman" w:cs="Times New Roman"/>
          <w:sz w:val="24"/>
          <w:szCs w:val="24"/>
        </w:rPr>
        <w:t>representation</w:t>
      </w:r>
      <w:r w:rsidR="00236C25" w:rsidRPr="008C01A6">
        <w:rPr>
          <w:rFonts w:ascii="Times New Roman" w:hAnsi="Times New Roman" w:cs="Times New Roman"/>
          <w:sz w:val="24"/>
          <w:szCs w:val="24"/>
        </w:rPr>
        <w:t xml:space="preserve"> that </w:t>
      </w:r>
      <w:r w:rsidR="00614F9E" w:rsidRPr="008C01A6">
        <w:rPr>
          <w:rFonts w:ascii="Times New Roman" w:hAnsi="Times New Roman" w:cs="Times New Roman"/>
          <w:sz w:val="24"/>
          <w:szCs w:val="24"/>
        </w:rPr>
        <w:t>system-wide corrective</w:t>
      </w:r>
      <w:r w:rsidR="00133A9F" w:rsidRPr="008C01A6">
        <w:rPr>
          <w:rFonts w:ascii="Times New Roman" w:hAnsi="Times New Roman" w:cs="Times New Roman"/>
          <w:sz w:val="24"/>
          <w:szCs w:val="24"/>
        </w:rPr>
        <w:t xml:space="preserve"> actions </w:t>
      </w:r>
      <w:r w:rsidR="00873CC8">
        <w:rPr>
          <w:rFonts w:ascii="Times New Roman" w:hAnsi="Times New Roman" w:cs="Times New Roman"/>
          <w:sz w:val="24"/>
          <w:szCs w:val="24"/>
        </w:rPr>
        <w:t>were being</w:t>
      </w:r>
      <w:r w:rsidR="00133A9F" w:rsidRPr="008C01A6">
        <w:rPr>
          <w:rFonts w:ascii="Times New Roman" w:hAnsi="Times New Roman" w:cs="Times New Roman"/>
          <w:sz w:val="24"/>
          <w:szCs w:val="24"/>
        </w:rPr>
        <w:t xml:space="preserve"> taken, the </w:t>
      </w:r>
      <w:r w:rsidR="004F55CC" w:rsidRPr="008C01A6">
        <w:rPr>
          <w:rFonts w:ascii="Times New Roman" w:hAnsi="Times New Roman" w:cs="Times New Roman"/>
          <w:sz w:val="24"/>
          <w:szCs w:val="24"/>
        </w:rPr>
        <w:t xml:space="preserve">United States conducted a </w:t>
      </w:r>
      <w:proofErr w:type="spellStart"/>
      <w:r w:rsidR="00133A9F" w:rsidRPr="008C01A6">
        <w:rPr>
          <w:rFonts w:ascii="Times New Roman" w:hAnsi="Times New Roman" w:cs="Times New Roman"/>
          <w:sz w:val="24"/>
          <w:szCs w:val="24"/>
        </w:rPr>
        <w:t>followup</w:t>
      </w:r>
      <w:proofErr w:type="spellEnd"/>
      <w:r w:rsidR="004F55CC" w:rsidRPr="008C01A6">
        <w:rPr>
          <w:rFonts w:ascii="Times New Roman" w:hAnsi="Times New Roman" w:cs="Times New Roman"/>
          <w:sz w:val="24"/>
          <w:szCs w:val="24"/>
        </w:rPr>
        <w:t xml:space="preserve"> survey</w:t>
      </w:r>
      <w:r w:rsidR="00175172" w:rsidRPr="008C01A6">
        <w:rPr>
          <w:rFonts w:ascii="Times New Roman" w:hAnsi="Times New Roman" w:cs="Times New Roman"/>
          <w:sz w:val="24"/>
          <w:szCs w:val="24"/>
        </w:rPr>
        <w:t xml:space="preserve">. </w:t>
      </w:r>
      <w:r w:rsidR="003E6C84" w:rsidRPr="008C01A6">
        <w:rPr>
          <w:rFonts w:ascii="Times New Roman" w:hAnsi="Times New Roman" w:cs="Times New Roman"/>
          <w:i/>
          <w:sz w:val="24"/>
          <w:szCs w:val="24"/>
        </w:rPr>
        <w:t>See i</w:t>
      </w:r>
      <w:r w:rsidR="00133A9F" w:rsidRPr="008C01A6">
        <w:rPr>
          <w:rFonts w:ascii="Times New Roman" w:hAnsi="Times New Roman" w:cs="Times New Roman"/>
          <w:i/>
          <w:sz w:val="24"/>
          <w:szCs w:val="24"/>
        </w:rPr>
        <w:t xml:space="preserve">d. </w:t>
      </w:r>
      <w:proofErr w:type="gramStart"/>
      <w:r w:rsidR="00133A9F" w:rsidRPr="008C01A6">
        <w:rPr>
          <w:rFonts w:ascii="Times New Roman" w:hAnsi="Times New Roman" w:cs="Times New Roman"/>
          <w:sz w:val="24"/>
          <w:szCs w:val="24"/>
        </w:rPr>
        <w:t>¶ </w:t>
      </w:r>
      <w:r w:rsidR="00236C25" w:rsidRPr="008C01A6">
        <w:rPr>
          <w:rFonts w:ascii="Times New Roman" w:hAnsi="Times New Roman" w:cs="Times New Roman"/>
          <w:sz w:val="24"/>
          <w:szCs w:val="24"/>
        </w:rPr>
        <w:t>11</w:t>
      </w:r>
      <w:r w:rsidR="00133A9F" w:rsidRPr="008C01A6">
        <w:rPr>
          <w:rFonts w:ascii="Times New Roman" w:hAnsi="Times New Roman" w:cs="Times New Roman"/>
          <w:sz w:val="24"/>
          <w:szCs w:val="24"/>
        </w:rPr>
        <w:t>.</w:t>
      </w:r>
      <w:proofErr w:type="gramEnd"/>
      <w:r w:rsidR="00133A9F" w:rsidRPr="008C01A6">
        <w:rPr>
          <w:rFonts w:ascii="Times New Roman" w:hAnsi="Times New Roman" w:cs="Times New Roman"/>
          <w:sz w:val="24"/>
          <w:szCs w:val="24"/>
        </w:rPr>
        <w:t xml:space="preserve"> </w:t>
      </w:r>
      <w:r w:rsidR="004F55CC" w:rsidRPr="008C01A6">
        <w:rPr>
          <w:rFonts w:ascii="Times New Roman" w:hAnsi="Times New Roman" w:cs="Times New Roman"/>
          <w:sz w:val="24"/>
          <w:szCs w:val="24"/>
        </w:rPr>
        <w:t xml:space="preserve">In this </w:t>
      </w:r>
      <w:proofErr w:type="spellStart"/>
      <w:r w:rsidR="004F55CC" w:rsidRPr="008C01A6">
        <w:rPr>
          <w:rFonts w:ascii="Times New Roman" w:hAnsi="Times New Roman" w:cs="Times New Roman"/>
          <w:sz w:val="24"/>
          <w:szCs w:val="24"/>
        </w:rPr>
        <w:t>followup</w:t>
      </w:r>
      <w:proofErr w:type="spellEnd"/>
      <w:r w:rsidR="004F55CC" w:rsidRPr="008C01A6">
        <w:rPr>
          <w:rFonts w:ascii="Times New Roman" w:hAnsi="Times New Roman" w:cs="Times New Roman"/>
          <w:sz w:val="24"/>
          <w:szCs w:val="24"/>
        </w:rPr>
        <w:t xml:space="preserve"> survey, the United States surveyed 32 </w:t>
      </w:r>
      <w:r w:rsidR="007442FD" w:rsidRPr="008C01A6">
        <w:rPr>
          <w:rFonts w:ascii="Times New Roman" w:hAnsi="Times New Roman" w:cs="Times New Roman"/>
          <w:sz w:val="24"/>
          <w:szCs w:val="24"/>
        </w:rPr>
        <w:t xml:space="preserve">new </w:t>
      </w:r>
      <w:r w:rsidR="004F55CC" w:rsidRPr="008C01A6">
        <w:rPr>
          <w:rFonts w:ascii="Times New Roman" w:hAnsi="Times New Roman" w:cs="Times New Roman"/>
          <w:sz w:val="24"/>
          <w:szCs w:val="24"/>
        </w:rPr>
        <w:t>polling places and found that most were inaccessible because they had, “for example, steep</w:t>
      </w:r>
      <w:r w:rsidR="00E24522" w:rsidRPr="008C01A6">
        <w:rPr>
          <w:rFonts w:ascii="Times New Roman" w:hAnsi="Times New Roman" w:cs="Times New Roman"/>
          <w:sz w:val="24"/>
          <w:szCs w:val="24"/>
        </w:rPr>
        <w:t xml:space="preserve"> curb ramps, gaps in sidewalks and walkways, and locked gates along the </w:t>
      </w:r>
      <w:r w:rsidR="008F0645" w:rsidRPr="008C01A6">
        <w:rPr>
          <w:rFonts w:ascii="Times New Roman" w:hAnsi="Times New Roman" w:cs="Times New Roman"/>
          <w:sz w:val="24"/>
          <w:szCs w:val="24"/>
        </w:rPr>
        <w:t xml:space="preserve">[accessible] </w:t>
      </w:r>
      <w:r w:rsidR="00E24522" w:rsidRPr="008C01A6">
        <w:rPr>
          <w:rFonts w:ascii="Times New Roman" w:hAnsi="Times New Roman" w:cs="Times New Roman"/>
          <w:sz w:val="24"/>
          <w:szCs w:val="24"/>
        </w:rPr>
        <w:t>route barring pedestrian access</w:t>
      </w:r>
      <w:r w:rsidR="008F1E3D" w:rsidRPr="008C01A6">
        <w:rPr>
          <w:rFonts w:ascii="Times New Roman" w:hAnsi="Times New Roman" w:cs="Times New Roman"/>
          <w:sz w:val="24"/>
          <w:szCs w:val="24"/>
        </w:rPr>
        <w:t>.</w:t>
      </w:r>
      <w:r w:rsidR="00D51E91" w:rsidRPr="008C01A6">
        <w:rPr>
          <w:rFonts w:ascii="Times New Roman" w:hAnsi="Times New Roman" w:cs="Times New Roman"/>
          <w:sz w:val="24"/>
          <w:szCs w:val="24"/>
        </w:rPr>
        <w:t xml:space="preserve">” </w:t>
      </w:r>
      <w:proofErr w:type="gramStart"/>
      <w:r w:rsidR="00E24522" w:rsidRPr="008C01A6">
        <w:rPr>
          <w:rFonts w:ascii="Times New Roman" w:hAnsi="Times New Roman" w:cs="Times New Roman"/>
          <w:i/>
          <w:sz w:val="24"/>
          <w:szCs w:val="24"/>
        </w:rPr>
        <w:t>Id</w:t>
      </w:r>
      <w:r w:rsidR="00F815E8" w:rsidRPr="008C01A6">
        <w:rPr>
          <w:rFonts w:ascii="Times New Roman" w:hAnsi="Times New Roman" w:cs="Times New Roman"/>
          <w:i/>
          <w:sz w:val="24"/>
          <w:szCs w:val="24"/>
        </w:rPr>
        <w:t xml:space="preserve">. </w:t>
      </w:r>
      <w:r w:rsidR="0026715D" w:rsidRPr="008C01A6">
        <w:rPr>
          <w:rFonts w:ascii="Times New Roman" w:hAnsi="Times New Roman" w:cs="Times New Roman"/>
          <w:sz w:val="24"/>
          <w:szCs w:val="24"/>
        </w:rPr>
        <w:t>¶ 11.</w:t>
      </w:r>
      <w:proofErr w:type="gramEnd"/>
      <w:r w:rsidR="0026715D" w:rsidRPr="008C01A6">
        <w:rPr>
          <w:rFonts w:ascii="Times New Roman" w:hAnsi="Times New Roman" w:cs="Times New Roman"/>
          <w:sz w:val="24"/>
          <w:szCs w:val="24"/>
        </w:rPr>
        <w:t xml:space="preserve"> </w:t>
      </w:r>
      <w:r w:rsidR="00614F9E" w:rsidRPr="008C01A6">
        <w:rPr>
          <w:rFonts w:ascii="Times New Roman" w:hAnsi="Times New Roman" w:cs="Times New Roman"/>
          <w:sz w:val="24"/>
          <w:szCs w:val="24"/>
        </w:rPr>
        <w:t>Additionally, a</w:t>
      </w:r>
      <w:r w:rsidR="007442FD" w:rsidRPr="008C01A6">
        <w:rPr>
          <w:rFonts w:ascii="Times New Roman" w:hAnsi="Times New Roman" w:cs="Times New Roman"/>
          <w:sz w:val="24"/>
          <w:szCs w:val="24"/>
        </w:rPr>
        <w:t>fter reviewing information provided by Harris County, the United States con</w:t>
      </w:r>
      <w:r w:rsidR="00AD20BB" w:rsidRPr="008C01A6">
        <w:rPr>
          <w:rFonts w:ascii="Times New Roman" w:hAnsi="Times New Roman" w:cs="Times New Roman"/>
          <w:sz w:val="24"/>
          <w:szCs w:val="24"/>
        </w:rPr>
        <w:t>cluded</w:t>
      </w:r>
      <w:r w:rsidR="007442FD" w:rsidRPr="008C01A6">
        <w:rPr>
          <w:rFonts w:ascii="Times New Roman" w:hAnsi="Times New Roman" w:cs="Times New Roman"/>
          <w:sz w:val="24"/>
          <w:szCs w:val="24"/>
        </w:rPr>
        <w:t xml:space="preserve"> that </w:t>
      </w:r>
      <w:r w:rsidR="00E24522" w:rsidRPr="008C01A6">
        <w:rPr>
          <w:rFonts w:ascii="Times New Roman" w:hAnsi="Times New Roman" w:cs="Times New Roman"/>
          <w:sz w:val="24"/>
          <w:szCs w:val="24"/>
        </w:rPr>
        <w:t>Harris County</w:t>
      </w:r>
      <w:r w:rsidR="007442FD" w:rsidRPr="008C01A6">
        <w:rPr>
          <w:rFonts w:ascii="Times New Roman" w:hAnsi="Times New Roman" w:cs="Times New Roman"/>
          <w:sz w:val="24"/>
          <w:szCs w:val="24"/>
        </w:rPr>
        <w:t xml:space="preserve"> </w:t>
      </w:r>
      <w:r w:rsidR="00747AD3" w:rsidRPr="008C01A6">
        <w:rPr>
          <w:rFonts w:ascii="Times New Roman" w:hAnsi="Times New Roman" w:cs="Times New Roman"/>
          <w:sz w:val="24"/>
          <w:szCs w:val="24"/>
        </w:rPr>
        <w:t>was continuing</w:t>
      </w:r>
      <w:r w:rsidR="00E24522" w:rsidRPr="008C01A6">
        <w:rPr>
          <w:rFonts w:ascii="Times New Roman" w:hAnsi="Times New Roman" w:cs="Times New Roman"/>
          <w:sz w:val="24"/>
          <w:szCs w:val="24"/>
        </w:rPr>
        <w:t xml:space="preserve"> to use some of the inaccessible polling places identified during the 2013 </w:t>
      </w:r>
      <w:r w:rsidR="0026715D" w:rsidRPr="008C01A6">
        <w:rPr>
          <w:rFonts w:ascii="Times New Roman" w:hAnsi="Times New Roman" w:cs="Times New Roman"/>
          <w:sz w:val="24"/>
          <w:szCs w:val="24"/>
        </w:rPr>
        <w:t>survey</w:t>
      </w:r>
      <w:r w:rsidR="00E24522" w:rsidRPr="008C01A6">
        <w:rPr>
          <w:rFonts w:ascii="Times New Roman" w:hAnsi="Times New Roman" w:cs="Times New Roman"/>
          <w:sz w:val="24"/>
          <w:szCs w:val="24"/>
        </w:rPr>
        <w:t xml:space="preserve"> without making the </w:t>
      </w:r>
      <w:r w:rsidR="00A05E4D" w:rsidRPr="008C01A6">
        <w:rPr>
          <w:rFonts w:ascii="Times New Roman" w:hAnsi="Times New Roman" w:cs="Times New Roman"/>
          <w:sz w:val="24"/>
          <w:szCs w:val="24"/>
        </w:rPr>
        <w:t xml:space="preserve">necessary </w:t>
      </w:r>
      <w:r w:rsidR="00E24522" w:rsidRPr="008C01A6">
        <w:rPr>
          <w:rFonts w:ascii="Times New Roman" w:hAnsi="Times New Roman" w:cs="Times New Roman"/>
          <w:sz w:val="24"/>
          <w:szCs w:val="24"/>
        </w:rPr>
        <w:t>modifications</w:t>
      </w:r>
      <w:r w:rsidR="00A05E4D" w:rsidRPr="008C01A6">
        <w:rPr>
          <w:rFonts w:ascii="Times New Roman" w:hAnsi="Times New Roman" w:cs="Times New Roman"/>
          <w:sz w:val="24"/>
          <w:szCs w:val="24"/>
        </w:rPr>
        <w:t xml:space="preserve"> to ensure accessibility</w:t>
      </w:r>
      <w:r w:rsidR="00175172" w:rsidRPr="008C01A6">
        <w:rPr>
          <w:rFonts w:ascii="Times New Roman" w:hAnsi="Times New Roman" w:cs="Times New Roman"/>
          <w:sz w:val="24"/>
          <w:szCs w:val="24"/>
        </w:rPr>
        <w:t xml:space="preserve">. </w:t>
      </w:r>
      <w:r w:rsidR="00AD20BB" w:rsidRPr="008C01A6">
        <w:rPr>
          <w:rFonts w:ascii="Times New Roman" w:hAnsi="Times New Roman" w:cs="Times New Roman"/>
          <w:i/>
          <w:sz w:val="24"/>
          <w:szCs w:val="24"/>
        </w:rPr>
        <w:t>See i</w:t>
      </w:r>
      <w:r w:rsidR="00E24522" w:rsidRPr="008C01A6">
        <w:rPr>
          <w:rFonts w:ascii="Times New Roman" w:hAnsi="Times New Roman" w:cs="Times New Roman"/>
          <w:i/>
          <w:sz w:val="24"/>
          <w:szCs w:val="24"/>
        </w:rPr>
        <w:t xml:space="preserve">d. </w:t>
      </w:r>
      <w:proofErr w:type="gramStart"/>
      <w:r w:rsidR="00E24522" w:rsidRPr="008C01A6">
        <w:rPr>
          <w:rFonts w:ascii="Times New Roman" w:hAnsi="Times New Roman" w:cs="Times New Roman"/>
          <w:sz w:val="24"/>
          <w:szCs w:val="24"/>
        </w:rPr>
        <w:t>¶ </w:t>
      </w:r>
      <w:r w:rsidR="00236C25" w:rsidRPr="008C01A6">
        <w:rPr>
          <w:rFonts w:ascii="Times New Roman" w:hAnsi="Times New Roman" w:cs="Times New Roman"/>
          <w:sz w:val="24"/>
          <w:szCs w:val="24"/>
        </w:rPr>
        <w:t>12</w:t>
      </w:r>
      <w:r w:rsidR="00175172" w:rsidRPr="008C01A6">
        <w:rPr>
          <w:rFonts w:ascii="Times New Roman" w:hAnsi="Times New Roman" w:cs="Times New Roman"/>
          <w:sz w:val="24"/>
          <w:szCs w:val="24"/>
        </w:rPr>
        <w:t>.</w:t>
      </w:r>
      <w:proofErr w:type="gramEnd"/>
      <w:r w:rsidR="00175172" w:rsidRPr="008C01A6">
        <w:rPr>
          <w:rFonts w:ascii="Times New Roman" w:hAnsi="Times New Roman" w:cs="Times New Roman"/>
          <w:sz w:val="24"/>
          <w:szCs w:val="24"/>
        </w:rPr>
        <w:t xml:space="preserve"> </w:t>
      </w:r>
    </w:p>
    <w:p w:rsidR="00B52105" w:rsidRPr="008C01A6" w:rsidRDefault="00614F9E">
      <w:pPr>
        <w:widowControl w:val="0"/>
        <w:spacing w:line="480" w:lineRule="auto"/>
        <w:contextualSpacing/>
        <w:rPr>
          <w:rFonts w:ascii="Times New Roman" w:hAnsi="Times New Roman" w:cs="Times New Roman"/>
          <w:sz w:val="24"/>
          <w:szCs w:val="24"/>
        </w:rPr>
      </w:pPr>
      <w:r w:rsidRPr="008C01A6">
        <w:rPr>
          <w:rFonts w:ascii="Times New Roman" w:hAnsi="Times New Roman" w:cs="Times New Roman"/>
          <w:sz w:val="24"/>
          <w:szCs w:val="24"/>
        </w:rPr>
        <w:tab/>
      </w:r>
      <w:r w:rsidR="00E24522" w:rsidRPr="008C01A6">
        <w:rPr>
          <w:rFonts w:ascii="Times New Roman" w:hAnsi="Times New Roman" w:cs="Times New Roman"/>
          <w:sz w:val="24"/>
          <w:szCs w:val="24"/>
        </w:rPr>
        <w:t xml:space="preserve">Accordingly, </w:t>
      </w:r>
      <w:r w:rsidR="001B4BD3" w:rsidRPr="008C01A6">
        <w:rPr>
          <w:rFonts w:ascii="Times New Roman" w:hAnsi="Times New Roman" w:cs="Times New Roman"/>
          <w:sz w:val="24"/>
          <w:szCs w:val="24"/>
        </w:rPr>
        <w:t>the United States concluded</w:t>
      </w:r>
      <w:r w:rsidR="00E24522" w:rsidRPr="008C01A6">
        <w:rPr>
          <w:rFonts w:ascii="Times New Roman" w:hAnsi="Times New Roman" w:cs="Times New Roman"/>
          <w:sz w:val="24"/>
          <w:szCs w:val="24"/>
        </w:rPr>
        <w:t xml:space="preserve"> that Harris </w:t>
      </w:r>
      <w:r w:rsidRPr="008C01A6">
        <w:rPr>
          <w:rFonts w:ascii="Times New Roman" w:hAnsi="Times New Roman" w:cs="Times New Roman"/>
          <w:sz w:val="24"/>
          <w:szCs w:val="24"/>
        </w:rPr>
        <w:t xml:space="preserve">County </w:t>
      </w:r>
      <w:r w:rsidR="001B4BD3" w:rsidRPr="008C01A6">
        <w:rPr>
          <w:rFonts w:ascii="Times New Roman" w:hAnsi="Times New Roman" w:cs="Times New Roman"/>
          <w:sz w:val="24"/>
          <w:szCs w:val="24"/>
        </w:rPr>
        <w:t>was violating</w:t>
      </w:r>
      <w:r w:rsidRPr="008C01A6">
        <w:rPr>
          <w:rFonts w:ascii="Times New Roman" w:hAnsi="Times New Roman" w:cs="Times New Roman"/>
          <w:sz w:val="24"/>
          <w:szCs w:val="24"/>
        </w:rPr>
        <w:t xml:space="preserve"> the ADA by </w:t>
      </w:r>
      <w:r w:rsidR="00E24522" w:rsidRPr="008C01A6">
        <w:rPr>
          <w:rFonts w:ascii="Times New Roman" w:hAnsi="Times New Roman" w:cs="Times New Roman"/>
          <w:sz w:val="24"/>
          <w:szCs w:val="24"/>
        </w:rPr>
        <w:t>denying voters with disabili</w:t>
      </w:r>
      <w:r w:rsidR="00175172" w:rsidRPr="008C01A6">
        <w:rPr>
          <w:rFonts w:ascii="Times New Roman" w:hAnsi="Times New Roman" w:cs="Times New Roman"/>
          <w:sz w:val="24"/>
          <w:szCs w:val="24"/>
        </w:rPr>
        <w:t xml:space="preserve">ties the same </w:t>
      </w:r>
      <w:r w:rsidR="001F4C15" w:rsidRPr="008C01A6">
        <w:rPr>
          <w:rFonts w:ascii="Times New Roman" w:hAnsi="Times New Roman" w:cs="Times New Roman"/>
          <w:sz w:val="24"/>
          <w:szCs w:val="24"/>
        </w:rPr>
        <w:t>opportunity that voters without disabilities have</w:t>
      </w:r>
      <w:r w:rsidR="00E24522" w:rsidRPr="008C01A6">
        <w:rPr>
          <w:rFonts w:ascii="Times New Roman" w:hAnsi="Times New Roman" w:cs="Times New Roman"/>
          <w:sz w:val="24"/>
          <w:szCs w:val="24"/>
        </w:rPr>
        <w:t xml:space="preserve"> to vote in person</w:t>
      </w:r>
      <w:r w:rsidR="001B4BD3" w:rsidRPr="008C01A6">
        <w:rPr>
          <w:rFonts w:ascii="Times New Roman" w:hAnsi="Times New Roman" w:cs="Times New Roman"/>
          <w:sz w:val="24"/>
          <w:szCs w:val="24"/>
        </w:rPr>
        <w:t xml:space="preserve">, and brought this lawsuit. </w:t>
      </w:r>
      <w:r w:rsidR="001B4BD3" w:rsidRPr="008C01A6">
        <w:rPr>
          <w:rFonts w:ascii="Times New Roman" w:hAnsi="Times New Roman" w:cs="Times New Roman"/>
          <w:i/>
          <w:sz w:val="24"/>
          <w:szCs w:val="24"/>
        </w:rPr>
        <w:t xml:space="preserve">See id. </w:t>
      </w:r>
      <w:proofErr w:type="gramStart"/>
      <w:r w:rsidR="001B4BD3" w:rsidRPr="008C01A6">
        <w:rPr>
          <w:rFonts w:ascii="Times New Roman" w:hAnsi="Times New Roman" w:cs="Times New Roman"/>
          <w:sz w:val="24"/>
          <w:szCs w:val="24"/>
        </w:rPr>
        <w:t>¶ 13.</w:t>
      </w:r>
      <w:proofErr w:type="gramEnd"/>
    </w:p>
    <w:p w:rsidR="00B52105" w:rsidRPr="008C01A6" w:rsidRDefault="00D34AE3">
      <w:pPr>
        <w:pStyle w:val="Heading1"/>
        <w:keepNext w:val="0"/>
        <w:keepLines w:val="0"/>
        <w:widowControl w:val="0"/>
        <w:rPr>
          <w:rFonts w:cs="Times New Roman"/>
          <w:szCs w:val="24"/>
        </w:rPr>
      </w:pPr>
      <w:bookmarkStart w:id="2" w:name="_Toc465681932"/>
      <w:r w:rsidRPr="008C01A6">
        <w:rPr>
          <w:rFonts w:cs="Times New Roman"/>
          <w:szCs w:val="24"/>
        </w:rPr>
        <w:t xml:space="preserve">The </w:t>
      </w:r>
      <w:r w:rsidR="00E04955" w:rsidRPr="008C01A6">
        <w:rPr>
          <w:rFonts w:cs="Times New Roman"/>
          <w:szCs w:val="24"/>
        </w:rPr>
        <w:t xml:space="preserve">Attorney General Has A Right </w:t>
      </w:r>
      <w:proofErr w:type="gramStart"/>
      <w:r w:rsidR="00E04955" w:rsidRPr="008C01A6">
        <w:rPr>
          <w:rFonts w:cs="Times New Roman"/>
          <w:szCs w:val="24"/>
        </w:rPr>
        <w:t>Of</w:t>
      </w:r>
      <w:proofErr w:type="gramEnd"/>
      <w:r w:rsidR="00E04955" w:rsidRPr="008C01A6">
        <w:rPr>
          <w:rFonts w:cs="Times New Roman"/>
          <w:szCs w:val="24"/>
        </w:rPr>
        <w:t xml:space="preserve"> Action To</w:t>
      </w:r>
      <w:r w:rsidRPr="008C01A6">
        <w:rPr>
          <w:rFonts w:cs="Times New Roman"/>
          <w:szCs w:val="24"/>
        </w:rPr>
        <w:t xml:space="preserve"> Enforce Title II</w:t>
      </w:r>
      <w:bookmarkEnd w:id="2"/>
    </w:p>
    <w:p w:rsidR="00B52105" w:rsidRPr="008C01A6" w:rsidRDefault="00B52105">
      <w:pPr>
        <w:widowControl w:val="0"/>
        <w:rPr>
          <w:rFonts w:ascii="Times New Roman" w:hAnsi="Times New Roman" w:cs="Times New Roman"/>
          <w:sz w:val="24"/>
          <w:szCs w:val="24"/>
        </w:rPr>
      </w:pPr>
    </w:p>
    <w:p w:rsidR="00B52105" w:rsidRPr="008C01A6" w:rsidRDefault="00B273A0">
      <w:pPr>
        <w:pStyle w:val="Heading2"/>
        <w:keepNext w:val="0"/>
        <w:keepLines w:val="0"/>
        <w:widowControl w:val="0"/>
        <w:rPr>
          <w:rFonts w:cs="Times New Roman"/>
          <w:szCs w:val="24"/>
        </w:rPr>
      </w:pPr>
      <w:bookmarkStart w:id="3" w:name="_Toc465681933"/>
      <w:r w:rsidRPr="008C01A6">
        <w:rPr>
          <w:rFonts w:cs="Times New Roman"/>
          <w:szCs w:val="24"/>
        </w:rPr>
        <w:t>Overview</w:t>
      </w:r>
      <w:bookmarkEnd w:id="3"/>
      <w:r w:rsidRPr="008C01A6">
        <w:rPr>
          <w:rFonts w:cs="Times New Roman"/>
          <w:szCs w:val="24"/>
        </w:rPr>
        <w:t xml:space="preserve"> </w:t>
      </w:r>
    </w:p>
    <w:p w:rsidR="00B52105" w:rsidRPr="008C01A6" w:rsidRDefault="00B52105">
      <w:pPr>
        <w:pStyle w:val="Default"/>
        <w:ind w:firstLine="720"/>
        <w:contextualSpacing/>
        <w:mirrorIndents/>
        <w:rPr>
          <w:color w:val="auto"/>
        </w:rPr>
      </w:pPr>
    </w:p>
    <w:p w:rsidR="00B52105" w:rsidRPr="008C01A6" w:rsidRDefault="00E87426">
      <w:pPr>
        <w:pStyle w:val="Default"/>
        <w:spacing w:line="480" w:lineRule="auto"/>
        <w:contextualSpacing/>
        <w:mirrorIndents/>
        <w:rPr>
          <w:color w:val="auto"/>
        </w:rPr>
      </w:pPr>
      <w:r w:rsidRPr="008C01A6">
        <w:rPr>
          <w:color w:val="auto"/>
        </w:rPr>
        <w:tab/>
      </w:r>
      <w:r w:rsidR="00C93E4D" w:rsidRPr="008C01A6">
        <w:rPr>
          <w:color w:val="auto"/>
        </w:rPr>
        <w:t xml:space="preserve">Congress enacted the ADA to provide a </w:t>
      </w:r>
      <w:r w:rsidR="00B273A0" w:rsidRPr="008C01A6">
        <w:rPr>
          <w:color w:val="auto"/>
        </w:rPr>
        <w:t>“</w:t>
      </w:r>
      <w:r w:rsidR="00C93E4D" w:rsidRPr="008C01A6">
        <w:rPr>
          <w:color w:val="auto"/>
        </w:rPr>
        <w:t xml:space="preserve">clear and comprehensive national mandate for </w:t>
      </w:r>
      <w:r w:rsidR="00B273A0" w:rsidRPr="008C01A6">
        <w:rPr>
          <w:color w:val="auto"/>
        </w:rPr>
        <w:t xml:space="preserve">the elimination of </w:t>
      </w:r>
      <w:r w:rsidR="00C93E4D" w:rsidRPr="008C01A6">
        <w:rPr>
          <w:color w:val="auto"/>
        </w:rPr>
        <w:t>discrimination against individuals with disabilities</w:t>
      </w:r>
      <w:r w:rsidR="001F4C15" w:rsidRPr="008C01A6">
        <w:rPr>
          <w:color w:val="auto"/>
        </w:rPr>
        <w:t>.</w:t>
      </w:r>
      <w:r w:rsidR="00B273A0" w:rsidRPr="008C01A6">
        <w:rPr>
          <w:color w:val="auto"/>
        </w:rPr>
        <w:t>”</w:t>
      </w:r>
      <w:r w:rsidR="00C93E4D" w:rsidRPr="008C01A6">
        <w:rPr>
          <w:color w:val="auto"/>
        </w:rPr>
        <w:t xml:space="preserve"> 42 U.S.C. § 12101(b</w:t>
      </w:r>
      <w:proofErr w:type="gramStart"/>
      <w:r w:rsidR="00C93E4D" w:rsidRPr="008C01A6">
        <w:rPr>
          <w:color w:val="auto"/>
        </w:rPr>
        <w:t>)(</w:t>
      </w:r>
      <w:proofErr w:type="gramEnd"/>
      <w:r w:rsidR="00C93E4D" w:rsidRPr="008C01A6">
        <w:rPr>
          <w:color w:val="auto"/>
        </w:rPr>
        <w:t>1)</w:t>
      </w:r>
      <w:r w:rsidR="009E3E91" w:rsidRPr="008C01A6">
        <w:rPr>
          <w:color w:val="auto"/>
        </w:rPr>
        <w:t xml:space="preserve">. </w:t>
      </w:r>
      <w:r w:rsidR="00EC1DA4" w:rsidRPr="008C01A6">
        <w:rPr>
          <w:color w:val="auto"/>
        </w:rPr>
        <w:t>Title II</w:t>
      </w:r>
      <w:r w:rsidR="00747AD3" w:rsidRPr="008C01A6">
        <w:rPr>
          <w:color w:val="auto"/>
        </w:rPr>
        <w:t xml:space="preserve"> of the ADA prohibits </w:t>
      </w:r>
      <w:r w:rsidR="008934A1" w:rsidRPr="008C01A6">
        <w:rPr>
          <w:color w:val="auto"/>
        </w:rPr>
        <w:t>p</w:t>
      </w:r>
      <w:r w:rsidRPr="008C01A6">
        <w:rPr>
          <w:color w:val="auto"/>
        </w:rPr>
        <w:t>ublic entities</w:t>
      </w:r>
      <w:r w:rsidR="0026715D" w:rsidRPr="008C01A6">
        <w:rPr>
          <w:color w:val="auto"/>
        </w:rPr>
        <w:t>, such as Harris County,</w:t>
      </w:r>
      <w:r w:rsidR="001F4C15" w:rsidRPr="008C01A6">
        <w:rPr>
          <w:color w:val="auto"/>
        </w:rPr>
        <w:t xml:space="preserve"> </w:t>
      </w:r>
      <w:r w:rsidRPr="008C01A6">
        <w:rPr>
          <w:color w:val="auto"/>
        </w:rPr>
        <w:t>from discriminating on the basis of disability</w:t>
      </w:r>
      <w:r w:rsidR="00F815E8" w:rsidRPr="008C01A6">
        <w:rPr>
          <w:color w:val="auto"/>
        </w:rPr>
        <w:t xml:space="preserve">. </w:t>
      </w:r>
      <w:proofErr w:type="gramStart"/>
      <w:r w:rsidR="008934A1" w:rsidRPr="008C01A6">
        <w:rPr>
          <w:i/>
          <w:color w:val="auto"/>
        </w:rPr>
        <w:t xml:space="preserve">Id. </w:t>
      </w:r>
      <w:r w:rsidR="00887CB0" w:rsidRPr="008C01A6">
        <w:rPr>
          <w:color w:val="auto"/>
        </w:rPr>
        <w:t>§</w:t>
      </w:r>
      <w:r w:rsidR="00D84FDA" w:rsidRPr="008C01A6">
        <w:rPr>
          <w:color w:val="auto"/>
        </w:rPr>
        <w:t> </w:t>
      </w:r>
      <w:r w:rsidR="008934A1" w:rsidRPr="008C01A6">
        <w:rPr>
          <w:color w:val="auto"/>
        </w:rPr>
        <w:t>12132</w:t>
      </w:r>
      <w:r w:rsidR="00F815E8" w:rsidRPr="008C01A6">
        <w:rPr>
          <w:color w:val="auto"/>
        </w:rPr>
        <w:t>.</w:t>
      </w:r>
      <w:proofErr w:type="gramEnd"/>
      <w:r w:rsidR="00F815E8" w:rsidRPr="008C01A6">
        <w:rPr>
          <w:color w:val="auto"/>
        </w:rPr>
        <w:t xml:space="preserve"> </w:t>
      </w:r>
      <w:r w:rsidRPr="008C01A6">
        <w:rPr>
          <w:color w:val="auto"/>
        </w:rPr>
        <w:t xml:space="preserve">Congress </w:t>
      </w:r>
      <w:r w:rsidR="00747AD3" w:rsidRPr="008C01A6">
        <w:rPr>
          <w:color w:val="auto"/>
        </w:rPr>
        <w:t xml:space="preserve">adopted Title II’s enforcement </w:t>
      </w:r>
      <w:r w:rsidR="00EC1DA4" w:rsidRPr="008C01A6">
        <w:rPr>
          <w:color w:val="auto"/>
        </w:rPr>
        <w:t>scheme from a</w:t>
      </w:r>
      <w:r w:rsidR="00300408" w:rsidRPr="008C01A6">
        <w:rPr>
          <w:color w:val="auto"/>
        </w:rPr>
        <w:t xml:space="preserve"> longstanding, well-understood </w:t>
      </w:r>
      <w:r w:rsidR="00EC1DA4" w:rsidRPr="008C01A6">
        <w:rPr>
          <w:color w:val="auto"/>
        </w:rPr>
        <w:t>civil rights framework</w:t>
      </w:r>
      <w:r w:rsidR="00F815E8" w:rsidRPr="008C01A6">
        <w:rPr>
          <w:color w:val="auto"/>
        </w:rPr>
        <w:t xml:space="preserve">. </w:t>
      </w:r>
      <w:r w:rsidR="008934A1" w:rsidRPr="008C01A6">
        <w:rPr>
          <w:color w:val="auto"/>
        </w:rPr>
        <w:t xml:space="preserve">Specifically, </w:t>
      </w:r>
      <w:r w:rsidR="00DA6CA6" w:rsidRPr="008C01A6">
        <w:rPr>
          <w:color w:val="auto"/>
        </w:rPr>
        <w:t xml:space="preserve">Title II </w:t>
      </w:r>
      <w:r w:rsidR="008934A1" w:rsidRPr="008C01A6">
        <w:rPr>
          <w:color w:val="auto"/>
        </w:rPr>
        <w:t>incorporates the enforcement</w:t>
      </w:r>
      <w:r w:rsidR="00B273A0" w:rsidRPr="008C01A6">
        <w:rPr>
          <w:color w:val="auto"/>
        </w:rPr>
        <w:t xml:space="preserve"> framework of the Rehabilitation Act</w:t>
      </w:r>
      <w:r w:rsidR="008934A1" w:rsidRPr="008C01A6">
        <w:rPr>
          <w:color w:val="auto"/>
        </w:rPr>
        <w:t xml:space="preserve"> of 1973</w:t>
      </w:r>
      <w:r w:rsidR="009138A1" w:rsidRPr="008C01A6">
        <w:rPr>
          <w:color w:val="auto"/>
        </w:rPr>
        <w:t xml:space="preserve"> (“Rehabilitation Act”)</w:t>
      </w:r>
      <w:r w:rsidR="00B273A0" w:rsidRPr="008C01A6">
        <w:rPr>
          <w:color w:val="auto"/>
        </w:rPr>
        <w:t>,</w:t>
      </w:r>
      <w:r w:rsidR="008934A1" w:rsidRPr="008C01A6">
        <w:rPr>
          <w:color w:val="auto"/>
        </w:rPr>
        <w:t xml:space="preserve"> which prohibits discrimination </w:t>
      </w:r>
      <w:r w:rsidR="001F4C15" w:rsidRPr="008C01A6">
        <w:rPr>
          <w:color w:val="auto"/>
        </w:rPr>
        <w:t xml:space="preserve">on the basis of disability </w:t>
      </w:r>
      <w:r w:rsidR="008934A1" w:rsidRPr="008C01A6">
        <w:rPr>
          <w:color w:val="auto"/>
        </w:rPr>
        <w:t>by federally funded entities</w:t>
      </w:r>
      <w:r w:rsidR="00F815E8" w:rsidRPr="008C01A6">
        <w:rPr>
          <w:color w:val="auto"/>
        </w:rPr>
        <w:t xml:space="preserve">. </w:t>
      </w:r>
      <w:proofErr w:type="gramStart"/>
      <w:r w:rsidR="008934A1" w:rsidRPr="008C01A6">
        <w:rPr>
          <w:color w:val="auto"/>
        </w:rPr>
        <w:t xml:space="preserve">29 U.S.C. </w:t>
      </w:r>
      <w:r w:rsidR="001F4C15" w:rsidRPr="008C01A6">
        <w:rPr>
          <w:color w:val="auto"/>
        </w:rPr>
        <w:t>§§ </w:t>
      </w:r>
      <w:r w:rsidR="008934A1" w:rsidRPr="008C01A6">
        <w:rPr>
          <w:color w:val="auto"/>
        </w:rPr>
        <w:t>794, 794a</w:t>
      </w:r>
      <w:r w:rsidR="00F815E8" w:rsidRPr="008C01A6">
        <w:rPr>
          <w:color w:val="auto"/>
        </w:rPr>
        <w:t>.</w:t>
      </w:r>
      <w:proofErr w:type="gramEnd"/>
      <w:r w:rsidR="00F815E8" w:rsidRPr="008C01A6">
        <w:rPr>
          <w:color w:val="auto"/>
        </w:rPr>
        <w:t xml:space="preserve"> </w:t>
      </w:r>
      <w:r w:rsidR="008934A1" w:rsidRPr="008C01A6">
        <w:rPr>
          <w:color w:val="auto"/>
        </w:rPr>
        <w:t>The Rehabilitation Act, in turn, incorporates the enforcement framework of Title VI of the Civil Rights Act of 1964</w:t>
      </w:r>
      <w:r w:rsidR="009138A1" w:rsidRPr="008C01A6">
        <w:rPr>
          <w:color w:val="auto"/>
        </w:rPr>
        <w:t xml:space="preserve"> (“Title VI”)</w:t>
      </w:r>
      <w:r w:rsidR="008934A1" w:rsidRPr="008C01A6">
        <w:rPr>
          <w:color w:val="auto"/>
        </w:rPr>
        <w:t xml:space="preserve">, which prohibits discrimination on the bases of race, color, or national origin by federally funded entities. </w:t>
      </w:r>
      <w:proofErr w:type="gramStart"/>
      <w:r w:rsidR="008934A1" w:rsidRPr="008C01A6">
        <w:rPr>
          <w:color w:val="auto"/>
        </w:rPr>
        <w:t>42 U.S.C.</w:t>
      </w:r>
      <w:r w:rsidR="001F4C15" w:rsidRPr="008C01A6">
        <w:rPr>
          <w:color w:val="auto"/>
        </w:rPr>
        <w:t xml:space="preserve"> §§ </w:t>
      </w:r>
      <w:r w:rsidR="008934A1" w:rsidRPr="008C01A6">
        <w:rPr>
          <w:color w:val="auto"/>
        </w:rPr>
        <w:t>2000d, 2000d-1.</w:t>
      </w:r>
      <w:proofErr w:type="gramEnd"/>
      <w:r w:rsidR="008D0909" w:rsidRPr="008C01A6">
        <w:rPr>
          <w:color w:val="auto"/>
        </w:rPr>
        <w:t xml:space="preserve"> </w:t>
      </w:r>
    </w:p>
    <w:p w:rsidR="00B52105" w:rsidRPr="008C01A6" w:rsidRDefault="00496200">
      <w:pPr>
        <w:widowControl w:val="0"/>
        <w:spacing w:line="480" w:lineRule="auto"/>
        <w:contextualSpacing/>
        <w:rPr>
          <w:rFonts w:ascii="Times New Roman" w:hAnsi="Times New Roman" w:cs="Times New Roman"/>
          <w:sz w:val="24"/>
          <w:szCs w:val="24"/>
        </w:rPr>
      </w:pPr>
      <w:r w:rsidRPr="008C01A6">
        <w:rPr>
          <w:rFonts w:ascii="Times New Roman" w:hAnsi="Times New Roman" w:cs="Times New Roman"/>
          <w:sz w:val="24"/>
          <w:szCs w:val="24"/>
        </w:rPr>
        <w:tab/>
      </w:r>
      <w:r w:rsidR="00DA6CA6" w:rsidRPr="008C01A6">
        <w:rPr>
          <w:rFonts w:ascii="Times New Roman" w:hAnsi="Times New Roman" w:cs="Times New Roman"/>
          <w:sz w:val="24"/>
          <w:szCs w:val="24"/>
        </w:rPr>
        <w:t>Congress understood when it</w:t>
      </w:r>
      <w:r w:rsidR="00C462A9" w:rsidRPr="008C01A6">
        <w:rPr>
          <w:rFonts w:ascii="Times New Roman" w:hAnsi="Times New Roman" w:cs="Times New Roman"/>
          <w:sz w:val="24"/>
          <w:szCs w:val="24"/>
        </w:rPr>
        <w:t xml:space="preserve"> enacted Title II</w:t>
      </w:r>
      <w:r w:rsidR="00DA6CA6" w:rsidRPr="008C01A6">
        <w:rPr>
          <w:rFonts w:ascii="Times New Roman" w:hAnsi="Times New Roman" w:cs="Times New Roman"/>
          <w:sz w:val="24"/>
          <w:szCs w:val="24"/>
        </w:rPr>
        <w:t xml:space="preserve"> in 1990</w:t>
      </w:r>
      <w:r w:rsidR="00C462A9" w:rsidRPr="008C01A6">
        <w:rPr>
          <w:rFonts w:ascii="Times New Roman" w:hAnsi="Times New Roman" w:cs="Times New Roman"/>
          <w:sz w:val="24"/>
          <w:szCs w:val="24"/>
        </w:rPr>
        <w:t xml:space="preserve"> that</w:t>
      </w:r>
      <w:r w:rsidR="00747AD3" w:rsidRPr="008C01A6">
        <w:rPr>
          <w:rFonts w:ascii="Times New Roman" w:hAnsi="Times New Roman" w:cs="Times New Roman"/>
          <w:sz w:val="24"/>
          <w:szCs w:val="24"/>
        </w:rPr>
        <w:t xml:space="preserve"> </w:t>
      </w:r>
      <w:r w:rsidR="00C462A9" w:rsidRPr="008C01A6">
        <w:rPr>
          <w:rFonts w:ascii="Times New Roman" w:hAnsi="Times New Roman" w:cs="Times New Roman"/>
          <w:sz w:val="24"/>
          <w:szCs w:val="24"/>
        </w:rPr>
        <w:t>these statutes gave</w:t>
      </w:r>
      <w:r w:rsidR="00DA6CA6" w:rsidRPr="008C01A6">
        <w:rPr>
          <w:rFonts w:ascii="Times New Roman" w:hAnsi="Times New Roman" w:cs="Times New Roman"/>
          <w:sz w:val="24"/>
          <w:szCs w:val="24"/>
        </w:rPr>
        <w:t xml:space="preserve"> the Attorney General</w:t>
      </w:r>
      <w:r w:rsidR="008934A1" w:rsidRPr="008C01A6">
        <w:rPr>
          <w:rFonts w:ascii="Times New Roman" w:hAnsi="Times New Roman" w:cs="Times New Roman"/>
          <w:sz w:val="24"/>
          <w:szCs w:val="24"/>
        </w:rPr>
        <w:t xml:space="preserve"> a right of action</w:t>
      </w:r>
      <w:r w:rsidR="00DA6CA6" w:rsidRPr="008C01A6">
        <w:rPr>
          <w:rFonts w:ascii="Times New Roman" w:hAnsi="Times New Roman" w:cs="Times New Roman"/>
          <w:sz w:val="24"/>
          <w:szCs w:val="24"/>
        </w:rPr>
        <w:t xml:space="preserve"> to</w:t>
      </w:r>
      <w:r w:rsidR="00C462A9" w:rsidRPr="008C01A6">
        <w:rPr>
          <w:rFonts w:ascii="Times New Roman" w:hAnsi="Times New Roman" w:cs="Times New Roman"/>
          <w:sz w:val="24"/>
          <w:szCs w:val="24"/>
        </w:rPr>
        <w:t xml:space="preserve"> file enforcement suits in federal court</w:t>
      </w:r>
      <w:r w:rsidR="00F815E8" w:rsidRPr="008C01A6">
        <w:rPr>
          <w:rFonts w:ascii="Times New Roman" w:hAnsi="Times New Roman" w:cs="Times New Roman"/>
          <w:sz w:val="24"/>
          <w:szCs w:val="24"/>
        </w:rPr>
        <w:t xml:space="preserve">. </w:t>
      </w:r>
      <w:r w:rsidR="00C462A9" w:rsidRPr="008C01A6">
        <w:rPr>
          <w:rFonts w:ascii="Times New Roman" w:hAnsi="Times New Roman" w:cs="Times New Roman"/>
          <w:sz w:val="24"/>
          <w:szCs w:val="24"/>
        </w:rPr>
        <w:t>Title VI</w:t>
      </w:r>
      <w:r w:rsidR="008934A1" w:rsidRPr="008C01A6">
        <w:rPr>
          <w:rFonts w:ascii="Times New Roman" w:hAnsi="Times New Roman" w:cs="Times New Roman"/>
          <w:sz w:val="24"/>
          <w:szCs w:val="24"/>
        </w:rPr>
        <w:t xml:space="preserve"> provides </w:t>
      </w:r>
      <w:r w:rsidR="00C462A9" w:rsidRPr="008C01A6">
        <w:rPr>
          <w:rFonts w:ascii="Times New Roman" w:hAnsi="Times New Roman" w:cs="Times New Roman"/>
          <w:sz w:val="24"/>
          <w:szCs w:val="24"/>
        </w:rPr>
        <w:t xml:space="preserve">that compliance can be achieved </w:t>
      </w:r>
      <w:r w:rsidRPr="008C01A6">
        <w:rPr>
          <w:rFonts w:ascii="Times New Roman" w:hAnsi="Times New Roman" w:cs="Times New Roman"/>
          <w:sz w:val="24"/>
          <w:szCs w:val="24"/>
        </w:rPr>
        <w:t>either by</w:t>
      </w:r>
      <w:r w:rsidR="00C462A9" w:rsidRPr="008C01A6">
        <w:rPr>
          <w:rFonts w:ascii="Times New Roman" w:hAnsi="Times New Roman" w:cs="Times New Roman"/>
          <w:sz w:val="24"/>
          <w:szCs w:val="24"/>
        </w:rPr>
        <w:t xml:space="preserve"> administrative termination of federal funding or </w:t>
      </w:r>
      <w:r w:rsidR="00DA6CA6" w:rsidRPr="008C01A6">
        <w:rPr>
          <w:rFonts w:ascii="Times New Roman" w:hAnsi="Times New Roman" w:cs="Times New Roman"/>
          <w:sz w:val="24"/>
          <w:szCs w:val="24"/>
        </w:rPr>
        <w:t>by</w:t>
      </w:r>
      <w:r w:rsidR="008934A1" w:rsidRPr="008C01A6">
        <w:rPr>
          <w:rFonts w:ascii="Times New Roman" w:hAnsi="Times New Roman" w:cs="Times New Roman"/>
          <w:i/>
          <w:sz w:val="24"/>
          <w:szCs w:val="24"/>
        </w:rPr>
        <w:t xml:space="preserve"> </w:t>
      </w:r>
      <w:r w:rsidR="008934A1" w:rsidRPr="008C01A6">
        <w:rPr>
          <w:rFonts w:ascii="Times New Roman" w:hAnsi="Times New Roman" w:cs="Times New Roman"/>
          <w:sz w:val="24"/>
          <w:szCs w:val="24"/>
        </w:rPr>
        <w:t>“</w:t>
      </w:r>
      <w:r w:rsidR="00C462A9" w:rsidRPr="008C01A6">
        <w:rPr>
          <w:rFonts w:ascii="Times New Roman" w:hAnsi="Times New Roman" w:cs="Times New Roman"/>
          <w:i/>
          <w:sz w:val="24"/>
          <w:szCs w:val="24"/>
        </w:rPr>
        <w:t>any other means authorized by law.</w:t>
      </w:r>
      <w:r w:rsidR="008934A1" w:rsidRPr="008C01A6">
        <w:rPr>
          <w:rFonts w:ascii="Times New Roman" w:hAnsi="Times New Roman" w:cs="Times New Roman"/>
          <w:sz w:val="24"/>
          <w:szCs w:val="24"/>
        </w:rPr>
        <w:t>”</w:t>
      </w:r>
      <w:r w:rsidR="00C462A9" w:rsidRPr="008C01A6">
        <w:rPr>
          <w:rFonts w:ascii="Times New Roman" w:hAnsi="Times New Roman" w:cs="Times New Roman"/>
          <w:sz w:val="24"/>
          <w:szCs w:val="24"/>
        </w:rPr>
        <w:t xml:space="preserve"> </w:t>
      </w:r>
      <w:proofErr w:type="gramStart"/>
      <w:r w:rsidR="008934A1" w:rsidRPr="008C01A6">
        <w:rPr>
          <w:rFonts w:ascii="Times New Roman" w:hAnsi="Times New Roman" w:cs="Times New Roman"/>
          <w:sz w:val="24"/>
          <w:szCs w:val="24"/>
        </w:rPr>
        <w:t xml:space="preserve">42 U.S.C. </w:t>
      </w:r>
      <w:r w:rsidR="00D84FDA" w:rsidRPr="008C01A6">
        <w:rPr>
          <w:rFonts w:ascii="Times New Roman" w:hAnsi="Times New Roman" w:cs="Times New Roman"/>
          <w:sz w:val="24"/>
          <w:szCs w:val="24"/>
        </w:rPr>
        <w:t>§</w:t>
      </w:r>
      <w:r w:rsidR="001F4C15" w:rsidRPr="008C01A6">
        <w:rPr>
          <w:rFonts w:ascii="Times New Roman" w:hAnsi="Times New Roman" w:cs="Times New Roman"/>
          <w:sz w:val="24"/>
          <w:szCs w:val="24"/>
        </w:rPr>
        <w:t> </w:t>
      </w:r>
      <w:r w:rsidR="008934A1" w:rsidRPr="008C01A6">
        <w:rPr>
          <w:rFonts w:ascii="Times New Roman" w:hAnsi="Times New Roman" w:cs="Times New Roman"/>
          <w:sz w:val="24"/>
          <w:szCs w:val="24"/>
        </w:rPr>
        <w:t>2000d-1</w:t>
      </w:r>
      <w:r w:rsidR="00F815E8" w:rsidRPr="008C01A6">
        <w:rPr>
          <w:rFonts w:ascii="Times New Roman" w:hAnsi="Times New Roman" w:cs="Times New Roman"/>
          <w:sz w:val="24"/>
          <w:szCs w:val="24"/>
        </w:rPr>
        <w:t>.</w:t>
      </w:r>
      <w:proofErr w:type="gramEnd"/>
      <w:r w:rsidR="00F815E8" w:rsidRPr="008C01A6">
        <w:rPr>
          <w:rFonts w:ascii="Times New Roman" w:hAnsi="Times New Roman" w:cs="Times New Roman"/>
          <w:sz w:val="24"/>
          <w:szCs w:val="24"/>
        </w:rPr>
        <w:t xml:space="preserve"> </w:t>
      </w:r>
      <w:r w:rsidR="00C462A9" w:rsidRPr="008C01A6">
        <w:rPr>
          <w:rFonts w:ascii="Times New Roman" w:hAnsi="Times New Roman" w:cs="Times New Roman"/>
          <w:sz w:val="24"/>
          <w:szCs w:val="24"/>
        </w:rPr>
        <w:t xml:space="preserve">For more than 50 years, </w:t>
      </w:r>
      <w:r w:rsidR="001F4C15" w:rsidRPr="008C01A6">
        <w:rPr>
          <w:rFonts w:ascii="Times New Roman" w:hAnsi="Times New Roman" w:cs="Times New Roman"/>
          <w:sz w:val="24"/>
          <w:szCs w:val="24"/>
        </w:rPr>
        <w:t xml:space="preserve">the </w:t>
      </w:r>
      <w:r w:rsidR="00C462A9" w:rsidRPr="008C01A6">
        <w:rPr>
          <w:rFonts w:ascii="Times New Roman" w:hAnsi="Times New Roman" w:cs="Times New Roman"/>
          <w:sz w:val="24"/>
          <w:szCs w:val="24"/>
        </w:rPr>
        <w:t>regulations implementing Title VI</w:t>
      </w:r>
      <w:r w:rsidR="001F4C15" w:rsidRPr="008C01A6">
        <w:rPr>
          <w:rFonts w:ascii="Times New Roman" w:hAnsi="Times New Roman" w:cs="Times New Roman"/>
          <w:sz w:val="24"/>
          <w:szCs w:val="24"/>
        </w:rPr>
        <w:t xml:space="preserve"> have</w:t>
      </w:r>
      <w:r w:rsidR="00C462A9" w:rsidRPr="008C01A6">
        <w:rPr>
          <w:rFonts w:ascii="Times New Roman" w:hAnsi="Times New Roman" w:cs="Times New Roman"/>
          <w:sz w:val="24"/>
          <w:szCs w:val="24"/>
        </w:rPr>
        <w:t xml:space="preserve"> </w:t>
      </w:r>
      <w:r w:rsidR="00140FCD" w:rsidRPr="008C01A6">
        <w:rPr>
          <w:rFonts w:ascii="Times New Roman" w:hAnsi="Times New Roman" w:cs="Times New Roman"/>
          <w:sz w:val="24"/>
          <w:szCs w:val="24"/>
        </w:rPr>
        <w:t>interpreted</w:t>
      </w:r>
      <w:r w:rsidR="00C462A9" w:rsidRPr="008C01A6">
        <w:rPr>
          <w:rFonts w:ascii="Times New Roman" w:hAnsi="Times New Roman" w:cs="Times New Roman"/>
          <w:sz w:val="24"/>
          <w:szCs w:val="24"/>
        </w:rPr>
        <w:t xml:space="preserve"> the </w:t>
      </w:r>
      <w:r w:rsidRPr="008C01A6">
        <w:rPr>
          <w:rFonts w:ascii="Times New Roman" w:hAnsi="Times New Roman" w:cs="Times New Roman"/>
          <w:sz w:val="24"/>
          <w:szCs w:val="24"/>
        </w:rPr>
        <w:t xml:space="preserve">phrase </w:t>
      </w:r>
      <w:r w:rsidR="00C462A9" w:rsidRPr="008C01A6">
        <w:rPr>
          <w:rFonts w:ascii="Times New Roman" w:hAnsi="Times New Roman" w:cs="Times New Roman"/>
          <w:sz w:val="24"/>
          <w:szCs w:val="24"/>
        </w:rPr>
        <w:t>“</w:t>
      </w:r>
      <w:r w:rsidR="00887CB0" w:rsidRPr="008C01A6">
        <w:rPr>
          <w:rFonts w:ascii="Times New Roman" w:hAnsi="Times New Roman" w:cs="Times New Roman"/>
          <w:sz w:val="24"/>
          <w:szCs w:val="24"/>
        </w:rPr>
        <w:t xml:space="preserve">by </w:t>
      </w:r>
      <w:r w:rsidR="00C462A9" w:rsidRPr="008C01A6">
        <w:rPr>
          <w:rFonts w:ascii="Times New Roman" w:hAnsi="Times New Roman" w:cs="Times New Roman"/>
          <w:sz w:val="24"/>
          <w:szCs w:val="24"/>
        </w:rPr>
        <w:t>any other m</w:t>
      </w:r>
      <w:r w:rsidRPr="008C01A6">
        <w:rPr>
          <w:rFonts w:ascii="Times New Roman" w:hAnsi="Times New Roman" w:cs="Times New Roman"/>
          <w:sz w:val="24"/>
          <w:szCs w:val="24"/>
        </w:rPr>
        <w:t>e</w:t>
      </w:r>
      <w:r w:rsidR="00C462A9" w:rsidRPr="008C01A6">
        <w:rPr>
          <w:rFonts w:ascii="Times New Roman" w:hAnsi="Times New Roman" w:cs="Times New Roman"/>
          <w:sz w:val="24"/>
          <w:szCs w:val="24"/>
        </w:rPr>
        <w:t xml:space="preserve">ans authorized by law” </w:t>
      </w:r>
      <w:r w:rsidR="00140FCD" w:rsidRPr="008C01A6">
        <w:rPr>
          <w:rFonts w:ascii="Times New Roman" w:hAnsi="Times New Roman" w:cs="Times New Roman"/>
          <w:sz w:val="24"/>
          <w:szCs w:val="24"/>
        </w:rPr>
        <w:t>to mean</w:t>
      </w:r>
      <w:r w:rsidR="00C462A9" w:rsidRPr="008C01A6">
        <w:rPr>
          <w:rFonts w:ascii="Times New Roman" w:hAnsi="Times New Roman" w:cs="Times New Roman"/>
          <w:sz w:val="24"/>
          <w:szCs w:val="24"/>
        </w:rPr>
        <w:t xml:space="preserve"> enforcement </w:t>
      </w:r>
      <w:r w:rsidRPr="008C01A6">
        <w:rPr>
          <w:rFonts w:ascii="Times New Roman" w:hAnsi="Times New Roman" w:cs="Times New Roman"/>
          <w:sz w:val="24"/>
          <w:szCs w:val="24"/>
        </w:rPr>
        <w:t>suits by the Attorney General</w:t>
      </w:r>
      <w:r w:rsidR="00D416A2" w:rsidRPr="008C01A6">
        <w:rPr>
          <w:rFonts w:ascii="Times New Roman" w:hAnsi="Times New Roman" w:cs="Times New Roman"/>
          <w:sz w:val="24"/>
          <w:szCs w:val="24"/>
        </w:rPr>
        <w:t>.</w:t>
      </w:r>
      <w:r w:rsidR="00C462A9" w:rsidRPr="008C01A6">
        <w:rPr>
          <w:rFonts w:ascii="Times New Roman" w:hAnsi="Times New Roman" w:cs="Times New Roman"/>
          <w:sz w:val="24"/>
          <w:szCs w:val="24"/>
        </w:rPr>
        <w:t xml:space="preserve"> </w:t>
      </w:r>
      <w:r w:rsidR="008934A1" w:rsidRPr="008C01A6">
        <w:rPr>
          <w:rFonts w:ascii="Times New Roman" w:hAnsi="Times New Roman" w:cs="Times New Roman"/>
          <w:i/>
          <w:sz w:val="24"/>
          <w:szCs w:val="24"/>
        </w:rPr>
        <w:t>See infra</w:t>
      </w:r>
      <w:r w:rsidR="008934A1" w:rsidRPr="008C01A6">
        <w:rPr>
          <w:rFonts w:ascii="Times New Roman" w:hAnsi="Times New Roman" w:cs="Times New Roman"/>
          <w:sz w:val="24"/>
          <w:szCs w:val="24"/>
        </w:rPr>
        <w:t xml:space="preserve"> at </w:t>
      </w:r>
      <w:r w:rsidR="004022F3" w:rsidRPr="008C01A6">
        <w:rPr>
          <w:rFonts w:ascii="Times New Roman" w:hAnsi="Times New Roman" w:cs="Times New Roman"/>
          <w:sz w:val="24"/>
          <w:szCs w:val="24"/>
        </w:rPr>
        <w:t>7-8</w:t>
      </w:r>
      <w:r w:rsidR="008934A1" w:rsidRPr="008C01A6">
        <w:rPr>
          <w:rFonts w:ascii="Times New Roman" w:hAnsi="Times New Roman" w:cs="Times New Roman"/>
          <w:sz w:val="24"/>
          <w:szCs w:val="24"/>
        </w:rPr>
        <w:t xml:space="preserve">. </w:t>
      </w:r>
      <w:r w:rsidR="00C462A9" w:rsidRPr="008C01A6">
        <w:rPr>
          <w:rFonts w:ascii="Times New Roman" w:hAnsi="Times New Roman" w:cs="Times New Roman"/>
          <w:sz w:val="24"/>
          <w:szCs w:val="24"/>
        </w:rPr>
        <w:t>Courts</w:t>
      </w:r>
      <w:r w:rsidR="008934A1" w:rsidRPr="008C01A6">
        <w:rPr>
          <w:rFonts w:ascii="Times New Roman" w:hAnsi="Times New Roman" w:cs="Times New Roman"/>
          <w:sz w:val="24"/>
          <w:szCs w:val="24"/>
        </w:rPr>
        <w:t xml:space="preserve"> universally </w:t>
      </w:r>
      <w:r w:rsidR="00C462A9" w:rsidRPr="008C01A6">
        <w:rPr>
          <w:rFonts w:ascii="Times New Roman" w:hAnsi="Times New Roman" w:cs="Times New Roman"/>
          <w:sz w:val="24"/>
          <w:szCs w:val="24"/>
        </w:rPr>
        <w:t>accepted this interpretation in cases filed under Title VI and</w:t>
      </w:r>
      <w:r w:rsidR="00031CC5" w:rsidRPr="008C01A6">
        <w:rPr>
          <w:rFonts w:ascii="Times New Roman" w:hAnsi="Times New Roman" w:cs="Times New Roman"/>
          <w:sz w:val="24"/>
          <w:szCs w:val="24"/>
        </w:rPr>
        <w:t xml:space="preserve"> statutes modeled on it</w:t>
      </w:r>
      <w:r w:rsidR="00D416A2" w:rsidRPr="008C01A6">
        <w:rPr>
          <w:rFonts w:ascii="Times New Roman" w:hAnsi="Times New Roman" w:cs="Times New Roman"/>
          <w:sz w:val="24"/>
          <w:szCs w:val="24"/>
        </w:rPr>
        <w:t xml:space="preserve">. </w:t>
      </w:r>
      <w:r w:rsidR="008934A1" w:rsidRPr="008C01A6">
        <w:rPr>
          <w:rFonts w:ascii="Times New Roman" w:hAnsi="Times New Roman" w:cs="Times New Roman"/>
          <w:i/>
          <w:sz w:val="24"/>
          <w:szCs w:val="24"/>
        </w:rPr>
        <w:t xml:space="preserve">Id. </w:t>
      </w:r>
      <w:r w:rsidR="008934A1" w:rsidRPr="008C01A6">
        <w:rPr>
          <w:rFonts w:ascii="Times New Roman" w:hAnsi="Times New Roman" w:cs="Times New Roman"/>
          <w:sz w:val="24"/>
          <w:szCs w:val="24"/>
        </w:rPr>
        <w:t xml:space="preserve">at </w:t>
      </w:r>
      <w:r w:rsidR="004022F3" w:rsidRPr="008C01A6">
        <w:rPr>
          <w:rFonts w:ascii="Times New Roman" w:hAnsi="Times New Roman" w:cs="Times New Roman"/>
          <w:sz w:val="24"/>
          <w:szCs w:val="24"/>
        </w:rPr>
        <w:t>6-7</w:t>
      </w:r>
      <w:r w:rsidR="00F815E8" w:rsidRPr="008C01A6">
        <w:rPr>
          <w:rFonts w:ascii="Times New Roman" w:hAnsi="Times New Roman" w:cs="Times New Roman"/>
          <w:sz w:val="24"/>
          <w:szCs w:val="24"/>
        </w:rPr>
        <w:t xml:space="preserve">. </w:t>
      </w:r>
      <w:r w:rsidR="00D416A2" w:rsidRPr="008C01A6">
        <w:rPr>
          <w:rFonts w:ascii="Times New Roman" w:hAnsi="Times New Roman" w:cs="Times New Roman"/>
          <w:sz w:val="24"/>
          <w:szCs w:val="24"/>
        </w:rPr>
        <w:t xml:space="preserve">When Congress </w:t>
      </w:r>
      <w:r w:rsidR="008A7B08" w:rsidRPr="008C01A6">
        <w:rPr>
          <w:rFonts w:ascii="Times New Roman" w:hAnsi="Times New Roman" w:cs="Times New Roman"/>
          <w:sz w:val="24"/>
          <w:szCs w:val="24"/>
        </w:rPr>
        <w:t xml:space="preserve">amended </w:t>
      </w:r>
      <w:r w:rsidR="00D416A2" w:rsidRPr="008C01A6">
        <w:rPr>
          <w:rFonts w:ascii="Times New Roman" w:hAnsi="Times New Roman" w:cs="Times New Roman"/>
          <w:sz w:val="24"/>
          <w:szCs w:val="24"/>
        </w:rPr>
        <w:t>the Rehabilitation</w:t>
      </w:r>
      <w:r w:rsidR="00747AD3" w:rsidRPr="008C01A6">
        <w:rPr>
          <w:rFonts w:ascii="Times New Roman" w:hAnsi="Times New Roman" w:cs="Times New Roman"/>
          <w:sz w:val="24"/>
          <w:szCs w:val="24"/>
        </w:rPr>
        <w:t xml:space="preserve"> Act</w:t>
      </w:r>
      <w:r w:rsidR="008A7B08" w:rsidRPr="008C01A6">
        <w:rPr>
          <w:rFonts w:ascii="Times New Roman" w:hAnsi="Times New Roman" w:cs="Times New Roman"/>
          <w:sz w:val="24"/>
          <w:szCs w:val="24"/>
        </w:rPr>
        <w:t xml:space="preserve"> to include an enforcement provision</w:t>
      </w:r>
      <w:r w:rsidR="008E11C0" w:rsidRPr="008C01A6">
        <w:rPr>
          <w:rFonts w:ascii="Times New Roman" w:hAnsi="Times New Roman" w:cs="Times New Roman"/>
          <w:sz w:val="24"/>
          <w:szCs w:val="24"/>
        </w:rPr>
        <w:t xml:space="preserve">, </w:t>
      </w:r>
      <w:r w:rsidR="00D416A2" w:rsidRPr="008C01A6">
        <w:rPr>
          <w:rFonts w:ascii="Times New Roman" w:hAnsi="Times New Roman" w:cs="Times New Roman"/>
          <w:sz w:val="24"/>
          <w:szCs w:val="24"/>
        </w:rPr>
        <w:t>it</w:t>
      </w:r>
      <w:r w:rsidR="0026715D" w:rsidRPr="008C01A6">
        <w:rPr>
          <w:rFonts w:ascii="Times New Roman" w:hAnsi="Times New Roman" w:cs="Times New Roman"/>
          <w:sz w:val="24"/>
          <w:szCs w:val="24"/>
        </w:rPr>
        <w:t xml:space="preserve"> specifically</w:t>
      </w:r>
      <w:r w:rsidR="00D416A2" w:rsidRPr="008C01A6">
        <w:rPr>
          <w:rFonts w:ascii="Times New Roman" w:hAnsi="Times New Roman" w:cs="Times New Roman"/>
          <w:sz w:val="24"/>
          <w:szCs w:val="24"/>
        </w:rPr>
        <w:t xml:space="preserve"> </w:t>
      </w:r>
      <w:r w:rsidR="008A7B08" w:rsidRPr="008C01A6">
        <w:rPr>
          <w:rFonts w:ascii="Times New Roman" w:hAnsi="Times New Roman" w:cs="Times New Roman"/>
          <w:sz w:val="24"/>
          <w:szCs w:val="24"/>
        </w:rPr>
        <w:t xml:space="preserve">intended to codify Rehabilitation Act regulations that incorporated </w:t>
      </w:r>
      <w:r w:rsidR="008E11C0" w:rsidRPr="008C01A6">
        <w:rPr>
          <w:rFonts w:ascii="Times New Roman" w:hAnsi="Times New Roman" w:cs="Times New Roman"/>
          <w:sz w:val="24"/>
          <w:szCs w:val="24"/>
        </w:rPr>
        <w:t xml:space="preserve">Title VI </w:t>
      </w:r>
      <w:r w:rsidR="00D416A2" w:rsidRPr="008C01A6">
        <w:rPr>
          <w:rFonts w:ascii="Times New Roman" w:hAnsi="Times New Roman" w:cs="Times New Roman"/>
          <w:sz w:val="24"/>
          <w:szCs w:val="24"/>
        </w:rPr>
        <w:t xml:space="preserve">regulations </w:t>
      </w:r>
      <w:r w:rsidR="008A7B08" w:rsidRPr="008C01A6">
        <w:rPr>
          <w:rFonts w:ascii="Times New Roman" w:hAnsi="Times New Roman" w:cs="Times New Roman"/>
          <w:sz w:val="24"/>
          <w:szCs w:val="24"/>
        </w:rPr>
        <w:t>giving</w:t>
      </w:r>
      <w:r w:rsidR="001F4C15" w:rsidRPr="008C01A6">
        <w:rPr>
          <w:rFonts w:ascii="Times New Roman" w:hAnsi="Times New Roman" w:cs="Times New Roman"/>
          <w:sz w:val="24"/>
          <w:szCs w:val="24"/>
        </w:rPr>
        <w:t xml:space="preserve"> the Attorney General a right of action</w:t>
      </w:r>
      <w:r w:rsidR="00F815E8" w:rsidRPr="008C01A6">
        <w:rPr>
          <w:rFonts w:ascii="Times New Roman" w:hAnsi="Times New Roman" w:cs="Times New Roman"/>
          <w:sz w:val="24"/>
          <w:szCs w:val="24"/>
        </w:rPr>
        <w:t xml:space="preserve">. </w:t>
      </w:r>
      <w:r w:rsidR="008934A1" w:rsidRPr="008C01A6">
        <w:rPr>
          <w:rFonts w:ascii="Times New Roman" w:hAnsi="Times New Roman" w:cs="Times New Roman"/>
          <w:i/>
          <w:sz w:val="24"/>
          <w:szCs w:val="24"/>
        </w:rPr>
        <w:t xml:space="preserve">Id. </w:t>
      </w:r>
      <w:r w:rsidR="008934A1" w:rsidRPr="008C01A6">
        <w:rPr>
          <w:rFonts w:ascii="Times New Roman" w:hAnsi="Times New Roman" w:cs="Times New Roman"/>
          <w:sz w:val="24"/>
          <w:szCs w:val="24"/>
        </w:rPr>
        <w:t xml:space="preserve">at </w:t>
      </w:r>
      <w:r w:rsidR="004022F3" w:rsidRPr="008C01A6">
        <w:rPr>
          <w:rFonts w:ascii="Times New Roman" w:hAnsi="Times New Roman" w:cs="Times New Roman"/>
          <w:sz w:val="24"/>
          <w:szCs w:val="24"/>
        </w:rPr>
        <w:t>10-11.</w:t>
      </w:r>
    </w:p>
    <w:p w:rsidR="00B52105" w:rsidRPr="008C01A6" w:rsidRDefault="008E11C0">
      <w:pPr>
        <w:widowControl w:val="0"/>
        <w:spacing w:line="480" w:lineRule="auto"/>
        <w:contextualSpacing/>
        <w:rPr>
          <w:rFonts w:ascii="Times New Roman" w:hAnsi="Times New Roman" w:cs="Times New Roman"/>
          <w:sz w:val="24"/>
          <w:szCs w:val="24"/>
        </w:rPr>
      </w:pPr>
      <w:r w:rsidRPr="008C01A6">
        <w:rPr>
          <w:rFonts w:ascii="Times New Roman" w:hAnsi="Times New Roman" w:cs="Times New Roman"/>
          <w:sz w:val="24"/>
          <w:szCs w:val="24"/>
        </w:rPr>
        <w:tab/>
      </w:r>
      <w:r w:rsidR="00496200" w:rsidRPr="008C01A6">
        <w:rPr>
          <w:rFonts w:ascii="Times New Roman" w:hAnsi="Times New Roman" w:cs="Times New Roman"/>
          <w:sz w:val="24"/>
          <w:szCs w:val="24"/>
        </w:rPr>
        <w:t xml:space="preserve">Congress </w:t>
      </w:r>
      <w:r w:rsidR="00887CB0" w:rsidRPr="008C01A6">
        <w:rPr>
          <w:rFonts w:ascii="Times New Roman" w:hAnsi="Times New Roman" w:cs="Times New Roman"/>
          <w:sz w:val="24"/>
          <w:szCs w:val="24"/>
        </w:rPr>
        <w:t>clearly understood this history</w:t>
      </w:r>
      <w:r w:rsidR="009138A1" w:rsidRPr="008C01A6">
        <w:rPr>
          <w:rFonts w:ascii="Times New Roman" w:hAnsi="Times New Roman" w:cs="Times New Roman"/>
          <w:sz w:val="24"/>
          <w:szCs w:val="24"/>
        </w:rPr>
        <w:t xml:space="preserve">, </w:t>
      </w:r>
      <w:r w:rsidR="009138A1" w:rsidRPr="008C01A6">
        <w:rPr>
          <w:rStyle w:val="cosearchdetaillevel1"/>
          <w:rFonts w:ascii="Times New Roman" w:eastAsia="Times New Roman" w:hAnsi="Times New Roman" w:cs="Times New Roman"/>
          <w:sz w:val="24"/>
          <w:szCs w:val="24"/>
        </w:rPr>
        <w:t>and intended to give the Attorney General the same right of action,</w:t>
      </w:r>
      <w:r w:rsidR="00887CB0" w:rsidRPr="008C01A6">
        <w:rPr>
          <w:rFonts w:ascii="Times New Roman" w:hAnsi="Times New Roman" w:cs="Times New Roman"/>
          <w:sz w:val="24"/>
          <w:szCs w:val="24"/>
        </w:rPr>
        <w:t xml:space="preserve"> </w:t>
      </w:r>
      <w:r w:rsidR="00DA6CA6" w:rsidRPr="008C01A6">
        <w:rPr>
          <w:rFonts w:ascii="Times New Roman" w:hAnsi="Times New Roman" w:cs="Times New Roman"/>
          <w:sz w:val="24"/>
          <w:szCs w:val="24"/>
        </w:rPr>
        <w:t>when it passed the ADA</w:t>
      </w:r>
      <w:r w:rsidRPr="008C01A6">
        <w:rPr>
          <w:rFonts w:ascii="Times New Roman" w:hAnsi="Times New Roman" w:cs="Times New Roman"/>
          <w:sz w:val="24"/>
          <w:szCs w:val="24"/>
        </w:rPr>
        <w:t xml:space="preserve"> and incorporated the enforcement mechanisms of Title VI and the Rehabilitation Act</w:t>
      </w:r>
      <w:r w:rsidR="00F815E8" w:rsidRPr="008C01A6">
        <w:rPr>
          <w:rFonts w:ascii="Times New Roman" w:hAnsi="Times New Roman" w:cs="Times New Roman"/>
          <w:sz w:val="24"/>
          <w:szCs w:val="24"/>
        </w:rPr>
        <w:t xml:space="preserve">. </w:t>
      </w:r>
      <w:r w:rsidRPr="008C01A6">
        <w:rPr>
          <w:rFonts w:ascii="Times New Roman" w:hAnsi="Times New Roman" w:cs="Times New Roman"/>
          <w:sz w:val="24"/>
          <w:szCs w:val="24"/>
        </w:rPr>
        <w:t>T</w:t>
      </w:r>
      <w:r w:rsidR="00C462A9" w:rsidRPr="008C01A6">
        <w:rPr>
          <w:rFonts w:ascii="Times New Roman" w:hAnsi="Times New Roman" w:cs="Times New Roman"/>
          <w:sz w:val="24"/>
          <w:szCs w:val="24"/>
        </w:rPr>
        <w:t>he House and Senate reports accompanying Title II both stated that the “the major enforcement sanction</w:t>
      </w:r>
      <w:r w:rsidR="00496200" w:rsidRPr="008C01A6">
        <w:rPr>
          <w:rFonts w:ascii="Times New Roman" w:hAnsi="Times New Roman" w:cs="Times New Roman"/>
          <w:sz w:val="24"/>
          <w:szCs w:val="24"/>
        </w:rPr>
        <w:t>” for a Title II violation would be that the “</w:t>
      </w:r>
      <w:r w:rsidR="008D0909" w:rsidRPr="008C01A6">
        <w:rPr>
          <w:rFonts w:ascii="Times New Roman" w:hAnsi="Times New Roman" w:cs="Times New Roman"/>
          <w:sz w:val="24"/>
          <w:szCs w:val="24"/>
        </w:rPr>
        <w:t>Department of Justice</w:t>
      </w:r>
      <w:r w:rsidR="00496200" w:rsidRPr="008C01A6">
        <w:rPr>
          <w:rFonts w:ascii="Times New Roman" w:hAnsi="Times New Roman" w:cs="Times New Roman"/>
          <w:sz w:val="24"/>
          <w:szCs w:val="24"/>
        </w:rPr>
        <w:t xml:space="preserve"> [could]</w:t>
      </w:r>
      <w:r w:rsidR="008D0909" w:rsidRPr="008C01A6">
        <w:rPr>
          <w:rFonts w:ascii="Times New Roman" w:hAnsi="Times New Roman" w:cs="Times New Roman"/>
          <w:sz w:val="24"/>
          <w:szCs w:val="24"/>
        </w:rPr>
        <w:t xml:space="preserve"> file suits in Federal district court.</w:t>
      </w:r>
      <w:r w:rsidR="00496200" w:rsidRPr="008C01A6">
        <w:rPr>
          <w:rFonts w:ascii="Times New Roman" w:hAnsi="Times New Roman" w:cs="Times New Roman"/>
          <w:sz w:val="24"/>
          <w:szCs w:val="24"/>
        </w:rPr>
        <w:t xml:space="preserve">” </w:t>
      </w:r>
      <w:r w:rsidR="00883E44" w:rsidRPr="008C01A6">
        <w:rPr>
          <w:rFonts w:ascii="Times New Roman" w:hAnsi="Times New Roman" w:cs="Times New Roman"/>
          <w:sz w:val="24"/>
          <w:szCs w:val="24"/>
        </w:rPr>
        <w:t>H.R. Rep. No. 101-485(</w:t>
      </w:r>
      <w:r w:rsidR="008934A1" w:rsidRPr="008C01A6">
        <w:rPr>
          <w:rFonts w:ascii="Times New Roman" w:hAnsi="Times New Roman" w:cs="Times New Roman"/>
          <w:sz w:val="24"/>
          <w:szCs w:val="24"/>
        </w:rPr>
        <w:t>II</w:t>
      </w:r>
      <w:r w:rsidR="00883E44" w:rsidRPr="008C01A6">
        <w:rPr>
          <w:rFonts w:ascii="Times New Roman" w:hAnsi="Times New Roman" w:cs="Times New Roman"/>
          <w:sz w:val="24"/>
          <w:szCs w:val="24"/>
        </w:rPr>
        <w:t>)</w:t>
      </w:r>
      <w:r w:rsidR="008934A1" w:rsidRPr="008C01A6">
        <w:rPr>
          <w:rFonts w:ascii="Times New Roman" w:hAnsi="Times New Roman" w:cs="Times New Roman"/>
          <w:sz w:val="24"/>
          <w:szCs w:val="24"/>
        </w:rPr>
        <w:t>, at 98 (1990</w:t>
      </w:r>
      <w:r w:rsidR="00883E44" w:rsidRPr="008C01A6">
        <w:rPr>
          <w:rFonts w:ascii="Times New Roman" w:hAnsi="Times New Roman" w:cs="Times New Roman"/>
          <w:sz w:val="24"/>
          <w:szCs w:val="24"/>
        </w:rPr>
        <w:t>)</w:t>
      </w:r>
      <w:r w:rsidR="008934A1" w:rsidRPr="008C01A6">
        <w:rPr>
          <w:rFonts w:ascii="Times New Roman" w:hAnsi="Times New Roman" w:cs="Times New Roman"/>
          <w:sz w:val="24"/>
          <w:szCs w:val="24"/>
        </w:rPr>
        <w:t xml:space="preserve">; </w:t>
      </w:r>
      <w:r w:rsidR="008934A1" w:rsidRPr="008C01A6">
        <w:rPr>
          <w:rFonts w:ascii="Times New Roman" w:hAnsi="Times New Roman" w:cs="Times New Roman"/>
          <w:i/>
          <w:iCs/>
          <w:sz w:val="24"/>
          <w:szCs w:val="24"/>
        </w:rPr>
        <w:t xml:space="preserve">see also </w:t>
      </w:r>
      <w:r w:rsidR="008934A1" w:rsidRPr="008C01A6">
        <w:rPr>
          <w:rFonts w:ascii="Times New Roman" w:hAnsi="Times New Roman" w:cs="Times New Roman"/>
          <w:sz w:val="24"/>
          <w:szCs w:val="24"/>
        </w:rPr>
        <w:t>S. Rep. No. 101-116, at 57</w:t>
      </w:r>
      <w:r w:rsidR="003E6C84" w:rsidRPr="008C01A6">
        <w:rPr>
          <w:rFonts w:ascii="Times New Roman" w:hAnsi="Times New Roman" w:cs="Times New Roman"/>
          <w:sz w:val="24"/>
          <w:szCs w:val="24"/>
        </w:rPr>
        <w:t>-58</w:t>
      </w:r>
      <w:r w:rsidR="008934A1" w:rsidRPr="008C01A6">
        <w:rPr>
          <w:rFonts w:ascii="Times New Roman" w:hAnsi="Times New Roman" w:cs="Times New Roman"/>
          <w:sz w:val="24"/>
          <w:szCs w:val="24"/>
        </w:rPr>
        <w:t xml:space="preserve"> (1989) (same)</w:t>
      </w:r>
      <w:r w:rsidR="00F815E8" w:rsidRPr="008C01A6">
        <w:rPr>
          <w:rFonts w:ascii="Times New Roman" w:hAnsi="Times New Roman" w:cs="Times New Roman"/>
          <w:sz w:val="24"/>
          <w:szCs w:val="24"/>
        </w:rPr>
        <w:t>.</w:t>
      </w:r>
      <w:r w:rsidR="0026715D" w:rsidRPr="008C01A6">
        <w:rPr>
          <w:rFonts w:ascii="Times New Roman" w:hAnsi="Times New Roman" w:cs="Times New Roman"/>
          <w:sz w:val="24"/>
          <w:szCs w:val="24"/>
        </w:rPr>
        <w:t xml:space="preserve"> </w:t>
      </w:r>
      <w:r w:rsidR="00496200" w:rsidRPr="008C01A6">
        <w:rPr>
          <w:rFonts w:ascii="Times New Roman" w:hAnsi="Times New Roman" w:cs="Times New Roman"/>
          <w:sz w:val="24"/>
          <w:szCs w:val="24"/>
        </w:rPr>
        <w:t>Accordingly, for</w:t>
      </w:r>
      <w:r w:rsidR="00031CC5" w:rsidRPr="008C01A6">
        <w:rPr>
          <w:rFonts w:ascii="Times New Roman" w:hAnsi="Times New Roman" w:cs="Times New Roman"/>
          <w:sz w:val="24"/>
          <w:szCs w:val="24"/>
        </w:rPr>
        <w:t xml:space="preserve"> more than</w:t>
      </w:r>
      <w:r w:rsidR="00496200" w:rsidRPr="008C01A6">
        <w:rPr>
          <w:rFonts w:ascii="Times New Roman" w:hAnsi="Times New Roman" w:cs="Times New Roman"/>
          <w:sz w:val="24"/>
          <w:szCs w:val="24"/>
        </w:rPr>
        <w:t xml:space="preserve"> 25 years, the Attorney General has enforced Title II through litigation and court-enforceable settlement agreements</w:t>
      </w:r>
      <w:r w:rsidR="00F815E8" w:rsidRPr="008C01A6">
        <w:rPr>
          <w:rFonts w:ascii="Times New Roman" w:hAnsi="Times New Roman" w:cs="Times New Roman"/>
          <w:sz w:val="24"/>
          <w:szCs w:val="24"/>
        </w:rPr>
        <w:t xml:space="preserve">. </w:t>
      </w:r>
      <w:r w:rsidR="008934A1" w:rsidRPr="008C01A6">
        <w:rPr>
          <w:rFonts w:ascii="Times New Roman" w:hAnsi="Times New Roman" w:cs="Times New Roman"/>
          <w:i/>
          <w:sz w:val="24"/>
          <w:szCs w:val="24"/>
        </w:rPr>
        <w:t>See infra</w:t>
      </w:r>
      <w:r w:rsidR="008934A1" w:rsidRPr="008C01A6">
        <w:rPr>
          <w:rFonts w:ascii="Times New Roman" w:hAnsi="Times New Roman" w:cs="Times New Roman"/>
          <w:sz w:val="24"/>
          <w:szCs w:val="24"/>
        </w:rPr>
        <w:t xml:space="preserve"> at </w:t>
      </w:r>
      <w:r w:rsidR="004022F3" w:rsidRPr="008C01A6">
        <w:rPr>
          <w:rFonts w:ascii="Times New Roman" w:hAnsi="Times New Roman" w:cs="Times New Roman"/>
          <w:sz w:val="24"/>
          <w:szCs w:val="24"/>
        </w:rPr>
        <w:t>19-20</w:t>
      </w:r>
      <w:r w:rsidR="00F815E8" w:rsidRPr="008C01A6">
        <w:rPr>
          <w:rFonts w:ascii="Times New Roman" w:hAnsi="Times New Roman" w:cs="Times New Roman"/>
          <w:sz w:val="24"/>
          <w:szCs w:val="24"/>
        </w:rPr>
        <w:t xml:space="preserve">. </w:t>
      </w:r>
      <w:r w:rsidR="003878D3" w:rsidRPr="008C01A6">
        <w:rPr>
          <w:rFonts w:ascii="Times New Roman" w:hAnsi="Times New Roman" w:cs="Times New Roman"/>
          <w:sz w:val="24"/>
          <w:szCs w:val="24"/>
        </w:rPr>
        <w:t xml:space="preserve">Apart from the lone </w:t>
      </w:r>
      <w:r w:rsidR="007E5170" w:rsidRPr="008C01A6">
        <w:rPr>
          <w:rFonts w:ascii="Times New Roman" w:hAnsi="Times New Roman" w:cs="Times New Roman"/>
          <w:sz w:val="24"/>
          <w:szCs w:val="24"/>
        </w:rPr>
        <w:t>district court</w:t>
      </w:r>
      <w:r w:rsidR="003878D3" w:rsidRPr="008C01A6">
        <w:rPr>
          <w:rFonts w:ascii="Times New Roman" w:hAnsi="Times New Roman" w:cs="Times New Roman"/>
          <w:sz w:val="24"/>
          <w:szCs w:val="24"/>
        </w:rPr>
        <w:t xml:space="preserve"> case on which Harris County relies, every court to address the issue</w:t>
      </w:r>
      <w:r w:rsidR="00DA6CA6" w:rsidRPr="008C01A6">
        <w:rPr>
          <w:rFonts w:ascii="Times New Roman" w:hAnsi="Times New Roman" w:cs="Times New Roman"/>
          <w:sz w:val="24"/>
          <w:szCs w:val="24"/>
        </w:rPr>
        <w:t xml:space="preserve"> has</w:t>
      </w:r>
      <w:r w:rsidR="003878D3" w:rsidRPr="008C01A6">
        <w:rPr>
          <w:rFonts w:ascii="Times New Roman" w:hAnsi="Times New Roman" w:cs="Times New Roman"/>
          <w:sz w:val="24"/>
          <w:szCs w:val="24"/>
        </w:rPr>
        <w:t xml:space="preserve"> a</w:t>
      </w:r>
      <w:r w:rsidR="00D416A2" w:rsidRPr="008C01A6">
        <w:rPr>
          <w:rFonts w:ascii="Times New Roman" w:hAnsi="Times New Roman" w:cs="Times New Roman"/>
          <w:sz w:val="24"/>
          <w:szCs w:val="24"/>
        </w:rPr>
        <w:t>greed</w:t>
      </w:r>
      <w:r w:rsidR="00DA6CA6" w:rsidRPr="008C01A6">
        <w:rPr>
          <w:rFonts w:ascii="Times New Roman" w:hAnsi="Times New Roman" w:cs="Times New Roman"/>
          <w:sz w:val="24"/>
          <w:szCs w:val="24"/>
        </w:rPr>
        <w:t xml:space="preserve"> that</w:t>
      </w:r>
      <w:r w:rsidR="00140FCD" w:rsidRPr="008C01A6">
        <w:rPr>
          <w:rFonts w:ascii="Times New Roman" w:hAnsi="Times New Roman" w:cs="Times New Roman"/>
          <w:sz w:val="24"/>
          <w:szCs w:val="24"/>
        </w:rPr>
        <w:t xml:space="preserve"> the Attorney General</w:t>
      </w:r>
      <w:r w:rsidR="003878D3" w:rsidRPr="008C01A6">
        <w:rPr>
          <w:rFonts w:ascii="Times New Roman" w:hAnsi="Times New Roman" w:cs="Times New Roman"/>
          <w:sz w:val="24"/>
          <w:szCs w:val="24"/>
        </w:rPr>
        <w:t xml:space="preserve"> </w:t>
      </w:r>
      <w:r w:rsidR="00DA6CA6" w:rsidRPr="008C01A6">
        <w:rPr>
          <w:rFonts w:ascii="Times New Roman" w:hAnsi="Times New Roman" w:cs="Times New Roman"/>
          <w:sz w:val="24"/>
          <w:szCs w:val="24"/>
        </w:rPr>
        <w:t xml:space="preserve">has </w:t>
      </w:r>
      <w:r w:rsidR="003878D3" w:rsidRPr="008C01A6">
        <w:rPr>
          <w:rFonts w:ascii="Times New Roman" w:hAnsi="Times New Roman" w:cs="Times New Roman"/>
          <w:sz w:val="24"/>
          <w:szCs w:val="24"/>
        </w:rPr>
        <w:t>authority to bring cases under Title II</w:t>
      </w:r>
      <w:r w:rsidR="00F815E8" w:rsidRPr="008C01A6">
        <w:rPr>
          <w:rFonts w:ascii="Times New Roman" w:hAnsi="Times New Roman" w:cs="Times New Roman"/>
          <w:sz w:val="24"/>
          <w:szCs w:val="24"/>
        </w:rPr>
        <w:t xml:space="preserve">. </w:t>
      </w:r>
      <w:r w:rsidR="008934A1" w:rsidRPr="008C01A6">
        <w:rPr>
          <w:rFonts w:ascii="Times New Roman" w:hAnsi="Times New Roman" w:cs="Times New Roman"/>
          <w:i/>
          <w:sz w:val="24"/>
          <w:szCs w:val="24"/>
        </w:rPr>
        <w:t>Id.</w:t>
      </w:r>
    </w:p>
    <w:p w:rsidR="00B52105" w:rsidRPr="008C01A6" w:rsidRDefault="00A46FD7">
      <w:pPr>
        <w:pStyle w:val="Default"/>
        <w:spacing w:line="480" w:lineRule="auto"/>
        <w:ind w:firstLine="720"/>
        <w:contextualSpacing/>
        <w:mirrorIndents/>
      </w:pPr>
      <w:r w:rsidRPr="008C01A6">
        <w:rPr>
          <w:color w:val="auto"/>
        </w:rPr>
        <w:t xml:space="preserve">Notwithstanding all this, Harris County now argues that the Attorney General does not have the authority to enforce Title II (or, absent some independent source of a right of action, Title VI </w:t>
      </w:r>
      <w:r w:rsidR="00140FCD" w:rsidRPr="008C01A6">
        <w:rPr>
          <w:color w:val="auto"/>
        </w:rPr>
        <w:t>and the Rehabilitation Act</w:t>
      </w:r>
      <w:r w:rsidRPr="008C01A6">
        <w:rPr>
          <w:color w:val="auto"/>
        </w:rPr>
        <w:t>)</w:t>
      </w:r>
      <w:r w:rsidR="00F815E8" w:rsidRPr="008C01A6">
        <w:rPr>
          <w:color w:val="auto"/>
        </w:rPr>
        <w:t xml:space="preserve">. </w:t>
      </w:r>
      <w:r w:rsidR="00BC4431" w:rsidRPr="008C01A6">
        <w:rPr>
          <w:i/>
          <w:color w:val="auto"/>
        </w:rPr>
        <w:t xml:space="preserve">See </w:t>
      </w:r>
      <w:r w:rsidR="0026715D" w:rsidRPr="008C01A6">
        <w:rPr>
          <w:color w:val="auto"/>
        </w:rPr>
        <w:t>MTD</w:t>
      </w:r>
      <w:r w:rsidR="00FE2FE1" w:rsidRPr="008C01A6">
        <w:rPr>
          <w:color w:val="auto"/>
        </w:rPr>
        <w:t xml:space="preserve"> at </w:t>
      </w:r>
      <w:r w:rsidR="003E6C84" w:rsidRPr="008C01A6">
        <w:rPr>
          <w:color w:val="auto"/>
        </w:rPr>
        <w:t>3-8</w:t>
      </w:r>
      <w:r w:rsidR="00F815E8" w:rsidRPr="008C01A6">
        <w:rPr>
          <w:color w:val="auto"/>
        </w:rPr>
        <w:t xml:space="preserve">. </w:t>
      </w:r>
      <w:r w:rsidRPr="008C01A6">
        <w:rPr>
          <w:color w:val="auto"/>
        </w:rPr>
        <w:t>Harris Count</w:t>
      </w:r>
      <w:r w:rsidR="007905A0" w:rsidRPr="008C01A6">
        <w:rPr>
          <w:color w:val="auto"/>
        </w:rPr>
        <w:t>y’s</w:t>
      </w:r>
      <w:r w:rsidR="009138A1" w:rsidRPr="008C01A6">
        <w:rPr>
          <w:color w:val="auto"/>
        </w:rPr>
        <w:t xml:space="preserve"> brief is based </w:t>
      </w:r>
      <w:r w:rsidRPr="008C01A6">
        <w:rPr>
          <w:color w:val="auto"/>
        </w:rPr>
        <w:t>entirely on the</w:t>
      </w:r>
      <w:r w:rsidR="00DA6CA6" w:rsidRPr="008C01A6">
        <w:rPr>
          <w:color w:val="auto"/>
        </w:rPr>
        <w:t xml:space="preserve"> single </w:t>
      </w:r>
      <w:r w:rsidR="00D416A2" w:rsidRPr="008C01A6">
        <w:rPr>
          <w:color w:val="auto"/>
        </w:rPr>
        <w:t>case</w:t>
      </w:r>
      <w:r w:rsidRPr="008C01A6">
        <w:rPr>
          <w:color w:val="auto"/>
        </w:rPr>
        <w:t xml:space="preserve"> to reach this conclusion, </w:t>
      </w:r>
      <w:r w:rsidR="008934A1" w:rsidRPr="008C01A6">
        <w:rPr>
          <w:i/>
          <w:color w:val="auto"/>
        </w:rPr>
        <w:t xml:space="preserve">C.V. v. </w:t>
      </w:r>
      <w:proofErr w:type="spellStart"/>
      <w:r w:rsidR="008934A1" w:rsidRPr="008C01A6">
        <w:rPr>
          <w:i/>
          <w:color w:val="auto"/>
        </w:rPr>
        <w:t>Dudek</w:t>
      </w:r>
      <w:proofErr w:type="spellEnd"/>
      <w:r w:rsidR="008934A1" w:rsidRPr="008C01A6">
        <w:rPr>
          <w:color w:val="auto"/>
        </w:rPr>
        <w:t xml:space="preserve">, </w:t>
      </w:r>
      <w:r w:rsidR="00FE2FE1" w:rsidRPr="008C01A6">
        <w:rPr>
          <w:rFonts w:eastAsiaTheme="minorHAnsi"/>
        </w:rPr>
        <w:t xml:space="preserve">No. 12-60460, </w:t>
      </w:r>
      <w:r w:rsidR="008934A1" w:rsidRPr="008C01A6">
        <w:rPr>
          <w:color w:val="auto"/>
        </w:rPr>
        <w:t>2016 WL 5220059</w:t>
      </w:r>
      <w:r w:rsidR="00FE2FE1" w:rsidRPr="008C01A6">
        <w:rPr>
          <w:color w:val="auto"/>
        </w:rPr>
        <w:t xml:space="preserve"> (S.D. Fla. Sept. 20, 2016). </w:t>
      </w:r>
      <w:r w:rsidR="007D708A" w:rsidRPr="008C01A6">
        <w:rPr>
          <w:color w:val="auto"/>
        </w:rPr>
        <w:t xml:space="preserve">Harris County’s argument hinges on Congress’s failure to explicitly name the Attorney General in Title II. But there was no need for Congress to do so, because Title II incorporated statutory enforcement provisions that had long been understood to give the Attorney General a right of action. </w:t>
      </w:r>
      <w:r w:rsidR="00642247" w:rsidRPr="008C01A6">
        <w:rPr>
          <w:rStyle w:val="cosearchdetaillevel1"/>
        </w:rPr>
        <w:t>To justify its novel reading of Title II, Harris County theorizes that Congres</w:t>
      </w:r>
      <w:r w:rsidR="00642247" w:rsidRPr="008C01A6">
        <w:t xml:space="preserve">s likely did not mean to allow </w:t>
      </w:r>
      <w:r w:rsidR="00642247" w:rsidRPr="008C01A6">
        <w:rPr>
          <w:rStyle w:val="cosearchdetaillevel1"/>
        </w:rPr>
        <w:t>enforcement by the Attorney General because “Title II reaches into many areas traditionally regulated</w:t>
      </w:r>
      <w:r w:rsidR="003E6C84" w:rsidRPr="008C01A6">
        <w:rPr>
          <w:rStyle w:val="cosearchdetaillevel1"/>
        </w:rPr>
        <w:t>” by states, and “</w:t>
      </w:r>
      <w:r w:rsidR="00642247" w:rsidRPr="008C01A6">
        <w:rPr>
          <w:rStyle w:val="cosearchdetaillevel1"/>
        </w:rPr>
        <w:t xml:space="preserve">thereby imposes significant federalism costs,” which would be compounded by federal enforcement. </w:t>
      </w:r>
      <w:proofErr w:type="gramStart"/>
      <w:r w:rsidR="00642247" w:rsidRPr="008C01A6">
        <w:rPr>
          <w:rStyle w:val="cosearchdetaillevel1"/>
        </w:rPr>
        <w:t xml:space="preserve">MTD at </w:t>
      </w:r>
      <w:r w:rsidR="003E6C84" w:rsidRPr="008C01A6">
        <w:rPr>
          <w:rStyle w:val="cosearchdetaillevel1"/>
        </w:rPr>
        <w:t>7</w:t>
      </w:r>
      <w:r w:rsidR="00642247" w:rsidRPr="008C01A6">
        <w:rPr>
          <w:rStyle w:val="cosearchdetaillevel1"/>
        </w:rPr>
        <w:t>.</w:t>
      </w:r>
      <w:proofErr w:type="gramEnd"/>
      <w:r w:rsidR="00642247" w:rsidRPr="008C01A6">
        <w:rPr>
          <w:rStyle w:val="cosearchdetaillevel1"/>
        </w:rPr>
        <w:t xml:space="preserve"> But Harris County cannot cite a single sentence from the ADA’s legislative history suggesting that Congress </w:t>
      </w:r>
      <w:r w:rsidR="00642247" w:rsidRPr="008C01A6">
        <w:t>in fact had any such concern</w:t>
      </w:r>
      <w:r w:rsidR="00642247" w:rsidRPr="008C01A6">
        <w:rPr>
          <w:rStyle w:val="cosearchdetaillevel1"/>
        </w:rPr>
        <w:t xml:space="preserve">. Moreover, Harris County’s argument </w:t>
      </w:r>
      <w:r w:rsidR="0076682E" w:rsidRPr="008C01A6">
        <w:rPr>
          <w:color w:val="auto"/>
        </w:rPr>
        <w:t>renders superfluous portions of the statutory text; ignores the plain statement</w:t>
      </w:r>
      <w:r w:rsidR="0076682E" w:rsidRPr="008C01A6">
        <w:t>s in the ADA’s legislative history that Congress intended the Attorney General</w:t>
      </w:r>
      <w:r w:rsidR="0076682E" w:rsidRPr="008C01A6">
        <w:rPr>
          <w:color w:val="auto"/>
        </w:rPr>
        <w:t xml:space="preserve"> to enforce Title II; refuses to give deference to the implementing regulations; and rejects the reasoning of numerous courts that have addressed the issue in the context of Title VI, the Rehabilitation Act, or the ADA.</w:t>
      </w:r>
    </w:p>
    <w:p w:rsidR="00B52105" w:rsidRPr="008C01A6" w:rsidRDefault="00642247">
      <w:pPr>
        <w:pStyle w:val="Default"/>
        <w:spacing w:line="480" w:lineRule="auto"/>
        <w:ind w:firstLine="720"/>
        <w:contextualSpacing/>
        <w:mirrorIndents/>
        <w:rPr>
          <w:color w:val="auto"/>
        </w:rPr>
      </w:pPr>
      <w:r w:rsidRPr="008C01A6">
        <w:rPr>
          <w:rStyle w:val="cosearchdetaillevel1"/>
        </w:rPr>
        <w:t xml:space="preserve">Understanding Title II’s enforcement provision requires understanding the enforcement provisions that it incorporated. Thus, the following sections will discuss Title VI, then the Rehabilitation Act, and then Title II. </w:t>
      </w:r>
      <w:r w:rsidR="008E11C0" w:rsidRPr="008C01A6">
        <w:rPr>
          <w:color w:val="auto"/>
        </w:rPr>
        <w:t>Based on th</w:t>
      </w:r>
      <w:r w:rsidRPr="008C01A6">
        <w:rPr>
          <w:color w:val="auto"/>
        </w:rPr>
        <w:t>e history of these statutes, the</w:t>
      </w:r>
      <w:r w:rsidR="008E11C0" w:rsidRPr="008C01A6">
        <w:rPr>
          <w:color w:val="auto"/>
        </w:rPr>
        <w:t xml:space="preserve"> plain language of the ADA</w:t>
      </w:r>
      <w:r w:rsidRPr="008C01A6">
        <w:rPr>
          <w:color w:val="auto"/>
        </w:rPr>
        <w:t>,</w:t>
      </w:r>
      <w:r w:rsidR="003E53A6" w:rsidRPr="008C01A6">
        <w:rPr>
          <w:color w:val="auto"/>
        </w:rPr>
        <w:t xml:space="preserve"> </w:t>
      </w:r>
      <w:r w:rsidRPr="008C01A6">
        <w:rPr>
          <w:color w:val="auto"/>
        </w:rPr>
        <w:t xml:space="preserve">its legislative history, and the implementing regulations, </w:t>
      </w:r>
      <w:r w:rsidR="008E11C0" w:rsidRPr="008C01A6">
        <w:rPr>
          <w:color w:val="auto"/>
        </w:rPr>
        <w:t>the United States has the authority to bring this lawsuit to vindicate the rights of voters with di</w:t>
      </w:r>
      <w:r w:rsidR="00747AD3" w:rsidRPr="008C01A6">
        <w:rPr>
          <w:color w:val="auto"/>
        </w:rPr>
        <w:t>sabilities</w:t>
      </w:r>
      <w:r w:rsidR="00F815E8" w:rsidRPr="008C01A6">
        <w:rPr>
          <w:color w:val="auto"/>
        </w:rPr>
        <w:t xml:space="preserve"> in Harris County</w:t>
      </w:r>
      <w:r w:rsidR="008E11C0" w:rsidRPr="008C01A6">
        <w:rPr>
          <w:color w:val="auto"/>
        </w:rPr>
        <w:t xml:space="preserve">. To the extent the Court deems the </w:t>
      </w:r>
      <w:r w:rsidR="00F622A1" w:rsidRPr="008C01A6">
        <w:rPr>
          <w:color w:val="auto"/>
        </w:rPr>
        <w:t xml:space="preserve">ADA </w:t>
      </w:r>
      <w:r w:rsidR="008E11C0" w:rsidRPr="008C01A6">
        <w:rPr>
          <w:color w:val="auto"/>
        </w:rPr>
        <w:t>ambiguous, it should defer to the United States’ longstanding interpretation</w:t>
      </w:r>
      <w:r w:rsidR="00F815E8" w:rsidRPr="008C01A6">
        <w:rPr>
          <w:color w:val="auto"/>
        </w:rPr>
        <w:t xml:space="preserve"> that Title II</w:t>
      </w:r>
      <w:r w:rsidR="008E11C0" w:rsidRPr="008C01A6">
        <w:rPr>
          <w:color w:val="auto"/>
        </w:rPr>
        <w:t xml:space="preserve"> </w:t>
      </w:r>
      <w:r w:rsidR="00F622A1" w:rsidRPr="008C01A6">
        <w:rPr>
          <w:color w:val="auto"/>
        </w:rPr>
        <w:t xml:space="preserve">confers </w:t>
      </w:r>
      <w:r w:rsidR="008E11C0" w:rsidRPr="008C01A6">
        <w:rPr>
          <w:color w:val="auto"/>
        </w:rPr>
        <w:t>such authority.</w:t>
      </w:r>
    </w:p>
    <w:p w:rsidR="00B52105" w:rsidRPr="008C01A6" w:rsidRDefault="00747AD3">
      <w:pPr>
        <w:pStyle w:val="Heading2"/>
        <w:keepNext w:val="0"/>
        <w:keepLines w:val="0"/>
        <w:widowControl w:val="0"/>
        <w:rPr>
          <w:rFonts w:cs="Times New Roman"/>
          <w:szCs w:val="24"/>
        </w:rPr>
      </w:pPr>
      <w:bookmarkStart w:id="4" w:name="_Toc465681934"/>
      <w:r w:rsidRPr="008C01A6">
        <w:rPr>
          <w:rFonts w:cs="Times New Roman"/>
          <w:szCs w:val="24"/>
        </w:rPr>
        <w:t>Statutory Text</w:t>
      </w:r>
      <w:bookmarkEnd w:id="4"/>
      <w:r w:rsidRPr="008C01A6">
        <w:rPr>
          <w:rFonts w:cs="Times New Roman"/>
          <w:szCs w:val="24"/>
        </w:rPr>
        <w:t xml:space="preserve"> </w:t>
      </w:r>
    </w:p>
    <w:p w:rsidR="00B52105" w:rsidRPr="008C01A6" w:rsidRDefault="00B52105">
      <w:pPr>
        <w:pStyle w:val="Default"/>
        <w:ind w:firstLine="720"/>
        <w:contextualSpacing/>
        <w:mirrorIndents/>
        <w:rPr>
          <w:color w:val="auto"/>
        </w:rPr>
      </w:pPr>
    </w:p>
    <w:p w:rsidR="00B52105" w:rsidRPr="008C01A6" w:rsidRDefault="006C0C2E">
      <w:pPr>
        <w:pStyle w:val="Default"/>
        <w:spacing w:line="480" w:lineRule="auto"/>
        <w:ind w:firstLine="720"/>
        <w:contextualSpacing/>
        <w:mirrorIndents/>
        <w:rPr>
          <w:color w:val="auto"/>
        </w:rPr>
      </w:pPr>
      <w:r w:rsidRPr="008C01A6">
        <w:rPr>
          <w:color w:val="auto"/>
        </w:rPr>
        <w:t xml:space="preserve">As </w:t>
      </w:r>
      <w:r w:rsidR="00F815E8" w:rsidRPr="008C01A6">
        <w:rPr>
          <w:color w:val="auto"/>
        </w:rPr>
        <w:t>noted</w:t>
      </w:r>
      <w:r w:rsidRPr="008C01A6">
        <w:rPr>
          <w:color w:val="auto"/>
        </w:rPr>
        <w:t>,</w:t>
      </w:r>
      <w:r w:rsidR="00E87426" w:rsidRPr="008C01A6">
        <w:rPr>
          <w:color w:val="auto"/>
        </w:rPr>
        <w:t xml:space="preserve"> Title II </w:t>
      </w:r>
      <w:r w:rsidR="00A040A9" w:rsidRPr="008C01A6">
        <w:rPr>
          <w:color w:val="auto"/>
        </w:rPr>
        <w:t xml:space="preserve">of the ADA </w:t>
      </w:r>
      <w:r w:rsidR="00E87426" w:rsidRPr="008C01A6">
        <w:rPr>
          <w:color w:val="auto"/>
        </w:rPr>
        <w:t>was modeled on the Rehabilitation Act of 1973, which in turn was modeled on Title VI of the Civil Rights Act of 1964</w:t>
      </w:r>
      <w:r w:rsidR="00F815E8" w:rsidRPr="008C01A6">
        <w:rPr>
          <w:color w:val="auto"/>
        </w:rPr>
        <w:t xml:space="preserve">. </w:t>
      </w:r>
      <w:r w:rsidR="00E87426" w:rsidRPr="008C01A6">
        <w:rPr>
          <w:color w:val="auto"/>
        </w:rPr>
        <w:t xml:space="preserve">All three statutes’ non-discrimination provisions and enforcement </w:t>
      </w:r>
      <w:r w:rsidRPr="008C01A6">
        <w:rPr>
          <w:color w:val="auto"/>
        </w:rPr>
        <w:t>provisions are set forth below.</w:t>
      </w:r>
    </w:p>
    <w:tbl>
      <w:tblPr>
        <w:tblStyle w:val="TableGrid"/>
        <w:tblW w:w="0" w:type="auto"/>
        <w:tblLook w:val="04A0"/>
      </w:tblPr>
      <w:tblGrid>
        <w:gridCol w:w="1728"/>
        <w:gridCol w:w="3780"/>
        <w:gridCol w:w="4068"/>
      </w:tblGrid>
      <w:tr w:rsidR="00E87426" w:rsidRPr="008C01A6" w:rsidTr="007C55C1">
        <w:tc>
          <w:tcPr>
            <w:tcW w:w="1728" w:type="dxa"/>
          </w:tcPr>
          <w:p w:rsidR="00B52105" w:rsidRPr="008C01A6" w:rsidRDefault="00B52105">
            <w:pPr>
              <w:pStyle w:val="Default"/>
              <w:spacing w:line="480" w:lineRule="auto"/>
              <w:contextualSpacing/>
              <w:mirrorIndents/>
              <w:rPr>
                <w:color w:val="auto"/>
              </w:rPr>
            </w:pPr>
          </w:p>
        </w:tc>
        <w:tc>
          <w:tcPr>
            <w:tcW w:w="3780" w:type="dxa"/>
          </w:tcPr>
          <w:p w:rsidR="00B52105" w:rsidRPr="008C01A6" w:rsidRDefault="00E87426">
            <w:pPr>
              <w:pStyle w:val="Default"/>
              <w:spacing w:line="480" w:lineRule="auto"/>
              <w:contextualSpacing/>
              <w:mirrorIndents/>
              <w:rPr>
                <w:b/>
                <w:color w:val="auto"/>
              </w:rPr>
            </w:pPr>
            <w:r w:rsidRPr="008C01A6">
              <w:rPr>
                <w:b/>
                <w:color w:val="auto"/>
              </w:rPr>
              <w:t>Non-Discrimination Mandate</w:t>
            </w:r>
          </w:p>
        </w:tc>
        <w:tc>
          <w:tcPr>
            <w:tcW w:w="4068" w:type="dxa"/>
          </w:tcPr>
          <w:p w:rsidR="00B52105" w:rsidRPr="008C01A6" w:rsidRDefault="00E87426">
            <w:pPr>
              <w:pStyle w:val="Default"/>
              <w:spacing w:line="480" w:lineRule="auto"/>
              <w:contextualSpacing/>
              <w:mirrorIndents/>
              <w:rPr>
                <w:b/>
                <w:color w:val="auto"/>
              </w:rPr>
            </w:pPr>
            <w:r w:rsidRPr="008C01A6">
              <w:rPr>
                <w:b/>
                <w:color w:val="auto"/>
              </w:rPr>
              <w:t>Enforcement Provision</w:t>
            </w:r>
          </w:p>
        </w:tc>
      </w:tr>
      <w:tr w:rsidR="00E87426" w:rsidRPr="008C01A6" w:rsidTr="007C55C1">
        <w:tc>
          <w:tcPr>
            <w:tcW w:w="1728" w:type="dxa"/>
          </w:tcPr>
          <w:p w:rsidR="00B52105" w:rsidRPr="008C01A6" w:rsidRDefault="00E87426">
            <w:pPr>
              <w:pStyle w:val="Default"/>
              <w:contextualSpacing/>
              <w:mirrorIndents/>
              <w:rPr>
                <w:b/>
                <w:color w:val="auto"/>
              </w:rPr>
            </w:pPr>
            <w:r w:rsidRPr="008C01A6">
              <w:rPr>
                <w:b/>
                <w:color w:val="auto"/>
              </w:rPr>
              <w:t>ADA Title II (1990)</w:t>
            </w:r>
          </w:p>
        </w:tc>
        <w:tc>
          <w:tcPr>
            <w:tcW w:w="3780" w:type="dxa"/>
          </w:tcPr>
          <w:p w:rsidR="00B52105" w:rsidRPr="008C01A6" w:rsidRDefault="00E87426">
            <w:pPr>
              <w:pStyle w:val="Default"/>
              <w:contextualSpacing/>
              <w:mirrorIndents/>
              <w:rPr>
                <w:color w:val="auto"/>
              </w:rPr>
            </w:pPr>
            <w:r w:rsidRPr="008C01A6">
              <w:t>[N]o qualified individual with a disability shall, by reason of such disability, be excluded from participation in or be denied the benefits of the services, programs, or activities of a public entity, or be subjected to discrimination by any such entity</w:t>
            </w:r>
            <w:r w:rsidR="00F815E8" w:rsidRPr="008C01A6">
              <w:t xml:space="preserve">. </w:t>
            </w:r>
            <w:r w:rsidRPr="008C01A6">
              <w:t>42 U.S.C. § 12132.</w:t>
            </w:r>
          </w:p>
        </w:tc>
        <w:tc>
          <w:tcPr>
            <w:tcW w:w="4068" w:type="dxa"/>
          </w:tcPr>
          <w:p w:rsidR="00B52105" w:rsidRPr="008C01A6" w:rsidRDefault="00E87426">
            <w:pPr>
              <w:pStyle w:val="Default"/>
              <w:contextualSpacing/>
              <w:mirrorIndents/>
              <w:rPr>
                <w:color w:val="auto"/>
              </w:rPr>
            </w:pPr>
            <w:r w:rsidRPr="008C01A6">
              <w:rPr>
                <w:color w:val="auto"/>
              </w:rPr>
              <w:t>The remedies, procedures, and rights set forth in section 794a of title 29 [the Rehabilitation Act] shall be the remedies, procedures, and rights this subchapter provides to any person alleging discrimination on the basis of disability in violation of [Title II]</w:t>
            </w:r>
            <w:r w:rsidR="00F815E8" w:rsidRPr="008C01A6">
              <w:rPr>
                <w:color w:val="auto"/>
              </w:rPr>
              <w:t xml:space="preserve">. </w:t>
            </w:r>
            <w:r w:rsidRPr="008C01A6">
              <w:rPr>
                <w:color w:val="auto"/>
              </w:rPr>
              <w:t>42 U.S.C. § 12133.</w:t>
            </w:r>
          </w:p>
          <w:p w:rsidR="00B52105" w:rsidRPr="008C01A6" w:rsidRDefault="00B52105">
            <w:pPr>
              <w:pStyle w:val="Default"/>
              <w:contextualSpacing/>
              <w:mirrorIndents/>
              <w:rPr>
                <w:color w:val="auto"/>
              </w:rPr>
            </w:pPr>
          </w:p>
        </w:tc>
      </w:tr>
      <w:tr w:rsidR="00E87426" w:rsidRPr="008C01A6" w:rsidTr="007C55C1">
        <w:tc>
          <w:tcPr>
            <w:tcW w:w="1728" w:type="dxa"/>
          </w:tcPr>
          <w:p w:rsidR="00B52105" w:rsidRPr="008C01A6" w:rsidRDefault="00031CC5">
            <w:pPr>
              <w:pStyle w:val="Default"/>
              <w:contextualSpacing/>
              <w:mirrorIndents/>
              <w:rPr>
                <w:b/>
                <w:color w:val="auto"/>
              </w:rPr>
            </w:pPr>
            <w:r w:rsidRPr="008C01A6">
              <w:rPr>
                <w:b/>
                <w:color w:val="auto"/>
              </w:rPr>
              <w:t>Rehabilitation Act (1973, 1978)</w:t>
            </w:r>
          </w:p>
          <w:p w:rsidR="00B52105" w:rsidRPr="008C01A6" w:rsidRDefault="00B52105">
            <w:pPr>
              <w:pStyle w:val="Default"/>
              <w:contextualSpacing/>
              <w:mirrorIndents/>
              <w:rPr>
                <w:b/>
                <w:color w:val="auto"/>
              </w:rPr>
            </w:pPr>
          </w:p>
        </w:tc>
        <w:tc>
          <w:tcPr>
            <w:tcW w:w="3780" w:type="dxa"/>
          </w:tcPr>
          <w:p w:rsidR="00B52105" w:rsidRPr="008C01A6" w:rsidRDefault="00E87426">
            <w:pPr>
              <w:pStyle w:val="Default"/>
              <w:contextualSpacing/>
              <w:mirrorIndents/>
              <w:rPr>
                <w:color w:val="auto"/>
              </w:rPr>
            </w:pPr>
            <w:r w:rsidRPr="008C01A6">
              <w:rPr>
                <w:color w:val="auto"/>
              </w:rPr>
              <w:t>No otherwise qualified individual with a disability in the United States, shall, solely by reason of her or his disability, be excluded from the participation in, be denied the benefits of, or be subjected to discrimination under any program or activity receiving Federal financial assistance[.]  29 U.S.C. § 794(a)</w:t>
            </w:r>
            <w:r w:rsidR="00A200F1" w:rsidRPr="008C01A6">
              <w:rPr>
                <w:color w:val="auto"/>
              </w:rPr>
              <w:t xml:space="preserve"> (“Section 504”).</w:t>
            </w:r>
          </w:p>
          <w:p w:rsidR="00B52105" w:rsidRPr="008C01A6" w:rsidRDefault="00B52105">
            <w:pPr>
              <w:pStyle w:val="Default"/>
              <w:contextualSpacing/>
              <w:mirrorIndents/>
              <w:rPr>
                <w:color w:val="auto"/>
              </w:rPr>
            </w:pPr>
          </w:p>
        </w:tc>
        <w:tc>
          <w:tcPr>
            <w:tcW w:w="4068" w:type="dxa"/>
          </w:tcPr>
          <w:p w:rsidR="00B52105" w:rsidRPr="008C01A6" w:rsidRDefault="00E87426">
            <w:pPr>
              <w:pStyle w:val="Default"/>
              <w:contextualSpacing/>
              <w:mirrorIndents/>
              <w:rPr>
                <w:color w:val="auto"/>
              </w:rPr>
            </w:pPr>
            <w:r w:rsidRPr="008C01A6">
              <w:rPr>
                <w:color w:val="auto"/>
              </w:rPr>
              <w:t>The remedies, procedures, and rights set forth in title VI of the Civil Rights Act of</w:t>
            </w:r>
            <w:r w:rsidR="006829D0" w:rsidRPr="008C01A6">
              <w:rPr>
                <w:color w:val="auto"/>
              </w:rPr>
              <w:t xml:space="preserve"> 1964 (42 U.S.C. 2000d et seq.) . . </w:t>
            </w:r>
            <w:r w:rsidRPr="008C01A6">
              <w:rPr>
                <w:color w:val="auto"/>
              </w:rPr>
              <w:t>. shall be available to any person aggrieved by any act or failure to act by any recipient of Federal assistance or Federal provider of such assistance under section 794 of this title</w:t>
            </w:r>
            <w:r w:rsidR="00F815E8" w:rsidRPr="008C01A6">
              <w:rPr>
                <w:color w:val="auto"/>
              </w:rPr>
              <w:t xml:space="preserve">. </w:t>
            </w:r>
            <w:r w:rsidR="00A200F1" w:rsidRPr="008C01A6">
              <w:rPr>
                <w:color w:val="auto"/>
              </w:rPr>
              <w:t>29 U.S.C. § </w:t>
            </w:r>
            <w:proofErr w:type="gramStart"/>
            <w:r w:rsidR="00A200F1" w:rsidRPr="008C01A6">
              <w:rPr>
                <w:color w:val="auto"/>
              </w:rPr>
              <w:t>794a(</w:t>
            </w:r>
            <w:proofErr w:type="gramEnd"/>
            <w:r w:rsidR="00A200F1" w:rsidRPr="008C01A6">
              <w:rPr>
                <w:color w:val="auto"/>
              </w:rPr>
              <w:t>a)(2) (“Section 505”).</w:t>
            </w:r>
          </w:p>
          <w:p w:rsidR="00B52105" w:rsidRPr="008C01A6" w:rsidRDefault="00B52105">
            <w:pPr>
              <w:pStyle w:val="Default"/>
              <w:contextualSpacing/>
              <w:mirrorIndents/>
              <w:rPr>
                <w:color w:val="auto"/>
              </w:rPr>
            </w:pPr>
          </w:p>
        </w:tc>
      </w:tr>
      <w:tr w:rsidR="00E87426" w:rsidRPr="008C01A6" w:rsidTr="007C55C1">
        <w:tc>
          <w:tcPr>
            <w:tcW w:w="1728" w:type="dxa"/>
          </w:tcPr>
          <w:p w:rsidR="00B52105" w:rsidRPr="008C01A6" w:rsidRDefault="00E87426">
            <w:pPr>
              <w:pStyle w:val="Default"/>
              <w:contextualSpacing/>
              <w:mirrorIndents/>
              <w:rPr>
                <w:b/>
                <w:color w:val="auto"/>
              </w:rPr>
            </w:pPr>
            <w:r w:rsidRPr="008C01A6">
              <w:rPr>
                <w:b/>
                <w:color w:val="auto"/>
              </w:rPr>
              <w:t>Title VI (1964)</w:t>
            </w:r>
          </w:p>
        </w:tc>
        <w:tc>
          <w:tcPr>
            <w:tcW w:w="3780" w:type="dxa"/>
          </w:tcPr>
          <w:p w:rsidR="00B52105" w:rsidRPr="008C01A6" w:rsidRDefault="00E87426">
            <w:pPr>
              <w:pStyle w:val="Default"/>
              <w:contextualSpacing/>
              <w:mirrorIndents/>
              <w:rPr>
                <w:color w:val="auto"/>
              </w:rPr>
            </w:pPr>
            <w:r w:rsidRPr="008C01A6">
              <w:t>No person in the United States shall, on the ground of race, color, or national origin, be excluded from participation in, be denied the benefits of, or be subjected to discrimination under any program or activity receiving Federal financial assistance</w:t>
            </w:r>
            <w:r w:rsidR="00F815E8" w:rsidRPr="008C01A6">
              <w:t xml:space="preserve">. </w:t>
            </w:r>
            <w:r w:rsidRPr="008C01A6">
              <w:t>42 U.S.C. § 2000d.</w:t>
            </w:r>
          </w:p>
        </w:tc>
        <w:tc>
          <w:tcPr>
            <w:tcW w:w="4068" w:type="dxa"/>
          </w:tcPr>
          <w:p w:rsidR="00B52105" w:rsidRPr="008C01A6" w:rsidRDefault="00E87426">
            <w:pPr>
              <w:pStyle w:val="Default"/>
              <w:contextualSpacing/>
              <w:mirrorIndents/>
            </w:pPr>
            <w:r w:rsidRPr="008C01A6">
              <w:t xml:space="preserve">Compliance . . . may be effected (1) by the termination of or refusal to grant or to continue [federal] assistance . . . , or (2) by any other means authorized by </w:t>
            </w:r>
            <w:proofErr w:type="gramStart"/>
            <w:r w:rsidRPr="008C01A6">
              <w:t>law[</w:t>
            </w:r>
            <w:proofErr w:type="gramEnd"/>
            <w:r w:rsidRPr="008C01A6">
              <w:t>.]  42 U.S.C. § 2000d-1.</w:t>
            </w:r>
          </w:p>
        </w:tc>
      </w:tr>
    </w:tbl>
    <w:p w:rsidR="00B52105" w:rsidRPr="008C01A6" w:rsidRDefault="00B52105">
      <w:pPr>
        <w:widowControl w:val="0"/>
        <w:rPr>
          <w:rFonts w:ascii="Times New Roman" w:hAnsi="Times New Roman" w:cs="Times New Roman"/>
          <w:sz w:val="24"/>
          <w:szCs w:val="24"/>
        </w:rPr>
      </w:pPr>
    </w:p>
    <w:p w:rsidR="00B52105" w:rsidRPr="008C01A6" w:rsidRDefault="00C93E4D">
      <w:pPr>
        <w:pStyle w:val="Heading2"/>
        <w:keepNext w:val="0"/>
        <w:keepLines w:val="0"/>
        <w:widowControl w:val="0"/>
        <w:spacing w:line="480" w:lineRule="auto"/>
        <w:rPr>
          <w:rFonts w:cs="Times New Roman"/>
          <w:szCs w:val="24"/>
        </w:rPr>
      </w:pPr>
      <w:bookmarkStart w:id="5" w:name="_Toc465681935"/>
      <w:r w:rsidRPr="008C01A6">
        <w:rPr>
          <w:rFonts w:cs="Times New Roman"/>
          <w:szCs w:val="24"/>
        </w:rPr>
        <w:t xml:space="preserve">The Attorney General Can Enforce Title VI </w:t>
      </w:r>
      <w:proofErr w:type="gramStart"/>
      <w:r w:rsidRPr="008C01A6">
        <w:rPr>
          <w:rFonts w:cs="Times New Roman"/>
          <w:szCs w:val="24"/>
        </w:rPr>
        <w:t>Through</w:t>
      </w:r>
      <w:proofErr w:type="gramEnd"/>
      <w:r w:rsidRPr="008C01A6">
        <w:rPr>
          <w:rFonts w:cs="Times New Roman"/>
          <w:szCs w:val="24"/>
        </w:rPr>
        <w:t xml:space="preserve"> Litig</w:t>
      </w:r>
      <w:r w:rsidR="003E6C84" w:rsidRPr="008C01A6">
        <w:rPr>
          <w:rFonts w:cs="Times New Roman"/>
          <w:szCs w:val="24"/>
        </w:rPr>
        <w:t>ation</w:t>
      </w:r>
      <w:bookmarkEnd w:id="5"/>
      <w:r w:rsidRPr="008C01A6">
        <w:rPr>
          <w:rFonts w:cs="Times New Roman"/>
          <w:szCs w:val="24"/>
        </w:rPr>
        <w:t xml:space="preserve"> </w:t>
      </w:r>
    </w:p>
    <w:p w:rsidR="00B52105" w:rsidRPr="008C01A6" w:rsidRDefault="00D34AE3">
      <w:pPr>
        <w:pStyle w:val="Default"/>
        <w:spacing w:line="480" w:lineRule="auto"/>
        <w:contextualSpacing/>
        <w:mirrorIndents/>
      </w:pPr>
      <w:r w:rsidRPr="008C01A6">
        <w:tab/>
      </w:r>
      <w:r w:rsidR="0026715D" w:rsidRPr="008C01A6">
        <w:t>T</w:t>
      </w:r>
      <w:r w:rsidR="00FC4C9F" w:rsidRPr="008C01A6">
        <w:t xml:space="preserve">he enforcement </w:t>
      </w:r>
      <w:r w:rsidR="00F815E8" w:rsidRPr="008C01A6">
        <w:t>framework</w:t>
      </w:r>
      <w:r w:rsidR="00FC4C9F" w:rsidRPr="008C01A6">
        <w:t xml:space="preserve"> that </w:t>
      </w:r>
      <w:r w:rsidR="00F456FB" w:rsidRPr="008C01A6">
        <w:t>Congress selected for Title II</w:t>
      </w:r>
      <w:r w:rsidR="00FC4C9F" w:rsidRPr="008C01A6">
        <w:t xml:space="preserve"> </w:t>
      </w:r>
      <w:r w:rsidR="00031325" w:rsidRPr="008C01A6">
        <w:t>begins</w:t>
      </w:r>
      <w:r w:rsidR="001A4EC4" w:rsidRPr="008C01A6">
        <w:t xml:space="preserve"> with Title VI of the Civil Rights Act of 196</w:t>
      </w:r>
      <w:r w:rsidR="00CF4F56" w:rsidRPr="008C01A6">
        <w:t>4. Title VI’s</w:t>
      </w:r>
      <w:r w:rsidR="005843EA" w:rsidRPr="008C01A6">
        <w:t xml:space="preserve"> enforcement </w:t>
      </w:r>
      <w:r w:rsidR="00F815E8" w:rsidRPr="008C01A6">
        <w:t xml:space="preserve">provision, 42 U.S.C. </w:t>
      </w:r>
      <w:r w:rsidR="00D84FDA" w:rsidRPr="008C01A6">
        <w:rPr>
          <w:color w:val="auto"/>
        </w:rPr>
        <w:t xml:space="preserve">§ </w:t>
      </w:r>
      <w:r w:rsidR="00F815E8" w:rsidRPr="008C01A6">
        <w:t>2000d-1,</w:t>
      </w:r>
      <w:r w:rsidR="00F7789B" w:rsidRPr="008C01A6">
        <w:t xml:space="preserve"> </w:t>
      </w:r>
      <w:r w:rsidR="00CF4F56" w:rsidRPr="008C01A6">
        <w:t xml:space="preserve">provides </w:t>
      </w:r>
      <w:r w:rsidR="00F815E8" w:rsidRPr="008C01A6">
        <w:t>that compliance can be effected</w:t>
      </w:r>
      <w:r w:rsidR="005843EA" w:rsidRPr="008C01A6">
        <w:t xml:space="preserve"> by</w:t>
      </w:r>
      <w:r w:rsidR="00AE2BC2" w:rsidRPr="008C01A6">
        <w:t xml:space="preserve"> </w:t>
      </w:r>
      <w:r w:rsidR="00F815E8" w:rsidRPr="008C01A6">
        <w:t xml:space="preserve">(1) </w:t>
      </w:r>
      <w:r w:rsidR="00AE2BC2" w:rsidRPr="008C01A6">
        <w:t xml:space="preserve">administrative termination of </w:t>
      </w:r>
      <w:r w:rsidR="00031325" w:rsidRPr="008C01A6">
        <w:t xml:space="preserve">federal </w:t>
      </w:r>
      <w:r w:rsidR="00AE2BC2" w:rsidRPr="008C01A6">
        <w:t xml:space="preserve">funds </w:t>
      </w:r>
      <w:r w:rsidR="00140FCD" w:rsidRPr="008C01A6">
        <w:t xml:space="preserve">to </w:t>
      </w:r>
      <w:r w:rsidR="00F815E8" w:rsidRPr="008C01A6">
        <w:t>any federally funded entity that is discriminating on the basis of race, color, or national origin</w:t>
      </w:r>
      <w:r w:rsidR="00AE2BC2" w:rsidRPr="008C01A6">
        <w:t xml:space="preserve">, </w:t>
      </w:r>
      <w:r w:rsidR="00AE2BC2" w:rsidRPr="008C01A6">
        <w:rPr>
          <w:i/>
        </w:rPr>
        <w:t>or</w:t>
      </w:r>
      <w:r w:rsidR="00F815E8" w:rsidRPr="008C01A6">
        <w:rPr>
          <w:i/>
        </w:rPr>
        <w:t xml:space="preserve"> </w:t>
      </w:r>
      <w:r w:rsidR="00F815E8" w:rsidRPr="008C01A6">
        <w:t>(2)</w:t>
      </w:r>
      <w:r w:rsidR="00AE2BC2" w:rsidRPr="008C01A6">
        <w:rPr>
          <w:i/>
        </w:rPr>
        <w:t xml:space="preserve"> </w:t>
      </w:r>
      <w:r w:rsidR="005843EA" w:rsidRPr="008C01A6">
        <w:t>“by any other means authorized by law</w:t>
      </w:r>
      <w:r w:rsidR="00F815E8" w:rsidRPr="008C01A6">
        <w:t>.”</w:t>
      </w:r>
    </w:p>
    <w:p w:rsidR="00B52105" w:rsidRPr="008C01A6" w:rsidRDefault="00086BEF">
      <w:pPr>
        <w:pStyle w:val="Default"/>
        <w:spacing w:line="480" w:lineRule="auto"/>
        <w:contextualSpacing/>
        <w:mirrorIndents/>
        <w:rPr>
          <w:i/>
          <w:color w:val="auto"/>
        </w:rPr>
      </w:pPr>
      <w:r w:rsidRPr="008C01A6">
        <w:rPr>
          <w:color w:val="auto"/>
        </w:rPr>
        <w:tab/>
      </w:r>
      <w:r w:rsidR="00C93E4D" w:rsidRPr="008C01A6">
        <w:rPr>
          <w:color w:val="auto"/>
        </w:rPr>
        <w:t xml:space="preserve">Courts have consistently interpreted the </w:t>
      </w:r>
      <w:r w:rsidR="00031325" w:rsidRPr="008C01A6">
        <w:rPr>
          <w:color w:val="auto"/>
        </w:rPr>
        <w:t>phrase</w:t>
      </w:r>
      <w:r w:rsidR="00C93E4D" w:rsidRPr="008C01A6">
        <w:rPr>
          <w:color w:val="auto"/>
        </w:rPr>
        <w:t xml:space="preserve"> “</w:t>
      </w:r>
      <w:r w:rsidR="00186993" w:rsidRPr="008C01A6">
        <w:rPr>
          <w:color w:val="auto"/>
        </w:rPr>
        <w:t xml:space="preserve">by </w:t>
      </w:r>
      <w:r w:rsidR="00C93E4D" w:rsidRPr="008C01A6">
        <w:rPr>
          <w:color w:val="auto"/>
        </w:rPr>
        <w:t xml:space="preserve">any </w:t>
      </w:r>
      <w:r w:rsidR="00A05E4D" w:rsidRPr="008C01A6">
        <w:rPr>
          <w:color w:val="auto"/>
        </w:rPr>
        <w:t xml:space="preserve">other means authorized by law” </w:t>
      </w:r>
      <w:r w:rsidR="008E11C0" w:rsidRPr="008C01A6">
        <w:rPr>
          <w:color w:val="auto"/>
        </w:rPr>
        <w:t>in Title VI</w:t>
      </w:r>
      <w:r w:rsidR="00A040A9" w:rsidRPr="008C01A6">
        <w:rPr>
          <w:color w:val="auto"/>
        </w:rPr>
        <w:t xml:space="preserve"> </w:t>
      </w:r>
      <w:r w:rsidR="00C93E4D" w:rsidRPr="008C01A6">
        <w:rPr>
          <w:color w:val="auto"/>
        </w:rPr>
        <w:t>as providing enforcement author</w:t>
      </w:r>
      <w:r w:rsidR="00D52BF0" w:rsidRPr="008C01A6">
        <w:rPr>
          <w:color w:val="auto"/>
        </w:rPr>
        <w:t>ity to the Attorney General</w:t>
      </w:r>
      <w:r w:rsidR="007B4D61" w:rsidRPr="008C01A6">
        <w:rPr>
          <w:color w:val="auto"/>
        </w:rPr>
        <w:t xml:space="preserve"> </w:t>
      </w:r>
      <w:r w:rsidR="00031325" w:rsidRPr="008C01A6">
        <w:rPr>
          <w:color w:val="auto"/>
        </w:rPr>
        <w:t>to file an action in federal court</w:t>
      </w:r>
      <w:r w:rsidR="00175172" w:rsidRPr="008C01A6">
        <w:rPr>
          <w:color w:val="auto"/>
        </w:rPr>
        <w:t>.</w:t>
      </w:r>
      <w:r w:rsidR="00186993" w:rsidRPr="008C01A6">
        <w:rPr>
          <w:color w:val="auto"/>
        </w:rPr>
        <w:t xml:space="preserve"> </w:t>
      </w:r>
      <w:r w:rsidR="00C93E4D" w:rsidRPr="008C01A6">
        <w:rPr>
          <w:i/>
          <w:iCs/>
          <w:color w:val="auto"/>
        </w:rPr>
        <w:t>See, e.g.</w:t>
      </w:r>
      <w:r w:rsidR="00C93E4D" w:rsidRPr="008C01A6">
        <w:rPr>
          <w:color w:val="auto"/>
        </w:rPr>
        <w:t xml:space="preserve">, </w:t>
      </w:r>
      <w:r w:rsidR="00C93E4D" w:rsidRPr="008C01A6">
        <w:rPr>
          <w:i/>
          <w:iCs/>
          <w:color w:val="auto"/>
        </w:rPr>
        <w:t xml:space="preserve">Nat’l Black Police Ass’n, Inc. v. </w:t>
      </w:r>
      <w:proofErr w:type="spellStart"/>
      <w:r w:rsidR="00C93E4D" w:rsidRPr="008C01A6">
        <w:rPr>
          <w:i/>
          <w:iCs/>
          <w:color w:val="auto"/>
        </w:rPr>
        <w:t>Velde</w:t>
      </w:r>
      <w:proofErr w:type="spellEnd"/>
      <w:r w:rsidR="00C93E4D" w:rsidRPr="008C01A6">
        <w:rPr>
          <w:color w:val="auto"/>
        </w:rPr>
        <w:t xml:space="preserve">, 712 F.2d 569, 575 (D.C. Cir. 1983) (“Title VI clearly tolerates other enforcement schemes [besides termination of federal funding]” including “referral of cases to the Attorney General, who may bring an action”); </w:t>
      </w:r>
      <w:r w:rsidR="00C93E4D" w:rsidRPr="008C01A6">
        <w:rPr>
          <w:i/>
          <w:iCs/>
          <w:color w:val="auto"/>
        </w:rPr>
        <w:t xml:space="preserve">United States v. </w:t>
      </w:r>
      <w:r w:rsidR="00A14D22" w:rsidRPr="008C01A6">
        <w:rPr>
          <w:i/>
          <w:iCs/>
          <w:color w:val="auto"/>
        </w:rPr>
        <w:t xml:space="preserve">County of </w:t>
      </w:r>
      <w:r w:rsidR="00C93E4D" w:rsidRPr="008C01A6">
        <w:rPr>
          <w:i/>
          <w:iCs/>
          <w:color w:val="auto"/>
        </w:rPr>
        <w:t>Maricopa</w:t>
      </w:r>
      <w:r w:rsidR="00C93E4D" w:rsidRPr="008C01A6">
        <w:rPr>
          <w:color w:val="auto"/>
        </w:rPr>
        <w:t xml:space="preserve">, </w:t>
      </w:r>
      <w:r w:rsidR="005A4077" w:rsidRPr="008C01A6">
        <w:rPr>
          <w:color w:val="auto"/>
        </w:rPr>
        <w:t xml:space="preserve">151 F. Supp. 3d 998, 118-119 </w:t>
      </w:r>
      <w:r w:rsidR="00C93E4D" w:rsidRPr="008C01A6">
        <w:rPr>
          <w:color w:val="auto"/>
        </w:rPr>
        <w:t xml:space="preserve">(D. Ariz. 2015) </w:t>
      </w:r>
      <w:r w:rsidR="00781F56" w:rsidRPr="008C01A6">
        <w:rPr>
          <w:color w:val="auto"/>
        </w:rPr>
        <w:t>(</w:t>
      </w:r>
      <w:r w:rsidR="00F06A2C" w:rsidRPr="008C01A6">
        <w:rPr>
          <w:color w:val="auto"/>
        </w:rPr>
        <w:t>Title VI’s “</w:t>
      </w:r>
      <w:r w:rsidR="005A4077" w:rsidRPr="008C01A6">
        <w:rPr>
          <w:color w:val="auto"/>
        </w:rPr>
        <w:t xml:space="preserve">any other means authorized by law” </w:t>
      </w:r>
      <w:r w:rsidR="00F06A2C" w:rsidRPr="008C01A6">
        <w:rPr>
          <w:color w:val="auto"/>
        </w:rPr>
        <w:t>provision</w:t>
      </w:r>
      <w:r w:rsidR="00C93E4D" w:rsidRPr="008C01A6">
        <w:rPr>
          <w:color w:val="auto"/>
        </w:rPr>
        <w:t xml:space="preserve"> </w:t>
      </w:r>
      <w:r w:rsidR="005A4077" w:rsidRPr="008C01A6">
        <w:rPr>
          <w:color w:val="auto"/>
        </w:rPr>
        <w:t xml:space="preserve">empowers </w:t>
      </w:r>
      <w:r w:rsidR="00C93E4D" w:rsidRPr="008C01A6">
        <w:rPr>
          <w:color w:val="auto"/>
        </w:rPr>
        <w:t xml:space="preserve">the United States to bring suit); </w:t>
      </w:r>
      <w:r w:rsidR="00393120" w:rsidRPr="008C01A6">
        <w:rPr>
          <w:i/>
          <w:color w:val="auto"/>
        </w:rPr>
        <w:t xml:space="preserve">United States v. Tatum </w:t>
      </w:r>
      <w:proofErr w:type="spellStart"/>
      <w:r w:rsidR="00393120" w:rsidRPr="008C01A6">
        <w:rPr>
          <w:i/>
          <w:color w:val="auto"/>
        </w:rPr>
        <w:t>Indep</w:t>
      </w:r>
      <w:proofErr w:type="spellEnd"/>
      <w:r w:rsidR="00393120" w:rsidRPr="008C01A6">
        <w:rPr>
          <w:i/>
          <w:color w:val="auto"/>
        </w:rPr>
        <w:t>. Sch. Dist</w:t>
      </w:r>
      <w:r w:rsidR="00393120" w:rsidRPr="008C01A6">
        <w:rPr>
          <w:color w:val="auto"/>
        </w:rPr>
        <w:t>., 306 F. Supp. 285, 288 (E.D. Tex. 1969)</w:t>
      </w:r>
      <w:r w:rsidR="00F06A2C" w:rsidRPr="008C01A6">
        <w:rPr>
          <w:color w:val="auto"/>
        </w:rPr>
        <w:t xml:space="preserve"> (</w:t>
      </w:r>
      <w:r w:rsidR="00393120" w:rsidRPr="008C01A6">
        <w:rPr>
          <w:color w:val="auto"/>
        </w:rPr>
        <w:t>“</w:t>
      </w:r>
      <w:r w:rsidR="007B4D61" w:rsidRPr="008C01A6">
        <w:rPr>
          <w:color w:val="auto"/>
        </w:rPr>
        <w:t>[t]</w:t>
      </w:r>
      <w:r w:rsidR="00393120" w:rsidRPr="008C01A6">
        <w:rPr>
          <w:color w:val="auto"/>
        </w:rPr>
        <w:t>he United States is authorized to bring this action under Title VI of the Civil Rights Act of 1964, and its implementing regulations, 45 C.F.R. 80.8(a)”)</w:t>
      </w:r>
      <w:r w:rsidR="00A040A9" w:rsidRPr="008C01A6">
        <w:rPr>
          <w:i/>
          <w:iCs/>
          <w:color w:val="auto"/>
        </w:rPr>
        <w:t xml:space="preserve">. </w:t>
      </w:r>
      <w:r w:rsidR="00A040A9" w:rsidRPr="008C01A6">
        <w:rPr>
          <w:color w:val="auto"/>
        </w:rPr>
        <w:t>Courts have also interpreted statutes with enforcement provisions modeled on Title VI in the same way.</w:t>
      </w:r>
      <w:r w:rsidR="008E11C0" w:rsidRPr="008C01A6">
        <w:rPr>
          <w:i/>
          <w:iCs/>
          <w:color w:val="auto"/>
        </w:rPr>
        <w:t xml:space="preserve"> </w:t>
      </w:r>
      <w:r w:rsidR="00C462A9" w:rsidRPr="008C01A6">
        <w:rPr>
          <w:i/>
          <w:iCs/>
        </w:rPr>
        <w:t>United States v. Baylor Univ. Med</w:t>
      </w:r>
      <w:r w:rsidR="00A14D22" w:rsidRPr="008C01A6">
        <w:rPr>
          <w:i/>
          <w:iCs/>
        </w:rPr>
        <w:t>.</w:t>
      </w:r>
      <w:r w:rsidR="00C462A9" w:rsidRPr="008C01A6">
        <w:rPr>
          <w:i/>
          <w:iCs/>
        </w:rPr>
        <w:t xml:space="preserve"> C</w:t>
      </w:r>
      <w:r w:rsidR="00A14D22" w:rsidRPr="008C01A6">
        <w:rPr>
          <w:i/>
          <w:iCs/>
        </w:rPr>
        <w:t>tr.</w:t>
      </w:r>
      <w:r w:rsidR="00C462A9" w:rsidRPr="008C01A6">
        <w:t xml:space="preserve">, 736 F.2d 1039, 1050 (5th Cir. 1984) (“We do not mean to imply that a federal agency seeking to enforce antidiscrimination provisions of </w:t>
      </w:r>
      <w:r w:rsidR="002F5AA9" w:rsidRPr="008C01A6">
        <w:t>[the Rehabilitation Act</w:t>
      </w:r>
      <w:r w:rsidR="00C462A9" w:rsidRPr="008C01A6">
        <w:t>] must resort to administrative remedies. The statute expressly states otherwise: an agency may resort to ‘any other means authorized by law’—including the federal c</w:t>
      </w:r>
      <w:r w:rsidR="008E11C0" w:rsidRPr="008C01A6">
        <w:t xml:space="preserve">ourts.”); </w:t>
      </w:r>
      <w:r w:rsidR="008E11C0" w:rsidRPr="008C01A6">
        <w:rPr>
          <w:i/>
          <w:iCs/>
          <w:color w:val="auto"/>
        </w:rPr>
        <w:t>United States v. Miami Univ.</w:t>
      </w:r>
      <w:r w:rsidR="008E11C0" w:rsidRPr="008C01A6">
        <w:rPr>
          <w:iCs/>
          <w:color w:val="auto"/>
        </w:rPr>
        <w:t xml:space="preserve">, 294 F.3d 797, 808 (6th Cir. </w:t>
      </w:r>
      <w:r w:rsidR="00F06A2C" w:rsidRPr="008C01A6">
        <w:rPr>
          <w:iCs/>
          <w:color w:val="auto"/>
        </w:rPr>
        <w:t>2002) (t</w:t>
      </w:r>
      <w:r w:rsidR="008E11C0" w:rsidRPr="008C01A6">
        <w:rPr>
          <w:iCs/>
          <w:color w:val="auto"/>
        </w:rPr>
        <w:t>he statutory language “take any other action authorized by law . . . expressly permits the Secretary to bring suit to enforce the [Family Educational Rights and Privacy Act] conditions in lieu of its administrative remedies.”)</w:t>
      </w:r>
      <w:r w:rsidR="00393120" w:rsidRPr="008C01A6">
        <w:rPr>
          <w:color w:val="auto"/>
        </w:rPr>
        <w:t>.</w:t>
      </w:r>
      <w:r w:rsidR="008E11C0" w:rsidRPr="008C01A6">
        <w:rPr>
          <w:i/>
          <w:iCs/>
          <w:color w:val="auto"/>
        </w:rPr>
        <w:t xml:space="preserve"> </w:t>
      </w:r>
    </w:p>
    <w:p w:rsidR="00B52105" w:rsidRPr="008C01A6" w:rsidRDefault="00E87426">
      <w:pPr>
        <w:pStyle w:val="Default"/>
        <w:spacing w:line="480" w:lineRule="auto"/>
        <w:mirrorIndents/>
        <w:rPr>
          <w:color w:val="auto"/>
        </w:rPr>
      </w:pPr>
      <w:r w:rsidRPr="008C01A6">
        <w:rPr>
          <w:color w:val="auto"/>
        </w:rPr>
        <w:tab/>
        <w:t>I</w:t>
      </w:r>
      <w:r w:rsidR="00140FCD" w:rsidRPr="008C01A6">
        <w:rPr>
          <w:color w:val="auto"/>
        </w:rPr>
        <w:t xml:space="preserve">ndeed, the reason there are not more cases </w:t>
      </w:r>
      <w:r w:rsidR="008F0645" w:rsidRPr="008C01A6">
        <w:rPr>
          <w:color w:val="auto"/>
        </w:rPr>
        <w:t xml:space="preserve">addressing </w:t>
      </w:r>
      <w:r w:rsidR="00140FCD" w:rsidRPr="008C01A6">
        <w:rPr>
          <w:color w:val="auto"/>
        </w:rPr>
        <w:t xml:space="preserve">the </w:t>
      </w:r>
      <w:r w:rsidR="0026715D" w:rsidRPr="008C01A6">
        <w:rPr>
          <w:color w:val="auto"/>
        </w:rPr>
        <w:t xml:space="preserve">Attorney General’s right to sue </w:t>
      </w:r>
      <w:r w:rsidR="00140FCD" w:rsidRPr="008C01A6">
        <w:rPr>
          <w:color w:val="auto"/>
        </w:rPr>
        <w:t>is that t</w:t>
      </w:r>
      <w:r w:rsidRPr="008C01A6">
        <w:rPr>
          <w:color w:val="auto"/>
        </w:rPr>
        <w:t xml:space="preserve">he point </w:t>
      </w:r>
      <w:r w:rsidR="004D06A2" w:rsidRPr="008C01A6">
        <w:rPr>
          <w:color w:val="auto"/>
        </w:rPr>
        <w:t>ha</w:t>
      </w:r>
      <w:r w:rsidRPr="008C01A6">
        <w:rPr>
          <w:color w:val="auto"/>
        </w:rPr>
        <w:t>s</w:t>
      </w:r>
      <w:r w:rsidR="004D06A2" w:rsidRPr="008C01A6">
        <w:rPr>
          <w:color w:val="auto"/>
        </w:rPr>
        <w:t xml:space="preserve"> been</w:t>
      </w:r>
      <w:r w:rsidRPr="008C01A6">
        <w:rPr>
          <w:color w:val="auto"/>
        </w:rPr>
        <w:t xml:space="preserve"> so well-established as </w:t>
      </w:r>
      <w:r w:rsidR="00140FCD" w:rsidRPr="008C01A6">
        <w:rPr>
          <w:color w:val="auto"/>
        </w:rPr>
        <w:t xml:space="preserve">to be beyond controversy. </w:t>
      </w:r>
      <w:r w:rsidR="00247292">
        <w:rPr>
          <w:color w:val="auto"/>
        </w:rPr>
        <w:t>F</w:t>
      </w:r>
      <w:r w:rsidRPr="008C01A6">
        <w:rPr>
          <w:color w:val="auto"/>
        </w:rPr>
        <w:t xml:space="preserve">or decades, courts have </w:t>
      </w:r>
      <w:r w:rsidR="00AF370C" w:rsidRPr="008C01A6">
        <w:rPr>
          <w:color w:val="auto"/>
        </w:rPr>
        <w:t xml:space="preserve">found </w:t>
      </w:r>
      <w:r w:rsidRPr="008C01A6">
        <w:rPr>
          <w:color w:val="auto"/>
        </w:rPr>
        <w:t xml:space="preserve">that the federal government has </w:t>
      </w:r>
      <w:r w:rsidR="00B56D61" w:rsidRPr="008C01A6">
        <w:rPr>
          <w:color w:val="auto"/>
        </w:rPr>
        <w:t>authority to litigate</w:t>
      </w:r>
      <w:r w:rsidRPr="008C01A6">
        <w:rPr>
          <w:color w:val="auto"/>
        </w:rPr>
        <w:t xml:space="preserve"> to enforce Title VI’s prohibition on discrimination in programs receiving federal funding. </w:t>
      </w:r>
      <w:r w:rsidR="006C63F1">
        <w:rPr>
          <w:rStyle w:val="cosearchdetaillevel1"/>
          <w:i/>
        </w:rPr>
        <w:t xml:space="preserve">See </w:t>
      </w:r>
      <w:r w:rsidR="006C63F1">
        <w:rPr>
          <w:rStyle w:val="cosearchdetaillevel1"/>
          <w:i/>
          <w:iCs/>
        </w:rPr>
        <w:t xml:space="preserve">Brown v. </w:t>
      </w:r>
      <w:proofErr w:type="spellStart"/>
      <w:r w:rsidR="006C63F1">
        <w:rPr>
          <w:rStyle w:val="cosearchdetaillevel1"/>
          <w:i/>
          <w:iCs/>
        </w:rPr>
        <w:t>Califano</w:t>
      </w:r>
      <w:proofErr w:type="spellEnd"/>
      <w:r w:rsidR="006C63F1">
        <w:rPr>
          <w:rStyle w:val="cosearchdetaillevel1"/>
        </w:rPr>
        <w:t xml:space="preserve">, 627 F.2d 1221, 1232 (D.C. Cir. 1980) (noting, in a Title VI case, the importance of the Attorney General’s “authority . . . to initiate enforcement </w:t>
      </w:r>
      <w:proofErr w:type="gramStart"/>
      <w:r w:rsidR="006C63F1">
        <w:rPr>
          <w:rStyle w:val="cosearchdetaillevel1"/>
        </w:rPr>
        <w:t>actions .</w:t>
      </w:r>
      <w:proofErr w:type="gramEnd"/>
      <w:r w:rsidR="006C63F1">
        <w:rPr>
          <w:rStyle w:val="cosearchdetaillevel1"/>
        </w:rPr>
        <w:t xml:space="preserve"> . . [and] the Department [of Justice’s] historic role in civil rights enforcement.”). </w:t>
      </w:r>
      <w:r w:rsidRPr="008C01A6">
        <w:rPr>
          <w:color w:val="auto"/>
        </w:rPr>
        <w:t xml:space="preserve">The question that preoccupied courts was whether private parties, </w:t>
      </w:r>
      <w:r w:rsidRPr="008C01A6">
        <w:rPr>
          <w:i/>
          <w:color w:val="auto"/>
        </w:rPr>
        <w:t>in addition to the</w:t>
      </w:r>
      <w:r w:rsidRPr="008C01A6">
        <w:rPr>
          <w:color w:val="auto"/>
        </w:rPr>
        <w:t xml:space="preserve"> </w:t>
      </w:r>
      <w:r w:rsidRPr="008C01A6">
        <w:rPr>
          <w:i/>
          <w:color w:val="auto"/>
        </w:rPr>
        <w:t>United States</w:t>
      </w:r>
      <w:r w:rsidRPr="008C01A6">
        <w:rPr>
          <w:color w:val="auto"/>
        </w:rPr>
        <w:t xml:space="preserve">, had a cause of action. </w:t>
      </w:r>
      <w:r w:rsidRPr="008C01A6">
        <w:rPr>
          <w:i/>
          <w:color w:val="auto"/>
        </w:rPr>
        <w:t>See, e.g.</w:t>
      </w:r>
      <w:r w:rsidRPr="008C01A6">
        <w:rPr>
          <w:color w:val="auto"/>
        </w:rPr>
        <w:t xml:space="preserve">, </w:t>
      </w:r>
      <w:r w:rsidRPr="008C01A6">
        <w:rPr>
          <w:i/>
          <w:color w:val="auto"/>
        </w:rPr>
        <w:t>Alexander v. Sandoval</w:t>
      </w:r>
      <w:r w:rsidRPr="008C01A6">
        <w:rPr>
          <w:color w:val="auto"/>
        </w:rPr>
        <w:t>, 532 U.S. 275, 289 (2001) (emphasizing that</w:t>
      </w:r>
      <w:r w:rsidR="00747AD3" w:rsidRPr="008C01A6">
        <w:rPr>
          <w:color w:val="auto"/>
        </w:rPr>
        <w:t xml:space="preserve"> Title VI’s enforcement provision</w:t>
      </w:r>
      <w:r w:rsidR="0026715D" w:rsidRPr="008C01A6">
        <w:rPr>
          <w:color w:val="auto"/>
        </w:rPr>
        <w:t xml:space="preserve"> </w:t>
      </w:r>
      <w:r w:rsidRPr="008C01A6">
        <w:rPr>
          <w:color w:val="auto"/>
        </w:rPr>
        <w:t xml:space="preserve">focuses on enforcement by federal agencies, not private parties); </w:t>
      </w:r>
      <w:r w:rsidRPr="008C01A6">
        <w:rPr>
          <w:i/>
        </w:rPr>
        <w:t>Cannon v. Univ. of Chicago</w:t>
      </w:r>
      <w:r w:rsidRPr="008C01A6">
        <w:t xml:space="preserve">, 441 U.S. 677, 722 </w:t>
      </w:r>
      <w:r w:rsidR="003E6C84" w:rsidRPr="008C01A6">
        <w:t xml:space="preserve">&amp; n.9 </w:t>
      </w:r>
      <w:r w:rsidRPr="008C01A6">
        <w:t xml:space="preserve">(1979) (White, J., dissenting) (disagreeing with the Court regarding whether civil rights law modeled on Title VI allowed </w:t>
      </w:r>
      <w:r w:rsidRPr="008C01A6">
        <w:rPr>
          <w:i/>
        </w:rPr>
        <w:t xml:space="preserve">private </w:t>
      </w:r>
      <w:r w:rsidRPr="008C01A6">
        <w:t>lawsuits, but noting that federal agencies</w:t>
      </w:r>
      <w:r w:rsidRPr="008C01A6">
        <w:rPr>
          <w:i/>
        </w:rPr>
        <w:t xml:space="preserve"> </w:t>
      </w:r>
      <w:r w:rsidRPr="008C01A6">
        <w:rPr>
          <w:color w:val="auto"/>
        </w:rPr>
        <w:t xml:space="preserve">could of course bring actions </w:t>
      </w:r>
      <w:r w:rsidR="007B4D61" w:rsidRPr="008C01A6">
        <w:rPr>
          <w:color w:val="auto"/>
        </w:rPr>
        <w:t>to enforce</w:t>
      </w:r>
      <w:r w:rsidR="00031CC5" w:rsidRPr="008C01A6">
        <w:rPr>
          <w:color w:val="auto"/>
        </w:rPr>
        <w:t xml:space="preserve"> Title VI)</w:t>
      </w:r>
      <w:r w:rsidR="002F5AA9" w:rsidRPr="008C01A6">
        <w:rPr>
          <w:color w:val="auto"/>
        </w:rPr>
        <w:t xml:space="preserve">. </w:t>
      </w:r>
    </w:p>
    <w:p w:rsidR="00B52105" w:rsidRPr="008C01A6" w:rsidRDefault="002F5AA9" w:rsidP="00B52105">
      <w:pPr>
        <w:pStyle w:val="Default"/>
        <w:spacing w:line="480" w:lineRule="auto"/>
        <w:mirrorIndents/>
      </w:pPr>
      <w:r w:rsidRPr="008C01A6">
        <w:rPr>
          <w:color w:val="auto"/>
        </w:rPr>
        <w:tab/>
      </w:r>
      <w:r w:rsidR="00CF4F56" w:rsidRPr="008C01A6">
        <w:rPr>
          <w:color w:val="auto"/>
        </w:rPr>
        <w:t xml:space="preserve">The regulations implementing Title VI </w:t>
      </w:r>
      <w:r w:rsidR="00747AD3" w:rsidRPr="008C01A6">
        <w:rPr>
          <w:color w:val="auto"/>
        </w:rPr>
        <w:t>likewise</w:t>
      </w:r>
      <w:r w:rsidR="007656DC" w:rsidRPr="008C01A6">
        <w:rPr>
          <w:color w:val="auto"/>
        </w:rPr>
        <w:t xml:space="preserve"> </w:t>
      </w:r>
      <w:r w:rsidR="00DE38A3" w:rsidRPr="008C01A6">
        <w:rPr>
          <w:color w:val="auto"/>
        </w:rPr>
        <w:t xml:space="preserve">have specified since their inception </w:t>
      </w:r>
      <w:r w:rsidR="007656DC" w:rsidRPr="008C01A6">
        <w:rPr>
          <w:color w:val="auto"/>
        </w:rPr>
        <w:t xml:space="preserve">that the </w:t>
      </w:r>
      <w:r w:rsidR="002173FB" w:rsidRPr="008C01A6">
        <w:rPr>
          <w:color w:val="auto"/>
        </w:rPr>
        <w:t>Attorney General</w:t>
      </w:r>
      <w:r w:rsidR="00C462A9" w:rsidRPr="008C01A6">
        <w:rPr>
          <w:color w:val="auto"/>
        </w:rPr>
        <w:t xml:space="preserve"> has a right of action to sue to enforce Title VI</w:t>
      </w:r>
      <w:r w:rsidR="00CF4F56" w:rsidRPr="008C01A6">
        <w:rPr>
          <w:color w:val="auto"/>
        </w:rPr>
        <w:t>.</w:t>
      </w:r>
      <w:r w:rsidR="00175172" w:rsidRPr="008C01A6">
        <w:rPr>
          <w:color w:val="auto"/>
        </w:rPr>
        <w:t xml:space="preserve"> </w:t>
      </w:r>
      <w:r w:rsidRPr="008C01A6">
        <w:rPr>
          <w:color w:val="auto"/>
        </w:rPr>
        <w:t xml:space="preserve">Numerous agencies provide federal funding, and thus numerous agencies enforce Title VI and </w:t>
      </w:r>
      <w:r w:rsidR="00201ABE" w:rsidRPr="008C01A6">
        <w:rPr>
          <w:color w:val="auto"/>
        </w:rPr>
        <w:t xml:space="preserve">have </w:t>
      </w:r>
      <w:r w:rsidRPr="008C01A6">
        <w:rPr>
          <w:color w:val="auto"/>
        </w:rPr>
        <w:t>issue</w:t>
      </w:r>
      <w:r w:rsidR="00201ABE" w:rsidRPr="008C01A6">
        <w:rPr>
          <w:color w:val="auto"/>
        </w:rPr>
        <w:t>d</w:t>
      </w:r>
      <w:r w:rsidRPr="008C01A6">
        <w:rPr>
          <w:color w:val="auto"/>
        </w:rPr>
        <w:t xml:space="preserve"> implementing regulations</w:t>
      </w:r>
      <w:r w:rsidR="00FE1CAE" w:rsidRPr="008C01A6">
        <w:rPr>
          <w:color w:val="auto"/>
        </w:rPr>
        <w:t xml:space="preserve">. </w:t>
      </w:r>
      <w:r w:rsidR="00201ABE" w:rsidRPr="008C01A6">
        <w:rPr>
          <w:color w:val="auto"/>
        </w:rPr>
        <w:t xml:space="preserve">The same year Title VI was passed, </w:t>
      </w:r>
      <w:r w:rsidR="00B01977" w:rsidRPr="008C01A6">
        <w:rPr>
          <w:color w:val="auto"/>
        </w:rPr>
        <w:t>six federal agencies promulgated</w:t>
      </w:r>
      <w:r w:rsidR="00F06A2C" w:rsidRPr="008C01A6">
        <w:rPr>
          <w:color w:val="auto"/>
        </w:rPr>
        <w:t xml:space="preserve"> </w:t>
      </w:r>
      <w:r w:rsidR="00B01977" w:rsidRPr="008C01A6">
        <w:rPr>
          <w:color w:val="auto"/>
        </w:rPr>
        <w:t>regulations</w:t>
      </w:r>
      <w:r w:rsidR="000320D1" w:rsidRPr="008C01A6">
        <w:rPr>
          <w:color w:val="auto"/>
        </w:rPr>
        <w:t xml:space="preserve"> (all still in force</w:t>
      </w:r>
      <w:r w:rsidR="003F180B" w:rsidRPr="008C01A6">
        <w:rPr>
          <w:color w:val="auto"/>
        </w:rPr>
        <w:t xml:space="preserve"> today</w:t>
      </w:r>
      <w:r w:rsidR="000320D1" w:rsidRPr="008C01A6">
        <w:rPr>
          <w:color w:val="auto"/>
        </w:rPr>
        <w:t>)</w:t>
      </w:r>
      <w:r w:rsidR="00B01977" w:rsidRPr="008C01A6">
        <w:rPr>
          <w:color w:val="auto"/>
        </w:rPr>
        <w:t xml:space="preserve"> </w:t>
      </w:r>
      <w:r w:rsidR="00201ABE" w:rsidRPr="008C01A6">
        <w:t xml:space="preserve">providing that the enforcement mechanisms for Title VI “include, but are not limited to . . . a reference to the Department of Justice with a recommendation that appropriate proceedings be brought to enforce any rights of the United States under any law of the United States (including other titles of the Act), or any assurance or other contractual undertaking.” </w:t>
      </w:r>
      <w:proofErr w:type="gramStart"/>
      <w:r w:rsidR="00B52105" w:rsidRPr="008C01A6">
        <w:rPr>
          <w:i/>
        </w:rPr>
        <w:t>See, e.g.</w:t>
      </w:r>
      <w:r w:rsidR="00A14D22" w:rsidRPr="008C01A6">
        <w:t>, 29 Fed.</w:t>
      </w:r>
      <w:proofErr w:type="gramEnd"/>
      <w:r w:rsidR="00A14D22" w:rsidRPr="008C01A6">
        <w:t xml:space="preserve"> Reg. 16,2</w:t>
      </w:r>
      <w:r w:rsidR="000A3ABB" w:rsidRPr="008C01A6">
        <w:t>98, 16,301</w:t>
      </w:r>
      <w:r w:rsidR="00B52105" w:rsidRPr="008C01A6">
        <w:t xml:space="preserve"> (Dec. 4, 1964) (now codified at </w:t>
      </w:r>
      <w:r w:rsidR="00B52105" w:rsidRPr="008C01A6">
        <w:rPr>
          <w:rStyle w:val="cosearchdetaillevel1"/>
        </w:rPr>
        <w:t>45 C.F.R. §</w:t>
      </w:r>
      <w:r w:rsidR="000A3ABB" w:rsidRPr="008C01A6">
        <w:rPr>
          <w:rStyle w:val="cosearchdetaillevel1"/>
        </w:rPr>
        <w:t> </w:t>
      </w:r>
      <w:r w:rsidR="00B52105" w:rsidRPr="008C01A6">
        <w:rPr>
          <w:rStyle w:val="cosearchdetaillevel1"/>
        </w:rPr>
        <w:t xml:space="preserve">80.8); </w:t>
      </w:r>
      <w:r w:rsidR="00B52105" w:rsidRPr="008C01A6">
        <w:rPr>
          <w:rStyle w:val="cosearchdetaillevel1"/>
          <w:i/>
        </w:rPr>
        <w:t>see also</w:t>
      </w:r>
      <w:r w:rsidR="00A14D22" w:rsidRPr="008C01A6">
        <w:rPr>
          <w:rStyle w:val="cosearchdetaillevel1"/>
        </w:rPr>
        <w:t xml:space="preserve"> 29 Fed. </w:t>
      </w:r>
      <w:proofErr w:type="gramStart"/>
      <w:r w:rsidR="00A14D22" w:rsidRPr="008C01A6">
        <w:rPr>
          <w:rStyle w:val="cosearchdetaillevel1"/>
        </w:rPr>
        <w:t>Reg. 16,2</w:t>
      </w:r>
      <w:r w:rsidR="000A3ABB" w:rsidRPr="008C01A6">
        <w:rPr>
          <w:rStyle w:val="cosearchdetaillevel1"/>
        </w:rPr>
        <w:t>74</w:t>
      </w:r>
      <w:r w:rsidR="00A14D22" w:rsidRPr="008C01A6">
        <w:rPr>
          <w:rStyle w:val="cosearchdetaillevel1"/>
        </w:rPr>
        <w:t>-16,309</w:t>
      </w:r>
      <w:r w:rsidR="00B52105" w:rsidRPr="008C01A6">
        <w:rPr>
          <w:rStyle w:val="cosearchdetaillevel1"/>
        </w:rPr>
        <w:t xml:space="preserve"> (Dec</w:t>
      </w:r>
      <w:r w:rsidR="00EE13BB">
        <w:rPr>
          <w:rStyle w:val="cosearchdetaillevel1"/>
        </w:rPr>
        <w:t>.</w:t>
      </w:r>
      <w:r w:rsidR="00B52105" w:rsidRPr="008C01A6">
        <w:rPr>
          <w:rStyle w:val="cosearchdetaillevel1"/>
        </w:rPr>
        <w:t xml:space="preserve"> 4, 1964)</w:t>
      </w:r>
      <w:r w:rsidR="008B0598" w:rsidRPr="008C01A6">
        <w:t>.</w:t>
      </w:r>
      <w:proofErr w:type="gramEnd"/>
      <w:r w:rsidR="00087586" w:rsidRPr="008C01A6">
        <w:t xml:space="preserve"> </w:t>
      </w:r>
      <w:r w:rsidRPr="008C01A6">
        <w:rPr>
          <w:color w:val="auto"/>
        </w:rPr>
        <w:t xml:space="preserve">In addition, pursuant to </w:t>
      </w:r>
      <w:r w:rsidR="00140FCD" w:rsidRPr="008C01A6">
        <w:rPr>
          <w:color w:val="auto"/>
        </w:rPr>
        <w:t xml:space="preserve">an </w:t>
      </w:r>
      <w:r w:rsidRPr="008C01A6">
        <w:rPr>
          <w:color w:val="auto"/>
        </w:rPr>
        <w:t xml:space="preserve">Executive Order, the Department of Justice </w:t>
      </w:r>
      <w:r w:rsidR="008756AD" w:rsidRPr="008C01A6">
        <w:rPr>
          <w:color w:val="auto"/>
        </w:rPr>
        <w:t>in</w:t>
      </w:r>
      <w:r w:rsidRPr="008C01A6">
        <w:rPr>
          <w:color w:val="auto"/>
        </w:rPr>
        <w:t xml:space="preserve"> 1965 </w:t>
      </w:r>
      <w:r w:rsidR="008756AD" w:rsidRPr="008C01A6">
        <w:rPr>
          <w:color w:val="auto"/>
        </w:rPr>
        <w:t>was</w:t>
      </w:r>
      <w:r w:rsidR="00201ABE" w:rsidRPr="008C01A6">
        <w:rPr>
          <w:color w:val="auto"/>
        </w:rPr>
        <w:t xml:space="preserve"> assigned the task of “coordinating” the implementation and enforcement of </w:t>
      </w:r>
      <w:r w:rsidRPr="008C01A6">
        <w:rPr>
          <w:color w:val="auto"/>
        </w:rPr>
        <w:t>Title VI across the federal government</w:t>
      </w:r>
      <w:r w:rsidR="007656DC" w:rsidRPr="008C01A6">
        <w:rPr>
          <w:color w:val="auto"/>
        </w:rPr>
        <w:t xml:space="preserve">. </w:t>
      </w:r>
      <w:r w:rsidR="00C462A9" w:rsidRPr="008C01A6">
        <w:rPr>
          <w:i/>
          <w:color w:val="auto"/>
        </w:rPr>
        <w:t xml:space="preserve">See </w:t>
      </w:r>
      <w:r w:rsidRPr="008C01A6">
        <w:rPr>
          <w:color w:val="auto"/>
        </w:rPr>
        <w:t>Exec. Order No. 11,247, 30 Fed. Reg. 12,327 (Sept. 2</w:t>
      </w:r>
      <w:r w:rsidR="000A3ABB" w:rsidRPr="008C01A6">
        <w:rPr>
          <w:color w:val="auto"/>
        </w:rPr>
        <w:t>8</w:t>
      </w:r>
      <w:r w:rsidRPr="008C01A6">
        <w:rPr>
          <w:color w:val="auto"/>
        </w:rPr>
        <w:t>, 1965).</w:t>
      </w:r>
      <w:r w:rsidR="00070999" w:rsidRPr="008C01A6">
        <w:rPr>
          <w:color w:val="auto"/>
        </w:rPr>
        <w:t xml:space="preserve"> </w:t>
      </w:r>
      <w:r w:rsidR="00BE08E0" w:rsidRPr="008C01A6">
        <w:rPr>
          <w:color w:val="auto"/>
        </w:rPr>
        <w:t xml:space="preserve">Exercising that authority, </w:t>
      </w:r>
      <w:r w:rsidR="00BE08E0" w:rsidRPr="008C01A6">
        <w:t>the Department of Justice that year issued</w:t>
      </w:r>
      <w:r w:rsidR="003A2CA9" w:rsidRPr="008C01A6">
        <w:t xml:space="preserve"> now-codified</w:t>
      </w:r>
      <w:r w:rsidR="00BE08E0" w:rsidRPr="008C01A6">
        <w:t xml:space="preserve"> Guidelines for Enforcement of T</w:t>
      </w:r>
      <w:r w:rsidR="00F06A2C" w:rsidRPr="008C01A6">
        <w:t>itle VI (“Title VI Guidelines”), which</w:t>
      </w:r>
      <w:r w:rsidR="00BE08E0" w:rsidRPr="008C01A6">
        <w:t xml:space="preserve"> provide that Title VI can be enforced </w:t>
      </w:r>
      <w:r w:rsidR="00BE08E0" w:rsidRPr="008C01A6">
        <w:rPr>
          <w:color w:val="auto"/>
        </w:rPr>
        <w:t>in court through contract suits, suits to enforce compliance with other nondiscrimination laws or regulations, or “</w:t>
      </w:r>
      <w:r w:rsidR="00BE08E0" w:rsidRPr="008C01A6">
        <w:rPr>
          <w:i/>
          <w:iCs/>
          <w:color w:val="auto"/>
        </w:rPr>
        <w:t>initiation of, or intervention or other participation in, a suit for other relief designed to secure compliance</w:t>
      </w:r>
      <w:r w:rsidR="00BE08E0" w:rsidRPr="008C01A6">
        <w:rPr>
          <w:color w:val="auto"/>
        </w:rPr>
        <w:t xml:space="preserve">.” </w:t>
      </w:r>
      <w:proofErr w:type="gramStart"/>
      <w:r w:rsidR="00BE08E0" w:rsidRPr="008C01A6">
        <w:rPr>
          <w:color w:val="auto"/>
        </w:rPr>
        <w:t>31 Fed.</w:t>
      </w:r>
      <w:proofErr w:type="gramEnd"/>
      <w:r w:rsidR="00BE08E0" w:rsidRPr="008C01A6">
        <w:rPr>
          <w:color w:val="auto"/>
        </w:rPr>
        <w:t xml:space="preserve"> Reg. 5292 (Apr. 2, 1966) (emphasis added)</w:t>
      </w:r>
      <w:r w:rsidR="00B52105" w:rsidRPr="008C01A6">
        <w:rPr>
          <w:color w:val="auto"/>
        </w:rPr>
        <w:t xml:space="preserve"> (codified at</w:t>
      </w:r>
      <w:r w:rsidR="008756AD" w:rsidRPr="008C01A6">
        <w:rPr>
          <w:color w:val="auto"/>
        </w:rPr>
        <w:t xml:space="preserve"> </w:t>
      </w:r>
      <w:r w:rsidR="00BE08E0" w:rsidRPr="008C01A6">
        <w:rPr>
          <w:color w:val="auto"/>
        </w:rPr>
        <w:t>28 C.F.R. § 50.3</w:t>
      </w:r>
      <w:r w:rsidR="00B52105" w:rsidRPr="008C01A6">
        <w:rPr>
          <w:color w:val="auto"/>
        </w:rPr>
        <w:t>)</w:t>
      </w:r>
      <w:r w:rsidR="00B52105" w:rsidRPr="008C01A6">
        <w:rPr>
          <w:i/>
          <w:color w:val="auto"/>
        </w:rPr>
        <w:t>. S</w:t>
      </w:r>
      <w:r w:rsidR="00BE08E0" w:rsidRPr="008C01A6">
        <w:rPr>
          <w:i/>
          <w:color w:val="auto"/>
        </w:rPr>
        <w:t>ee also</w:t>
      </w:r>
      <w:r w:rsidR="00934487" w:rsidRPr="008C01A6">
        <w:rPr>
          <w:color w:val="auto"/>
        </w:rPr>
        <w:t xml:space="preserve"> 41 Fed. Reg. 52,6</w:t>
      </w:r>
      <w:r w:rsidR="000A3ABB" w:rsidRPr="008C01A6">
        <w:rPr>
          <w:color w:val="auto"/>
        </w:rPr>
        <w:t>99</w:t>
      </w:r>
      <w:r w:rsidR="00920628">
        <w:rPr>
          <w:color w:val="auto"/>
        </w:rPr>
        <w:t>, 52,672</w:t>
      </w:r>
      <w:r w:rsidR="00934487" w:rsidRPr="008C01A6">
        <w:rPr>
          <w:color w:val="auto"/>
        </w:rPr>
        <w:t xml:space="preserve"> (Dec. 1, 197</w:t>
      </w:r>
      <w:r w:rsidR="00087586" w:rsidRPr="008C01A6">
        <w:rPr>
          <w:color w:val="auto"/>
        </w:rPr>
        <w:t>6) (codified at 28 C.F.R. § 42</w:t>
      </w:r>
      <w:r w:rsidR="00934487" w:rsidRPr="008C01A6">
        <w:rPr>
          <w:color w:val="auto"/>
        </w:rPr>
        <w:t>.411) (</w:t>
      </w:r>
      <w:r w:rsidR="00F06A2C" w:rsidRPr="008C01A6">
        <w:rPr>
          <w:color w:val="auto"/>
        </w:rPr>
        <w:t xml:space="preserve">similar </w:t>
      </w:r>
      <w:r w:rsidR="00920628">
        <w:rPr>
          <w:color w:val="auto"/>
        </w:rPr>
        <w:t>Department of Justice</w:t>
      </w:r>
      <w:r w:rsidR="006829D0" w:rsidRPr="008C01A6">
        <w:rPr>
          <w:color w:val="auto"/>
        </w:rPr>
        <w:t xml:space="preserve"> </w:t>
      </w:r>
      <w:r w:rsidR="00934487" w:rsidRPr="008C01A6">
        <w:rPr>
          <w:color w:val="auto"/>
        </w:rPr>
        <w:t>Title VI coordination regulation</w:t>
      </w:r>
      <w:r w:rsidR="00F06A2C" w:rsidRPr="008C01A6">
        <w:rPr>
          <w:color w:val="auto"/>
        </w:rPr>
        <w:t>).</w:t>
      </w:r>
    </w:p>
    <w:p w:rsidR="00B52105" w:rsidRPr="008C01A6" w:rsidRDefault="00087586">
      <w:pPr>
        <w:pStyle w:val="Default"/>
        <w:spacing w:line="480" w:lineRule="auto"/>
        <w:mirrorIndents/>
        <w:rPr>
          <w:color w:val="auto"/>
        </w:rPr>
      </w:pPr>
      <w:r w:rsidRPr="008C01A6">
        <w:rPr>
          <w:color w:val="auto"/>
        </w:rPr>
        <w:tab/>
      </w:r>
      <w:r w:rsidR="00BE08E0" w:rsidRPr="008C01A6">
        <w:rPr>
          <w:color w:val="auto"/>
        </w:rPr>
        <w:t xml:space="preserve">Thus, from the time it was passed, </w:t>
      </w:r>
      <w:r w:rsidR="00B52105" w:rsidRPr="008C01A6">
        <w:rPr>
          <w:color w:val="auto"/>
        </w:rPr>
        <w:t>courts and federal agencies</w:t>
      </w:r>
      <w:r w:rsidR="00934487" w:rsidRPr="008C01A6">
        <w:rPr>
          <w:color w:val="auto"/>
        </w:rPr>
        <w:t xml:space="preserve"> have consistently construed </w:t>
      </w:r>
      <w:r w:rsidR="00BE08E0" w:rsidRPr="008C01A6">
        <w:rPr>
          <w:color w:val="auto"/>
        </w:rPr>
        <w:t xml:space="preserve">Title VI as establishing an enforcement regime in which the Attorney General </w:t>
      </w:r>
      <w:r w:rsidR="00B52105" w:rsidRPr="008C01A6">
        <w:rPr>
          <w:color w:val="auto"/>
        </w:rPr>
        <w:t>can</w:t>
      </w:r>
      <w:r w:rsidR="00BE08E0" w:rsidRPr="008C01A6">
        <w:rPr>
          <w:color w:val="auto"/>
        </w:rPr>
        <w:t xml:space="preserve"> bring “a suit for other relief designed to secure compliance.” </w:t>
      </w:r>
      <w:proofErr w:type="gramStart"/>
      <w:r w:rsidR="00934487" w:rsidRPr="008C01A6">
        <w:rPr>
          <w:color w:val="auto"/>
        </w:rPr>
        <w:t>28 C.F.R. § 50.3.</w:t>
      </w:r>
      <w:proofErr w:type="gramEnd"/>
      <w:r w:rsidR="00344DEE" w:rsidRPr="008C01A6">
        <w:rPr>
          <w:color w:val="auto"/>
        </w:rPr>
        <w:t xml:space="preserve"> </w:t>
      </w:r>
      <w:r w:rsidR="00070999" w:rsidRPr="008C01A6">
        <w:rPr>
          <w:color w:val="auto"/>
        </w:rPr>
        <w:t>Both the implementing and coordination regulations merit</w:t>
      </w:r>
      <w:r w:rsidR="007B4D61" w:rsidRPr="008C01A6">
        <w:rPr>
          <w:color w:val="auto"/>
        </w:rPr>
        <w:t xml:space="preserve"> </w:t>
      </w:r>
      <w:r w:rsidR="00070999" w:rsidRPr="008C01A6">
        <w:t xml:space="preserve">deference, </w:t>
      </w:r>
      <w:r w:rsidR="00B52105" w:rsidRPr="008C01A6">
        <w:rPr>
          <w:i/>
        </w:rPr>
        <w:t>C</w:t>
      </w:r>
      <w:r w:rsidR="00711D45" w:rsidRPr="008C01A6">
        <w:rPr>
          <w:i/>
          <w:color w:val="auto"/>
        </w:rPr>
        <w:t>hevron USA, Inc. v. Nat. Res. Def.</w:t>
      </w:r>
      <w:r w:rsidR="00AF370C" w:rsidRPr="008C01A6">
        <w:rPr>
          <w:i/>
          <w:color w:val="auto"/>
        </w:rPr>
        <w:t xml:space="preserve"> Council, Inc</w:t>
      </w:r>
      <w:r w:rsidR="00AF370C" w:rsidRPr="008C01A6">
        <w:rPr>
          <w:color w:val="auto"/>
        </w:rPr>
        <w:t>., 467 U.S. 837, 842 (1984)</w:t>
      </w:r>
      <w:r w:rsidR="00070999" w:rsidRPr="008C01A6">
        <w:t>, and</w:t>
      </w:r>
      <w:r w:rsidR="003A2CA9" w:rsidRPr="008C01A6">
        <w:t xml:space="preserve"> </w:t>
      </w:r>
      <w:r w:rsidR="008F1E3D" w:rsidRPr="008C01A6">
        <w:t>regulations</w:t>
      </w:r>
      <w:r w:rsidR="00070999" w:rsidRPr="008C01A6">
        <w:t xml:space="preserve"> </w:t>
      </w:r>
      <w:r w:rsidR="003A2CA9" w:rsidRPr="008C01A6">
        <w:t>issued by</w:t>
      </w:r>
      <w:r w:rsidR="00A040A9" w:rsidRPr="008C01A6">
        <w:t xml:space="preserve"> </w:t>
      </w:r>
      <w:r w:rsidR="008F1E3D" w:rsidRPr="008C01A6">
        <w:t xml:space="preserve">the coordinating agency are </w:t>
      </w:r>
      <w:r w:rsidR="00070999" w:rsidRPr="008C01A6">
        <w:t xml:space="preserve">“of particular significance.” </w:t>
      </w:r>
      <w:proofErr w:type="spellStart"/>
      <w:proofErr w:type="gramStart"/>
      <w:r w:rsidR="00070999" w:rsidRPr="008C01A6">
        <w:rPr>
          <w:i/>
          <w:color w:val="auto"/>
        </w:rPr>
        <w:t>Bragdon</w:t>
      </w:r>
      <w:proofErr w:type="spellEnd"/>
      <w:r w:rsidR="00070999" w:rsidRPr="008C01A6">
        <w:rPr>
          <w:color w:val="auto"/>
        </w:rPr>
        <w:t xml:space="preserve"> v. </w:t>
      </w:r>
      <w:r w:rsidR="00070999" w:rsidRPr="008C01A6">
        <w:rPr>
          <w:i/>
          <w:color w:val="auto"/>
        </w:rPr>
        <w:t>Abbott</w:t>
      </w:r>
      <w:r w:rsidR="00070999" w:rsidRPr="008C01A6">
        <w:rPr>
          <w:color w:val="auto"/>
        </w:rPr>
        <w:t>, 524 U.S. 624, 632 (1988).</w:t>
      </w:r>
      <w:proofErr w:type="gramEnd"/>
    </w:p>
    <w:p w:rsidR="00B52105" w:rsidRPr="008C01A6" w:rsidRDefault="005843EA">
      <w:pPr>
        <w:pStyle w:val="Default"/>
        <w:spacing w:line="480" w:lineRule="auto"/>
        <w:contextualSpacing/>
        <w:mirrorIndents/>
        <w:rPr>
          <w:color w:val="auto"/>
        </w:rPr>
      </w:pPr>
      <w:r w:rsidRPr="008C01A6">
        <w:rPr>
          <w:color w:val="auto"/>
        </w:rPr>
        <w:tab/>
        <w:t xml:space="preserve">In the face of </w:t>
      </w:r>
      <w:r w:rsidR="00086BEF" w:rsidRPr="008C01A6">
        <w:rPr>
          <w:color w:val="auto"/>
        </w:rPr>
        <w:t xml:space="preserve">this </w:t>
      </w:r>
      <w:r w:rsidRPr="008C01A6">
        <w:rPr>
          <w:color w:val="auto"/>
        </w:rPr>
        <w:t xml:space="preserve">evidence that the Attorney General </w:t>
      </w:r>
      <w:r w:rsidR="004655F4" w:rsidRPr="008C01A6">
        <w:rPr>
          <w:color w:val="auto"/>
        </w:rPr>
        <w:t>has</w:t>
      </w:r>
      <w:r w:rsidR="00086BEF" w:rsidRPr="008C01A6">
        <w:rPr>
          <w:color w:val="auto"/>
        </w:rPr>
        <w:t xml:space="preserve"> the authority to enforce</w:t>
      </w:r>
      <w:r w:rsidRPr="008C01A6">
        <w:rPr>
          <w:color w:val="auto"/>
        </w:rPr>
        <w:t xml:space="preserve"> Title VI in court, Harris County argues that the United States’ rights are limited</w:t>
      </w:r>
      <w:r w:rsidR="00D31AC0" w:rsidRPr="008C01A6">
        <w:rPr>
          <w:color w:val="auto"/>
        </w:rPr>
        <w:t xml:space="preserve"> to</w:t>
      </w:r>
      <w:r w:rsidR="007B1D02" w:rsidRPr="008C01A6">
        <w:rPr>
          <w:color w:val="auto"/>
        </w:rPr>
        <w:t xml:space="preserve"> actions authorized by extrinsic sources of law—for instance, contract actions</w:t>
      </w:r>
      <w:r w:rsidR="00F815E8" w:rsidRPr="008C01A6">
        <w:rPr>
          <w:color w:val="auto"/>
        </w:rPr>
        <w:t xml:space="preserve">. </w:t>
      </w:r>
      <w:proofErr w:type="gramStart"/>
      <w:r w:rsidR="008F1E3D" w:rsidRPr="008C01A6">
        <w:rPr>
          <w:color w:val="auto"/>
        </w:rPr>
        <w:t xml:space="preserve">MTD at </w:t>
      </w:r>
      <w:r w:rsidR="003E571A" w:rsidRPr="008C01A6">
        <w:rPr>
          <w:color w:val="auto"/>
        </w:rPr>
        <w:t>6</w:t>
      </w:r>
      <w:r w:rsidR="008F1E3D" w:rsidRPr="008C01A6">
        <w:rPr>
          <w:color w:val="auto"/>
        </w:rPr>
        <w:t>.</w:t>
      </w:r>
      <w:proofErr w:type="gramEnd"/>
      <w:r w:rsidR="008F1E3D" w:rsidRPr="008C01A6">
        <w:rPr>
          <w:color w:val="auto"/>
        </w:rPr>
        <w:t xml:space="preserve"> </w:t>
      </w:r>
      <w:r w:rsidR="009A1E3E" w:rsidRPr="008C01A6">
        <w:rPr>
          <w:color w:val="auto"/>
        </w:rPr>
        <w:t>This is wrong for numerous reasons</w:t>
      </w:r>
      <w:r w:rsidR="00F815E8" w:rsidRPr="008C01A6">
        <w:rPr>
          <w:color w:val="auto"/>
        </w:rPr>
        <w:t xml:space="preserve">. </w:t>
      </w:r>
      <w:r w:rsidR="00697DCF" w:rsidRPr="008C01A6">
        <w:rPr>
          <w:color w:val="auto"/>
        </w:rPr>
        <w:t>First,</w:t>
      </w:r>
      <w:r w:rsidR="007B1D02" w:rsidRPr="008C01A6">
        <w:rPr>
          <w:color w:val="auto"/>
        </w:rPr>
        <w:t xml:space="preserve"> if Harris County were correct, there would be no need for Title VI’s “any other means authorized by law” provision at all; </w:t>
      </w:r>
      <w:r w:rsidR="00697DCF" w:rsidRPr="008C01A6">
        <w:rPr>
          <w:color w:val="auto"/>
        </w:rPr>
        <w:t>it would not grant the Attorney General any authority she did not already have</w:t>
      </w:r>
      <w:r w:rsidR="009A1E3E" w:rsidRPr="008C01A6">
        <w:rPr>
          <w:color w:val="auto"/>
        </w:rPr>
        <w:t xml:space="preserve"> from other laws</w:t>
      </w:r>
      <w:r w:rsidR="00697DCF" w:rsidRPr="008C01A6">
        <w:rPr>
          <w:color w:val="auto"/>
        </w:rPr>
        <w:t xml:space="preserve">. </w:t>
      </w:r>
      <w:r w:rsidR="00393120" w:rsidRPr="008C01A6">
        <w:rPr>
          <w:i/>
          <w:color w:val="auto"/>
        </w:rPr>
        <w:t xml:space="preserve">See </w:t>
      </w:r>
      <w:r w:rsidR="001B4BD3" w:rsidRPr="008C01A6">
        <w:rPr>
          <w:i/>
          <w:color w:val="auto"/>
        </w:rPr>
        <w:t>TRW Inc. v. Andrews</w:t>
      </w:r>
      <w:r w:rsidR="001B4BD3" w:rsidRPr="008C01A6">
        <w:rPr>
          <w:color w:val="auto"/>
        </w:rPr>
        <w:t>, 534 U.S. 19, 31 (2001) (“a statu</w:t>
      </w:r>
      <w:r w:rsidR="007D708A" w:rsidRPr="008C01A6">
        <w:rPr>
          <w:color w:val="auto"/>
        </w:rPr>
        <w:t>t</w:t>
      </w:r>
      <w:r w:rsidR="001B4BD3" w:rsidRPr="008C01A6">
        <w:rPr>
          <w:color w:val="auto"/>
        </w:rPr>
        <w:t>e ought . . . to be construed so that, if it can be prevented, no clause, sentence, or word shall be superfluous, void, or insignificant”)</w:t>
      </w:r>
      <w:r w:rsidR="00591615" w:rsidRPr="008C01A6">
        <w:rPr>
          <w:color w:val="auto"/>
        </w:rPr>
        <w:t xml:space="preserve"> (citation omitted)</w:t>
      </w:r>
      <w:r w:rsidR="001B4BD3" w:rsidRPr="008C01A6">
        <w:rPr>
          <w:color w:val="auto"/>
        </w:rPr>
        <w:t xml:space="preserve">. </w:t>
      </w:r>
      <w:r w:rsidR="009A1E3E" w:rsidRPr="008C01A6">
        <w:rPr>
          <w:color w:val="auto"/>
        </w:rPr>
        <w:t>In effect,</w:t>
      </w:r>
      <w:r w:rsidR="00697DCF" w:rsidRPr="008C01A6">
        <w:rPr>
          <w:color w:val="auto"/>
        </w:rPr>
        <w:t xml:space="preserve"> Harris</w:t>
      </w:r>
      <w:r w:rsidR="009A1E3E" w:rsidRPr="008C01A6">
        <w:rPr>
          <w:color w:val="auto"/>
        </w:rPr>
        <w:t xml:space="preserve"> County is</w:t>
      </w:r>
      <w:r w:rsidR="00697DCF" w:rsidRPr="008C01A6">
        <w:rPr>
          <w:color w:val="auto"/>
        </w:rPr>
        <w:t xml:space="preserve"> reading the phrase </w:t>
      </w:r>
      <w:r w:rsidR="00C462A9" w:rsidRPr="008C01A6">
        <w:t xml:space="preserve">“other means authorized by law” </w:t>
      </w:r>
      <w:r w:rsidR="00697DCF" w:rsidRPr="008C01A6">
        <w:t>to mean</w:t>
      </w:r>
      <w:r w:rsidR="00C462A9" w:rsidRPr="008C01A6">
        <w:t xml:space="preserve"> “</w:t>
      </w:r>
      <w:r w:rsidR="00697DCF" w:rsidRPr="008C01A6">
        <w:t xml:space="preserve">other means </w:t>
      </w:r>
      <w:r w:rsidR="00C462A9" w:rsidRPr="008C01A6">
        <w:rPr>
          <w:i/>
          <w:iCs/>
        </w:rPr>
        <w:t xml:space="preserve">already </w:t>
      </w:r>
      <w:r w:rsidR="00697DCF" w:rsidRPr="008C01A6">
        <w:t>authorized</w:t>
      </w:r>
      <w:r w:rsidR="00C462A9" w:rsidRPr="008C01A6">
        <w:t xml:space="preserve"> by</w:t>
      </w:r>
      <w:r w:rsidR="00C462A9" w:rsidRPr="008C01A6">
        <w:rPr>
          <w:i/>
        </w:rPr>
        <w:t xml:space="preserve"> some</w:t>
      </w:r>
      <w:r w:rsidR="00C462A9" w:rsidRPr="008C01A6">
        <w:t xml:space="preserve"> </w:t>
      </w:r>
      <w:r w:rsidR="00C462A9" w:rsidRPr="008C01A6">
        <w:rPr>
          <w:i/>
          <w:iCs/>
        </w:rPr>
        <w:t xml:space="preserve">other </w:t>
      </w:r>
      <w:r w:rsidR="00697DCF" w:rsidRPr="008C01A6">
        <w:t>law</w:t>
      </w:r>
      <w:r w:rsidR="009A1E3E" w:rsidRPr="008C01A6">
        <w:t>,</w:t>
      </w:r>
      <w:r w:rsidR="00C462A9" w:rsidRPr="008C01A6">
        <w:t xml:space="preserve">” </w:t>
      </w:r>
      <w:r w:rsidR="009A1E3E" w:rsidRPr="008C01A6">
        <w:rPr>
          <w:iCs/>
        </w:rPr>
        <w:t>but t</w:t>
      </w:r>
      <w:r w:rsidR="00697DCF" w:rsidRPr="008C01A6">
        <w:rPr>
          <w:iCs/>
        </w:rPr>
        <w:t>here is no basis for the addition of the italicized words to the statute</w:t>
      </w:r>
      <w:r w:rsidR="00F815E8" w:rsidRPr="008C01A6">
        <w:t xml:space="preserve">. </w:t>
      </w:r>
      <w:r w:rsidR="009A1E3E" w:rsidRPr="008C01A6">
        <w:t>Second</w:t>
      </w:r>
      <w:r w:rsidR="00C462A9" w:rsidRPr="008C01A6">
        <w:t xml:space="preserve">, </w:t>
      </w:r>
      <w:r w:rsidR="00697DCF" w:rsidRPr="008C01A6">
        <w:t xml:space="preserve">Harris County’s reading is inconsistent with the </w:t>
      </w:r>
      <w:r w:rsidR="001F1A7F" w:rsidRPr="008C01A6">
        <w:t xml:space="preserve">Title VI Guidelines and the </w:t>
      </w:r>
      <w:r w:rsidR="00D54DD8" w:rsidRPr="008C01A6">
        <w:t>agencies’ implementing regulations, which</w:t>
      </w:r>
      <w:r w:rsidR="00070999" w:rsidRPr="008C01A6">
        <w:t xml:space="preserve"> specify that the Attorney General may bring both contract actions </w:t>
      </w:r>
      <w:r w:rsidR="00070999" w:rsidRPr="008C01A6">
        <w:rPr>
          <w:i/>
        </w:rPr>
        <w:t xml:space="preserve">and </w:t>
      </w:r>
      <w:r w:rsidR="00070999" w:rsidRPr="008C01A6">
        <w:t>general enforcement actions</w:t>
      </w:r>
      <w:r w:rsidR="00F815E8" w:rsidRPr="008C01A6">
        <w:t xml:space="preserve">. </w:t>
      </w:r>
      <w:r w:rsidR="00D54DD8" w:rsidRPr="008C01A6">
        <w:rPr>
          <w:i/>
        </w:rPr>
        <w:t>See</w:t>
      </w:r>
      <w:r w:rsidR="00B639CC" w:rsidRPr="008C01A6">
        <w:t xml:space="preserve"> 45 C.F.R. § 80.8(a); </w:t>
      </w:r>
      <w:r w:rsidR="00B639CC" w:rsidRPr="008C01A6">
        <w:rPr>
          <w:color w:val="auto"/>
        </w:rPr>
        <w:t xml:space="preserve">28 C.F.R. § 50.3; </w:t>
      </w:r>
      <w:r w:rsidR="00B639CC" w:rsidRPr="008C01A6">
        <w:rPr>
          <w:i/>
          <w:color w:val="auto"/>
        </w:rPr>
        <w:t xml:space="preserve">supra </w:t>
      </w:r>
      <w:r w:rsidR="00B639CC" w:rsidRPr="008C01A6">
        <w:rPr>
          <w:color w:val="auto"/>
        </w:rPr>
        <w:t xml:space="preserve">at </w:t>
      </w:r>
      <w:r w:rsidR="004022F3" w:rsidRPr="008C01A6">
        <w:rPr>
          <w:color w:val="auto"/>
        </w:rPr>
        <w:t>7-8</w:t>
      </w:r>
      <w:r w:rsidR="00B639CC" w:rsidRPr="008C01A6">
        <w:rPr>
          <w:color w:val="auto"/>
        </w:rPr>
        <w:t>.</w:t>
      </w:r>
      <w:r w:rsidR="00B639CC" w:rsidRPr="008C01A6">
        <w:t xml:space="preserve"> </w:t>
      </w:r>
      <w:r w:rsidR="009A1E3E" w:rsidRPr="008C01A6">
        <w:t>Third</w:t>
      </w:r>
      <w:r w:rsidR="00D54DD8" w:rsidRPr="008C01A6">
        <w:t>,</w:t>
      </w:r>
      <w:r w:rsidR="006829D0" w:rsidRPr="008C01A6">
        <w:t xml:space="preserve"> every c</w:t>
      </w:r>
      <w:r w:rsidR="00D54DD8" w:rsidRPr="008C01A6">
        <w:t>ourt</w:t>
      </w:r>
      <w:r w:rsidR="006829D0" w:rsidRPr="008C01A6">
        <w:t xml:space="preserve"> other than the </w:t>
      </w:r>
      <w:r w:rsidR="006829D0" w:rsidRPr="008C01A6">
        <w:rPr>
          <w:i/>
        </w:rPr>
        <w:t xml:space="preserve">C.V. v. </w:t>
      </w:r>
      <w:proofErr w:type="spellStart"/>
      <w:r w:rsidR="006829D0" w:rsidRPr="008C01A6">
        <w:rPr>
          <w:i/>
        </w:rPr>
        <w:t>Dudek</w:t>
      </w:r>
      <w:proofErr w:type="spellEnd"/>
      <w:r w:rsidR="006829D0" w:rsidRPr="008C01A6">
        <w:t xml:space="preserve"> court</w:t>
      </w:r>
      <w:r w:rsidR="00D54DD8" w:rsidRPr="008C01A6">
        <w:t xml:space="preserve"> to consider Harris County’s argument has rejected it.</w:t>
      </w:r>
      <w:r w:rsidR="00070999" w:rsidRPr="008C01A6">
        <w:t xml:space="preserve"> </w:t>
      </w:r>
      <w:r w:rsidR="00070999" w:rsidRPr="008C01A6">
        <w:rPr>
          <w:i/>
        </w:rPr>
        <w:t xml:space="preserve">See supra </w:t>
      </w:r>
      <w:r w:rsidR="004022F3" w:rsidRPr="008C01A6">
        <w:t>6-7</w:t>
      </w:r>
      <w:r w:rsidR="00070999" w:rsidRPr="008C01A6">
        <w:t xml:space="preserve">; </w:t>
      </w:r>
      <w:r w:rsidR="00070999" w:rsidRPr="008C01A6">
        <w:rPr>
          <w:i/>
        </w:rPr>
        <w:t xml:space="preserve">infra </w:t>
      </w:r>
      <w:r w:rsidR="004022F3" w:rsidRPr="008C01A6">
        <w:t>19-20</w:t>
      </w:r>
      <w:r w:rsidR="00070999" w:rsidRPr="008C01A6">
        <w:t>.</w:t>
      </w:r>
    </w:p>
    <w:p w:rsidR="00B52105" w:rsidRPr="008C01A6" w:rsidRDefault="00D54DD8">
      <w:pPr>
        <w:pStyle w:val="Default"/>
        <w:spacing w:line="480" w:lineRule="auto"/>
        <w:contextualSpacing/>
        <w:mirrorIndents/>
        <w:rPr>
          <w:color w:val="auto"/>
        </w:rPr>
      </w:pPr>
      <w:r w:rsidRPr="008C01A6">
        <w:rPr>
          <w:color w:val="auto"/>
        </w:rPr>
        <w:tab/>
      </w:r>
      <w:r w:rsidR="00F06A2C" w:rsidRPr="008C01A6">
        <w:rPr>
          <w:color w:val="auto"/>
        </w:rPr>
        <w:t>Moreover</w:t>
      </w:r>
      <w:r w:rsidR="009A1E3E" w:rsidRPr="008C01A6">
        <w:rPr>
          <w:color w:val="auto"/>
        </w:rPr>
        <w:t xml:space="preserve">, </w:t>
      </w:r>
      <w:r w:rsidRPr="008C01A6">
        <w:rPr>
          <w:color w:val="auto"/>
        </w:rPr>
        <w:t>Har</w:t>
      </w:r>
      <w:r w:rsidR="00F06A2C" w:rsidRPr="008C01A6">
        <w:rPr>
          <w:color w:val="auto"/>
        </w:rPr>
        <w:t xml:space="preserve">ris County’s reading would </w:t>
      </w:r>
      <w:r w:rsidRPr="008C01A6">
        <w:rPr>
          <w:color w:val="auto"/>
        </w:rPr>
        <w:t xml:space="preserve">mean that private parties, who </w:t>
      </w:r>
      <w:r w:rsidR="00070999" w:rsidRPr="008C01A6">
        <w:rPr>
          <w:color w:val="auto"/>
        </w:rPr>
        <w:t>have a</w:t>
      </w:r>
      <w:r w:rsidR="00A67D45" w:rsidRPr="008C01A6">
        <w:rPr>
          <w:color w:val="auto"/>
        </w:rPr>
        <w:t>n implied</w:t>
      </w:r>
      <w:r w:rsidR="00070999" w:rsidRPr="008C01A6">
        <w:rPr>
          <w:color w:val="auto"/>
        </w:rPr>
        <w:t xml:space="preserve"> right of action to </w:t>
      </w:r>
      <w:r w:rsidRPr="008C01A6">
        <w:rPr>
          <w:color w:val="auto"/>
        </w:rPr>
        <w:t xml:space="preserve">enforce Title VI regardless of whether a contractual assurance exists, could sue when the Attorney General cannot. </w:t>
      </w:r>
      <w:r w:rsidR="004655F4" w:rsidRPr="008C01A6">
        <w:rPr>
          <w:color w:val="auto"/>
        </w:rPr>
        <w:t>Consistent with the longstanding understanding that Title VI is primarily focused on federal</w:t>
      </w:r>
      <w:r w:rsidR="004655F4" w:rsidRPr="008C01A6">
        <w:rPr>
          <w:i/>
          <w:color w:val="auto"/>
        </w:rPr>
        <w:t xml:space="preserve"> </w:t>
      </w:r>
      <w:r w:rsidR="004655F4" w:rsidRPr="008C01A6">
        <w:rPr>
          <w:color w:val="auto"/>
        </w:rPr>
        <w:t>enforcement</w:t>
      </w:r>
      <w:r w:rsidR="004655F4" w:rsidRPr="008C01A6">
        <w:rPr>
          <w:i/>
          <w:color w:val="auto"/>
        </w:rPr>
        <w:t xml:space="preserve">, </w:t>
      </w:r>
      <w:r w:rsidR="004655F4" w:rsidRPr="008C01A6">
        <w:rPr>
          <w:color w:val="auto"/>
        </w:rPr>
        <w:t xml:space="preserve">the Supreme Court in </w:t>
      </w:r>
      <w:r w:rsidR="004655F4" w:rsidRPr="008C01A6">
        <w:rPr>
          <w:i/>
          <w:color w:val="auto"/>
        </w:rPr>
        <w:t>National Collegiate Athletic Association v. Smith</w:t>
      </w:r>
      <w:r w:rsidR="004655F4" w:rsidRPr="008C01A6">
        <w:rPr>
          <w:color w:val="auto"/>
        </w:rPr>
        <w:t>, 525 U.S. 459, 467 n.5 (1999), specifically rejected the argument that a private right of action in laws modeled on Title VI is “potentially broader than the Govern</w:t>
      </w:r>
      <w:r w:rsidR="00D51E91" w:rsidRPr="008C01A6">
        <w:rPr>
          <w:color w:val="auto"/>
        </w:rPr>
        <w:t xml:space="preserve">ment’s enforcement authority.” </w:t>
      </w:r>
      <w:r w:rsidR="004655F4" w:rsidRPr="008C01A6">
        <w:rPr>
          <w:color w:val="auto"/>
        </w:rPr>
        <w:t xml:space="preserve">It would, the Court explained, “be anomalous to assume that Congress intended the implied private right of action to proscribe conduct that Government enforcement may not check.” </w:t>
      </w:r>
      <w:r w:rsidR="004655F4" w:rsidRPr="008C01A6">
        <w:rPr>
          <w:i/>
          <w:color w:val="auto"/>
        </w:rPr>
        <w:t>Id.</w:t>
      </w:r>
      <w:r w:rsidR="004655F4" w:rsidRPr="008C01A6">
        <w:rPr>
          <w:color w:val="auto"/>
        </w:rPr>
        <w:t xml:space="preserve"> </w:t>
      </w:r>
    </w:p>
    <w:p w:rsidR="00B52105" w:rsidRPr="008C01A6" w:rsidRDefault="00C93E4D">
      <w:pPr>
        <w:pStyle w:val="Heading2"/>
        <w:keepNext w:val="0"/>
        <w:keepLines w:val="0"/>
        <w:widowControl w:val="0"/>
        <w:rPr>
          <w:rFonts w:cs="Times New Roman"/>
          <w:szCs w:val="24"/>
        </w:rPr>
      </w:pPr>
      <w:bookmarkStart w:id="6" w:name="_Toc465681936"/>
      <w:r w:rsidRPr="008C01A6">
        <w:rPr>
          <w:rFonts w:cs="Times New Roman"/>
          <w:szCs w:val="24"/>
        </w:rPr>
        <w:t xml:space="preserve">The Attorney General Can Enforce </w:t>
      </w:r>
      <w:r w:rsidR="007B4D61" w:rsidRPr="008C01A6">
        <w:rPr>
          <w:rFonts w:cs="Times New Roman"/>
          <w:szCs w:val="24"/>
        </w:rPr>
        <w:t>the Rehabilitation Act</w:t>
      </w:r>
      <w:r w:rsidR="000A3ABB" w:rsidRPr="008C01A6">
        <w:rPr>
          <w:rFonts w:cs="Times New Roman"/>
          <w:szCs w:val="24"/>
        </w:rPr>
        <w:t xml:space="preserve"> </w:t>
      </w:r>
      <w:proofErr w:type="gramStart"/>
      <w:r w:rsidR="000A3ABB" w:rsidRPr="008C01A6">
        <w:rPr>
          <w:rFonts w:cs="Times New Roman"/>
          <w:szCs w:val="24"/>
        </w:rPr>
        <w:t>Through</w:t>
      </w:r>
      <w:proofErr w:type="gramEnd"/>
      <w:r w:rsidR="000A3ABB" w:rsidRPr="008C01A6">
        <w:rPr>
          <w:rFonts w:cs="Times New Roman"/>
          <w:szCs w:val="24"/>
        </w:rPr>
        <w:t xml:space="preserve"> Litigation</w:t>
      </w:r>
      <w:bookmarkEnd w:id="6"/>
      <w:r w:rsidRPr="008C01A6">
        <w:rPr>
          <w:rFonts w:cs="Times New Roman"/>
          <w:szCs w:val="24"/>
        </w:rPr>
        <w:t xml:space="preserve"> </w:t>
      </w:r>
    </w:p>
    <w:p w:rsidR="00B52105" w:rsidRPr="008C01A6" w:rsidRDefault="00B52105">
      <w:pPr>
        <w:widowControl w:val="0"/>
        <w:rPr>
          <w:rFonts w:ascii="Times New Roman" w:hAnsi="Times New Roman" w:cs="Times New Roman"/>
          <w:sz w:val="24"/>
          <w:szCs w:val="24"/>
        </w:rPr>
      </w:pPr>
    </w:p>
    <w:p w:rsidR="00B52105" w:rsidRPr="008C01A6" w:rsidRDefault="00D54DD8">
      <w:pPr>
        <w:pStyle w:val="Default"/>
        <w:spacing w:line="480" w:lineRule="auto"/>
        <w:contextualSpacing/>
        <w:mirrorIndents/>
      </w:pPr>
      <w:r w:rsidRPr="008C01A6">
        <w:rPr>
          <w:color w:val="auto"/>
        </w:rPr>
        <w:tab/>
        <w:t xml:space="preserve">The </w:t>
      </w:r>
      <w:r w:rsidR="00070999" w:rsidRPr="008C01A6">
        <w:rPr>
          <w:color w:val="auto"/>
        </w:rPr>
        <w:t>enforcement framework of</w:t>
      </w:r>
      <w:r w:rsidRPr="008C01A6">
        <w:rPr>
          <w:color w:val="auto"/>
        </w:rPr>
        <w:t xml:space="preserve"> Title VI is incorporated into the Rehabilitation Act, which forbids disability-based discrimination by federally funded entities</w:t>
      </w:r>
      <w:r w:rsidR="00F815E8" w:rsidRPr="008C01A6">
        <w:rPr>
          <w:color w:val="auto"/>
        </w:rPr>
        <w:t xml:space="preserve">. </w:t>
      </w:r>
      <w:proofErr w:type="gramStart"/>
      <w:r w:rsidR="00EA4427" w:rsidRPr="008C01A6">
        <w:rPr>
          <w:color w:val="auto"/>
        </w:rPr>
        <w:t>29 U.S.C. § 794</w:t>
      </w:r>
      <w:r w:rsidR="00F815E8" w:rsidRPr="008C01A6">
        <w:rPr>
          <w:color w:val="auto"/>
        </w:rPr>
        <w:t>.</w:t>
      </w:r>
      <w:proofErr w:type="gramEnd"/>
      <w:r w:rsidR="00F815E8" w:rsidRPr="008C01A6">
        <w:rPr>
          <w:color w:val="auto"/>
        </w:rPr>
        <w:t xml:space="preserve"> </w:t>
      </w:r>
      <w:r w:rsidRPr="008C01A6">
        <w:rPr>
          <w:color w:val="auto"/>
        </w:rPr>
        <w:t>The Rehabilitation Act contained no enforcement provision when it was originally passed</w:t>
      </w:r>
      <w:r w:rsidR="004655F4" w:rsidRPr="008C01A6">
        <w:rPr>
          <w:color w:val="auto"/>
        </w:rPr>
        <w:t xml:space="preserve"> in 1973</w:t>
      </w:r>
      <w:r w:rsidRPr="008C01A6">
        <w:rPr>
          <w:color w:val="auto"/>
        </w:rPr>
        <w:t xml:space="preserve">. </w:t>
      </w:r>
      <w:r w:rsidR="00D51E91" w:rsidRPr="008C01A6">
        <w:rPr>
          <w:color w:val="auto"/>
        </w:rPr>
        <w:t>Instead, i</w:t>
      </w:r>
      <w:r w:rsidR="004655F4" w:rsidRPr="008C01A6">
        <w:rPr>
          <w:color w:val="auto"/>
        </w:rPr>
        <w:t>n 1977</w:t>
      </w:r>
      <w:r w:rsidRPr="008C01A6">
        <w:rPr>
          <w:color w:val="auto"/>
        </w:rPr>
        <w:t xml:space="preserve">, </w:t>
      </w:r>
      <w:r w:rsidR="00087586" w:rsidRPr="008C01A6">
        <w:rPr>
          <w:color w:val="auto"/>
        </w:rPr>
        <w:t>the Department of Health, Education and Welfare (“HEW”)</w:t>
      </w:r>
      <w:r w:rsidR="00BE08E0" w:rsidRPr="008C01A6">
        <w:rPr>
          <w:color w:val="auto"/>
        </w:rPr>
        <w:t xml:space="preserve"> </w:t>
      </w:r>
      <w:r w:rsidR="00C93E4D" w:rsidRPr="008C01A6">
        <w:rPr>
          <w:color w:val="auto"/>
        </w:rPr>
        <w:t xml:space="preserve">issued regulations </w:t>
      </w:r>
      <w:r w:rsidR="00EA62FB" w:rsidRPr="008C01A6">
        <w:rPr>
          <w:color w:val="auto"/>
        </w:rPr>
        <w:t xml:space="preserve">that incorporated </w:t>
      </w:r>
      <w:r w:rsidR="009A1E3E" w:rsidRPr="008C01A6">
        <w:rPr>
          <w:color w:val="auto"/>
        </w:rPr>
        <w:t xml:space="preserve">its </w:t>
      </w:r>
      <w:r w:rsidR="00EA62FB" w:rsidRPr="008C01A6">
        <w:rPr>
          <w:color w:val="auto"/>
        </w:rPr>
        <w:t xml:space="preserve">Title VI </w:t>
      </w:r>
      <w:r w:rsidR="004655F4" w:rsidRPr="008C01A6">
        <w:rPr>
          <w:color w:val="auto"/>
        </w:rPr>
        <w:t>regulations</w:t>
      </w:r>
      <w:r w:rsidR="00EA62FB" w:rsidRPr="008C01A6">
        <w:rPr>
          <w:color w:val="auto"/>
        </w:rPr>
        <w:t xml:space="preserve">, </w:t>
      </w:r>
      <w:r w:rsidR="00443971" w:rsidRPr="008C01A6">
        <w:rPr>
          <w:rFonts w:eastAsiaTheme="minorHAnsi"/>
        </w:rPr>
        <w:t xml:space="preserve">which stated that </w:t>
      </w:r>
      <w:r w:rsidR="00443971" w:rsidRPr="008C01A6">
        <w:rPr>
          <w:color w:val="auto"/>
        </w:rPr>
        <w:t>enforcement mechanisms “</w:t>
      </w:r>
      <w:r w:rsidR="00443971" w:rsidRPr="008C01A6">
        <w:t>include, but are not limited to . . . a reference to the Department of Justice with a recommendation that appropriate proceedings be brought to enforce any rights of the United States under any law of the United States (including other titles of the Act), or any assurance or other contractual undertaking.”</w:t>
      </w:r>
      <w:r w:rsidR="000A3ABB" w:rsidRPr="008C01A6">
        <w:t xml:space="preserve"> </w:t>
      </w:r>
      <w:proofErr w:type="gramStart"/>
      <w:r w:rsidR="007F41DD" w:rsidRPr="008C01A6">
        <w:rPr>
          <w:color w:val="auto"/>
        </w:rPr>
        <w:t>42 Fed.</w:t>
      </w:r>
      <w:proofErr w:type="gramEnd"/>
      <w:r w:rsidR="007F41DD" w:rsidRPr="008C01A6">
        <w:rPr>
          <w:color w:val="auto"/>
        </w:rPr>
        <w:t xml:space="preserve"> </w:t>
      </w:r>
      <w:proofErr w:type="gramStart"/>
      <w:r w:rsidR="007F41DD" w:rsidRPr="008C01A6">
        <w:rPr>
          <w:color w:val="auto"/>
        </w:rPr>
        <w:t xml:space="preserve">Reg. </w:t>
      </w:r>
      <w:r w:rsidR="000A3ABB" w:rsidRPr="008C01A6">
        <w:rPr>
          <w:color w:val="auto"/>
        </w:rPr>
        <w:t xml:space="preserve">22,676, </w:t>
      </w:r>
      <w:r w:rsidR="007F41DD" w:rsidRPr="008C01A6">
        <w:rPr>
          <w:color w:val="auto"/>
        </w:rPr>
        <w:t>22,685, 22,694-22</w:t>
      </w:r>
      <w:r w:rsidR="00591615" w:rsidRPr="008C01A6">
        <w:rPr>
          <w:color w:val="auto"/>
        </w:rPr>
        <w:t>,</w:t>
      </w:r>
      <w:r w:rsidR="007F41DD" w:rsidRPr="008C01A6">
        <w:rPr>
          <w:color w:val="auto"/>
        </w:rPr>
        <w:t>695 (May 4, 1977) (</w:t>
      </w:r>
      <w:r w:rsidR="000A3ABB" w:rsidRPr="008C01A6">
        <w:rPr>
          <w:color w:val="auto"/>
        </w:rPr>
        <w:t>45</w:t>
      </w:r>
      <w:r w:rsidR="007F41DD" w:rsidRPr="008C01A6">
        <w:rPr>
          <w:color w:val="auto"/>
        </w:rPr>
        <w:t xml:space="preserve"> C.F.R. § 84.61, incorporating</w:t>
      </w:r>
      <w:r w:rsidRPr="008C01A6">
        <w:rPr>
          <w:color w:val="auto"/>
        </w:rPr>
        <w:t xml:space="preserve"> </w:t>
      </w:r>
      <w:r w:rsidR="005B46FF" w:rsidRPr="008C01A6">
        <w:rPr>
          <w:color w:val="auto"/>
        </w:rPr>
        <w:t xml:space="preserve">HEW’s </w:t>
      </w:r>
      <w:r w:rsidRPr="008C01A6">
        <w:rPr>
          <w:color w:val="auto"/>
        </w:rPr>
        <w:t>Title VI regulations at</w:t>
      </w:r>
      <w:r w:rsidR="007F41DD" w:rsidRPr="008C01A6">
        <w:rPr>
          <w:color w:val="auto"/>
        </w:rPr>
        <w:t xml:space="preserve"> </w:t>
      </w:r>
      <w:r w:rsidR="00B639CC" w:rsidRPr="008C01A6">
        <w:rPr>
          <w:color w:val="auto"/>
        </w:rPr>
        <w:t>45</w:t>
      </w:r>
      <w:r w:rsidR="007F41DD" w:rsidRPr="008C01A6">
        <w:rPr>
          <w:color w:val="auto"/>
        </w:rPr>
        <w:t xml:space="preserve"> C.F.R. </w:t>
      </w:r>
      <w:r w:rsidR="00591615" w:rsidRPr="008C01A6">
        <w:rPr>
          <w:color w:val="auto"/>
        </w:rPr>
        <w:t>§</w:t>
      </w:r>
      <w:r w:rsidR="000A3ABB" w:rsidRPr="008C01A6">
        <w:rPr>
          <w:color w:val="auto"/>
        </w:rPr>
        <w:t>§</w:t>
      </w:r>
      <w:r w:rsidR="00591615" w:rsidRPr="008C01A6">
        <w:rPr>
          <w:color w:val="auto"/>
        </w:rPr>
        <w:t> </w:t>
      </w:r>
      <w:r w:rsidR="007F41DD" w:rsidRPr="008C01A6">
        <w:rPr>
          <w:color w:val="auto"/>
        </w:rPr>
        <w:t>80.6-80.10)</w:t>
      </w:r>
      <w:r w:rsidR="004655F4" w:rsidRPr="008C01A6">
        <w:rPr>
          <w:color w:val="auto"/>
        </w:rPr>
        <w:t>.</w:t>
      </w:r>
      <w:proofErr w:type="gramEnd"/>
      <w:r w:rsidR="004655F4" w:rsidRPr="008C01A6">
        <w:rPr>
          <w:color w:val="auto"/>
        </w:rPr>
        <w:t xml:space="preserve"> </w:t>
      </w:r>
    </w:p>
    <w:p w:rsidR="00B52105" w:rsidRPr="008C01A6" w:rsidRDefault="003A1E97">
      <w:pPr>
        <w:pStyle w:val="Default"/>
        <w:spacing w:line="480" w:lineRule="auto"/>
        <w:contextualSpacing/>
        <w:mirrorIndents/>
        <w:rPr>
          <w:rFonts w:eastAsiaTheme="minorHAnsi"/>
        </w:rPr>
      </w:pPr>
      <w:r w:rsidRPr="008C01A6">
        <w:rPr>
          <w:color w:val="auto"/>
        </w:rPr>
        <w:tab/>
      </w:r>
      <w:r w:rsidR="00C93E4D" w:rsidRPr="008C01A6">
        <w:rPr>
          <w:color w:val="auto"/>
        </w:rPr>
        <w:t>In 1978, Congress amended the Rehabilitation Act to add Section 505</w:t>
      </w:r>
      <w:r w:rsidR="009A1E3E" w:rsidRPr="008C01A6">
        <w:rPr>
          <w:color w:val="auto"/>
        </w:rPr>
        <w:t xml:space="preserve">, which states that the “remedies, procedures, and rights set forth in title VI of the Civil Rights Act of 1964 . . . shall be available to any person aggrieved by any act or failure to </w:t>
      </w:r>
      <w:r w:rsidR="008F1E3D" w:rsidRPr="008C01A6">
        <w:rPr>
          <w:color w:val="auto"/>
        </w:rPr>
        <w:t xml:space="preserve">act” in violation of the </w:t>
      </w:r>
      <w:r w:rsidR="007905A0" w:rsidRPr="008C01A6">
        <w:rPr>
          <w:color w:val="auto"/>
        </w:rPr>
        <w:t xml:space="preserve">Rehabilitation </w:t>
      </w:r>
      <w:r w:rsidR="008F1E3D" w:rsidRPr="008C01A6">
        <w:rPr>
          <w:color w:val="auto"/>
        </w:rPr>
        <w:t>Act</w:t>
      </w:r>
      <w:r w:rsidR="00F815E8" w:rsidRPr="008C01A6">
        <w:rPr>
          <w:color w:val="auto"/>
        </w:rPr>
        <w:t xml:space="preserve">. </w:t>
      </w:r>
      <w:proofErr w:type="gramStart"/>
      <w:r w:rsidR="00BF706E" w:rsidRPr="008C01A6">
        <w:rPr>
          <w:color w:val="auto"/>
        </w:rPr>
        <w:t>Pub.</w:t>
      </w:r>
      <w:proofErr w:type="gramEnd"/>
      <w:r w:rsidR="00BF706E" w:rsidRPr="008C01A6">
        <w:rPr>
          <w:color w:val="auto"/>
        </w:rPr>
        <w:t xml:space="preserve"> L. No. 95-602, § 120(a), 92 Stat. 2955 (1978) (codified at 29 U.S.C. § 794a). </w:t>
      </w:r>
      <w:proofErr w:type="gramStart"/>
      <w:r w:rsidR="001279B1" w:rsidRPr="008C01A6">
        <w:rPr>
          <w:color w:val="auto"/>
        </w:rPr>
        <w:t>As t</w:t>
      </w:r>
      <w:r w:rsidR="009A1E3E" w:rsidRPr="008C01A6">
        <w:rPr>
          <w:color w:val="auto"/>
        </w:rPr>
        <w:t xml:space="preserve">he </w:t>
      </w:r>
      <w:r w:rsidR="00D54DD8" w:rsidRPr="008C01A6">
        <w:rPr>
          <w:color w:val="auto"/>
        </w:rPr>
        <w:t xml:space="preserve">Supreme Court </w:t>
      </w:r>
      <w:r w:rsidR="001279B1" w:rsidRPr="008C01A6">
        <w:rPr>
          <w:color w:val="auto"/>
        </w:rPr>
        <w:t xml:space="preserve">recognized, </w:t>
      </w:r>
      <w:r w:rsidR="00BF706E" w:rsidRPr="008C01A6">
        <w:rPr>
          <w:color w:val="auto"/>
        </w:rPr>
        <w:t>Section 505 “was intended to codify the regulations of the Department of Health, Education and Welfar</w:t>
      </w:r>
      <w:r w:rsidR="008F1E3D" w:rsidRPr="008C01A6">
        <w:rPr>
          <w:color w:val="auto"/>
        </w:rPr>
        <w:t>e governing enforcement of</w:t>
      </w:r>
      <w:r w:rsidR="00BF706E" w:rsidRPr="008C01A6">
        <w:rPr>
          <w:color w:val="auto"/>
        </w:rPr>
        <w:t>”</w:t>
      </w:r>
      <w:r w:rsidR="008F1E3D" w:rsidRPr="008C01A6">
        <w:rPr>
          <w:color w:val="auto"/>
        </w:rPr>
        <w:t xml:space="preserve"> the Rehabilitation Act.</w:t>
      </w:r>
      <w:proofErr w:type="gramEnd"/>
      <w:r w:rsidR="00BF706E" w:rsidRPr="008C01A6">
        <w:rPr>
          <w:color w:val="auto"/>
        </w:rPr>
        <w:t xml:space="preserve"> </w:t>
      </w:r>
      <w:r w:rsidR="00C462A9" w:rsidRPr="008C01A6">
        <w:rPr>
          <w:i/>
        </w:rPr>
        <w:t xml:space="preserve">Consol. Rail Corp. v. </w:t>
      </w:r>
      <w:proofErr w:type="spellStart"/>
      <w:r w:rsidR="00C462A9" w:rsidRPr="008C01A6">
        <w:rPr>
          <w:i/>
        </w:rPr>
        <w:t>Darrone</w:t>
      </w:r>
      <w:proofErr w:type="spellEnd"/>
      <w:r w:rsidR="00BF706E" w:rsidRPr="008C01A6">
        <w:rPr>
          <w:color w:val="auto"/>
        </w:rPr>
        <w:t xml:space="preserve">, 465 U.S. 624, 635 </w:t>
      </w:r>
      <w:r w:rsidR="00433AA5" w:rsidRPr="008C01A6">
        <w:rPr>
          <w:color w:val="auto"/>
        </w:rPr>
        <w:t xml:space="preserve">&amp; n.16 </w:t>
      </w:r>
      <w:r w:rsidR="00BF706E" w:rsidRPr="008C01A6">
        <w:rPr>
          <w:color w:val="auto"/>
        </w:rPr>
        <w:t xml:space="preserve">(1984) (citing </w:t>
      </w:r>
      <w:r w:rsidR="00BF706E" w:rsidRPr="008C01A6">
        <w:rPr>
          <w:rFonts w:eastAsiaTheme="minorHAnsi"/>
        </w:rPr>
        <w:t>S. Rep. No. 95-890 (1978), at 19</w:t>
      </w:r>
      <w:r w:rsidR="008F1E3D" w:rsidRPr="008C01A6">
        <w:rPr>
          <w:rFonts w:eastAsiaTheme="minorHAnsi"/>
        </w:rPr>
        <w:t>)</w:t>
      </w:r>
      <w:r w:rsidR="00A040A9" w:rsidRPr="008C01A6">
        <w:rPr>
          <w:rFonts w:eastAsiaTheme="minorHAnsi"/>
        </w:rPr>
        <w:t xml:space="preserve">; </w:t>
      </w:r>
      <w:r w:rsidR="00A040A9" w:rsidRPr="008C01A6">
        <w:rPr>
          <w:i/>
        </w:rPr>
        <w:t>accord Alexander v. Choate,</w:t>
      </w:r>
      <w:r w:rsidR="00A040A9" w:rsidRPr="008C01A6">
        <w:t xml:space="preserve"> 469 U.S. 287, 304 n.24, 306 n.27 (1985).</w:t>
      </w:r>
      <w:r w:rsidR="008F1E3D" w:rsidRPr="008C01A6">
        <w:rPr>
          <w:rFonts w:eastAsiaTheme="minorHAnsi"/>
        </w:rPr>
        <w:t xml:space="preserve"> </w:t>
      </w:r>
      <w:r w:rsidR="00BF706E" w:rsidRPr="008C01A6">
        <w:rPr>
          <w:rFonts w:eastAsiaTheme="minorHAnsi"/>
        </w:rPr>
        <w:t>Thus, Section 505 codifies “as a specific statutory requirement” HEW’s regulation</w:t>
      </w:r>
      <w:r w:rsidR="00016E2C" w:rsidRPr="008C01A6">
        <w:rPr>
          <w:rFonts w:eastAsiaTheme="minorHAnsi"/>
        </w:rPr>
        <w:t>s</w:t>
      </w:r>
      <w:r w:rsidRPr="008C01A6">
        <w:rPr>
          <w:rFonts w:eastAsiaTheme="minorHAnsi"/>
        </w:rPr>
        <w:t xml:space="preserve">, </w:t>
      </w:r>
      <w:r w:rsidR="00443971" w:rsidRPr="008C01A6">
        <w:rPr>
          <w:color w:val="auto"/>
        </w:rPr>
        <w:t>which called for Department of Justice enforcement authority through litigation</w:t>
      </w:r>
      <w:r w:rsidR="00B52105" w:rsidRPr="008C01A6">
        <w:rPr>
          <w:color w:val="auto"/>
        </w:rPr>
        <w:t>.</w:t>
      </w:r>
      <w:r w:rsidR="00443971" w:rsidRPr="008C01A6">
        <w:rPr>
          <w:color w:val="auto"/>
        </w:rPr>
        <w:t xml:space="preserve"> </w:t>
      </w:r>
      <w:r w:rsidR="00B52105" w:rsidRPr="008C01A6">
        <w:rPr>
          <w:i/>
          <w:color w:val="auto"/>
        </w:rPr>
        <w:t>See</w:t>
      </w:r>
      <w:r w:rsidR="000A3ABB" w:rsidRPr="008C01A6">
        <w:rPr>
          <w:rFonts w:eastAsiaTheme="minorHAnsi"/>
        </w:rPr>
        <w:t xml:space="preserve"> S. Rep. No. 95-890 (1978), at 19; </w:t>
      </w:r>
      <w:r w:rsidR="000A3ABB" w:rsidRPr="008C01A6">
        <w:rPr>
          <w:rFonts w:eastAsiaTheme="minorHAnsi"/>
          <w:i/>
        </w:rPr>
        <w:t>see also</w:t>
      </w:r>
      <w:r w:rsidR="00B52105" w:rsidRPr="008C01A6">
        <w:rPr>
          <w:i/>
          <w:color w:val="auto"/>
        </w:rPr>
        <w:t xml:space="preserve"> </w:t>
      </w:r>
      <w:r w:rsidR="000A3ABB" w:rsidRPr="008C01A6">
        <w:rPr>
          <w:color w:val="auto"/>
        </w:rPr>
        <w:t>45</w:t>
      </w:r>
      <w:r w:rsidR="00B639CC" w:rsidRPr="008C01A6">
        <w:rPr>
          <w:color w:val="auto"/>
        </w:rPr>
        <w:t xml:space="preserve"> C</w:t>
      </w:r>
      <w:r w:rsidRPr="008C01A6">
        <w:rPr>
          <w:color w:val="auto"/>
        </w:rPr>
        <w:t>.F.R. § 84.61, incorporating</w:t>
      </w:r>
      <w:r w:rsidR="00B639CC" w:rsidRPr="008C01A6">
        <w:rPr>
          <w:color w:val="auto"/>
        </w:rPr>
        <w:t xml:space="preserve"> 45</w:t>
      </w:r>
      <w:r w:rsidR="008F1E3D" w:rsidRPr="008C01A6">
        <w:rPr>
          <w:color w:val="auto"/>
        </w:rPr>
        <w:t xml:space="preserve"> C.F.R. </w:t>
      </w:r>
      <w:r w:rsidR="000A3ABB" w:rsidRPr="008C01A6">
        <w:rPr>
          <w:color w:val="auto"/>
        </w:rPr>
        <w:t>§ </w:t>
      </w:r>
      <w:r w:rsidR="008F1E3D" w:rsidRPr="008C01A6">
        <w:rPr>
          <w:color w:val="auto"/>
        </w:rPr>
        <w:t>80.8.</w:t>
      </w:r>
      <w:r w:rsidR="00A14D22" w:rsidRPr="008C01A6">
        <w:rPr>
          <w:color w:val="auto"/>
        </w:rPr>
        <w:t xml:space="preserve"> </w:t>
      </w:r>
    </w:p>
    <w:p w:rsidR="009163DD" w:rsidRPr="008C01A6" w:rsidRDefault="00156923">
      <w:pPr>
        <w:pStyle w:val="Default"/>
        <w:spacing w:line="480" w:lineRule="auto"/>
        <w:contextualSpacing/>
        <w:mirrorIndents/>
      </w:pPr>
      <w:r w:rsidRPr="008C01A6">
        <w:rPr>
          <w:rFonts w:eastAsiaTheme="minorHAnsi"/>
        </w:rPr>
        <w:tab/>
      </w:r>
      <w:r w:rsidR="00DB4D3D" w:rsidRPr="008C01A6">
        <w:rPr>
          <w:rFonts w:eastAsiaTheme="minorHAnsi"/>
        </w:rPr>
        <w:t xml:space="preserve">As Congress contemplated, the Attorney General </w:t>
      </w:r>
      <w:r w:rsidRPr="008C01A6">
        <w:rPr>
          <w:rFonts w:eastAsiaTheme="minorHAnsi"/>
        </w:rPr>
        <w:t>brought suits to enforce the Rehabilitation Act.</w:t>
      </w:r>
      <w:r w:rsidRPr="008C01A6">
        <w:rPr>
          <w:color w:val="auto"/>
        </w:rPr>
        <w:t xml:space="preserve"> </w:t>
      </w:r>
      <w:r w:rsidR="00EF57CF" w:rsidRPr="008C01A6">
        <w:rPr>
          <w:i/>
          <w:iCs/>
        </w:rPr>
        <w:t>See</w:t>
      </w:r>
      <w:r w:rsidR="00BA7231" w:rsidRPr="008C01A6">
        <w:rPr>
          <w:i/>
          <w:iCs/>
        </w:rPr>
        <w:t>, e.g.,</w:t>
      </w:r>
      <w:r w:rsidR="00EF57CF" w:rsidRPr="008C01A6">
        <w:rPr>
          <w:i/>
          <w:iCs/>
        </w:rPr>
        <w:t xml:space="preserve"> United States v. Baylor Univ.</w:t>
      </w:r>
      <w:r w:rsidR="00A14D22" w:rsidRPr="008C01A6">
        <w:rPr>
          <w:i/>
          <w:iCs/>
        </w:rPr>
        <w:t xml:space="preserve"> Med. Ctr.</w:t>
      </w:r>
      <w:r w:rsidR="00A1693C" w:rsidRPr="008C01A6">
        <w:t>, 736 F.2d 1039, 1049 (</w:t>
      </w:r>
      <w:r w:rsidR="00A14D22" w:rsidRPr="008C01A6">
        <w:t xml:space="preserve">5th Cir. </w:t>
      </w:r>
      <w:r w:rsidR="00A1693C" w:rsidRPr="008C01A6">
        <w:t>1984)</w:t>
      </w:r>
      <w:r w:rsidR="00EF57CF" w:rsidRPr="008C01A6">
        <w:t xml:space="preserve">; </w:t>
      </w:r>
      <w:r w:rsidR="00EF57CF" w:rsidRPr="008C01A6">
        <w:rPr>
          <w:i/>
          <w:iCs/>
        </w:rPr>
        <w:t>United States v. Univ. Hosp. of State Univ. of N.Y. at Stony Brook</w:t>
      </w:r>
      <w:r w:rsidR="00EF57CF" w:rsidRPr="008C01A6">
        <w:t xml:space="preserve">, 575 F. Supp. 607, 616 (E.D.N.Y. 1983); </w:t>
      </w:r>
      <w:r w:rsidR="00EF57CF" w:rsidRPr="008C01A6">
        <w:rPr>
          <w:i/>
        </w:rPr>
        <w:t>United States v. Bd. of Trustees for Univ. of Alabama</w:t>
      </w:r>
      <w:r w:rsidR="00EF57CF" w:rsidRPr="008C01A6">
        <w:t>, 908 F.2d 740 (11th</w:t>
      </w:r>
      <w:r w:rsidR="00944D0E" w:rsidRPr="008C01A6">
        <w:t xml:space="preserve"> Cir. 1990). </w:t>
      </w:r>
      <w:r w:rsidR="00BF706E" w:rsidRPr="008C01A6">
        <w:t xml:space="preserve">These courts, like the courts that had considered </w:t>
      </w:r>
      <w:r w:rsidR="008F1E3D" w:rsidRPr="008C01A6">
        <w:t xml:space="preserve">cases under </w:t>
      </w:r>
      <w:r w:rsidR="00BF706E" w:rsidRPr="008C01A6">
        <w:t xml:space="preserve">Title VI, </w:t>
      </w:r>
      <w:r w:rsidR="00C93E4D" w:rsidRPr="008C01A6">
        <w:t xml:space="preserve">agreed that </w:t>
      </w:r>
      <w:r w:rsidR="008F1E3D" w:rsidRPr="008C01A6">
        <w:t>the Attorney General had a right of action to enforce the Act</w:t>
      </w:r>
      <w:r w:rsidR="00175172" w:rsidRPr="008C01A6">
        <w:t xml:space="preserve">. </w:t>
      </w:r>
      <w:r w:rsidR="00C93E4D" w:rsidRPr="008C01A6">
        <w:rPr>
          <w:i/>
          <w:iCs/>
        </w:rPr>
        <w:t>See Baylor Univ.</w:t>
      </w:r>
      <w:r w:rsidR="00C93E4D" w:rsidRPr="008C01A6">
        <w:t xml:space="preserve">, 736 F.2d </w:t>
      </w:r>
      <w:r w:rsidR="00A1693C" w:rsidRPr="008C01A6">
        <w:t>at</w:t>
      </w:r>
      <w:r w:rsidR="00016E2C" w:rsidRPr="008C01A6">
        <w:t xml:space="preserve"> </w:t>
      </w:r>
      <w:r w:rsidR="00C93E4D" w:rsidRPr="008C01A6">
        <w:t xml:space="preserve">1049 (stating that the university’s receipt of Medicare and Medicaid payments “subjects it to appropriate federal action under the Rehabilitation Act”); </w:t>
      </w:r>
      <w:r w:rsidR="00C93E4D" w:rsidRPr="008C01A6">
        <w:rPr>
          <w:i/>
          <w:iCs/>
        </w:rPr>
        <w:t>Univ. Hosp. of State Univ. of N.Y. at Stony Brook</w:t>
      </w:r>
      <w:r w:rsidR="00C93E4D" w:rsidRPr="008C01A6">
        <w:t xml:space="preserve">, 575 F. Supp. </w:t>
      </w:r>
      <w:r w:rsidR="00A1693C" w:rsidRPr="008C01A6">
        <w:t>at</w:t>
      </w:r>
      <w:r w:rsidR="00C93E4D" w:rsidRPr="008C01A6">
        <w:t xml:space="preserve"> 616 (</w:t>
      </w:r>
      <w:r w:rsidR="00BF706E" w:rsidRPr="008C01A6">
        <w:t>the Rehabilitation Act au</w:t>
      </w:r>
      <w:r w:rsidR="00C93E4D" w:rsidRPr="008C01A6">
        <w:t>thorize</w:t>
      </w:r>
      <w:r w:rsidR="00BF706E" w:rsidRPr="008C01A6">
        <w:t>s</w:t>
      </w:r>
      <w:r w:rsidR="00C93E4D" w:rsidRPr="008C01A6">
        <w:t xml:space="preserve"> suit by the federal government to remedy discrimination by federal fund recipients).</w:t>
      </w:r>
      <w:r w:rsidR="006E15F1" w:rsidRPr="008C01A6">
        <w:t xml:space="preserve"> </w:t>
      </w:r>
    </w:p>
    <w:p w:rsidR="00B52105" w:rsidRPr="008C01A6" w:rsidRDefault="00156923">
      <w:pPr>
        <w:pStyle w:val="Heading2"/>
        <w:keepNext w:val="0"/>
        <w:keepLines w:val="0"/>
        <w:widowControl w:val="0"/>
        <w:rPr>
          <w:rFonts w:cs="Times New Roman"/>
          <w:szCs w:val="24"/>
        </w:rPr>
      </w:pPr>
      <w:bookmarkStart w:id="7" w:name="_Toc465681937"/>
      <w:r w:rsidRPr="008C01A6">
        <w:rPr>
          <w:rFonts w:cs="Times New Roman"/>
          <w:szCs w:val="24"/>
        </w:rPr>
        <w:t xml:space="preserve">The Attorney General Can Enforce Title II </w:t>
      </w:r>
      <w:r w:rsidR="00016E2C" w:rsidRPr="008C01A6">
        <w:rPr>
          <w:rFonts w:cs="Times New Roman"/>
          <w:szCs w:val="24"/>
        </w:rPr>
        <w:t xml:space="preserve">of the ADA </w:t>
      </w:r>
      <w:proofErr w:type="gramStart"/>
      <w:r w:rsidRPr="008C01A6">
        <w:rPr>
          <w:rFonts w:cs="Times New Roman"/>
          <w:szCs w:val="24"/>
        </w:rPr>
        <w:t>Through</w:t>
      </w:r>
      <w:proofErr w:type="gramEnd"/>
      <w:r w:rsidRPr="008C01A6">
        <w:rPr>
          <w:rFonts w:cs="Times New Roman"/>
          <w:szCs w:val="24"/>
        </w:rPr>
        <w:t xml:space="preserve"> Litigation</w:t>
      </w:r>
      <w:bookmarkEnd w:id="7"/>
    </w:p>
    <w:p w:rsidR="00B52105" w:rsidRPr="008C01A6" w:rsidRDefault="00B52105">
      <w:pPr>
        <w:pStyle w:val="Heading2"/>
        <w:keepNext w:val="0"/>
        <w:keepLines w:val="0"/>
        <w:widowControl w:val="0"/>
        <w:numPr>
          <w:ilvl w:val="0"/>
          <w:numId w:val="0"/>
        </w:numPr>
        <w:ind w:left="1440"/>
        <w:rPr>
          <w:rFonts w:cs="Times New Roman"/>
          <w:szCs w:val="24"/>
        </w:rPr>
      </w:pPr>
    </w:p>
    <w:p w:rsidR="00B52105" w:rsidRPr="008C01A6" w:rsidRDefault="00156923">
      <w:pPr>
        <w:pStyle w:val="Heading3"/>
        <w:keepNext w:val="0"/>
        <w:keepLines w:val="0"/>
        <w:widowControl w:val="0"/>
        <w:rPr>
          <w:rFonts w:cs="Times New Roman"/>
          <w:szCs w:val="24"/>
        </w:rPr>
      </w:pPr>
      <w:bookmarkStart w:id="8" w:name="_Toc465681938"/>
      <w:r w:rsidRPr="008C01A6">
        <w:rPr>
          <w:rFonts w:cs="Times New Roman"/>
          <w:szCs w:val="24"/>
        </w:rPr>
        <w:t>As Congress Understood, Ti</w:t>
      </w:r>
      <w:r w:rsidR="00F06A2C" w:rsidRPr="008C01A6">
        <w:rPr>
          <w:rFonts w:cs="Times New Roman"/>
          <w:szCs w:val="24"/>
        </w:rPr>
        <w:t>tle II of the ADA Incorporated Title VI</w:t>
      </w:r>
      <w:r w:rsidR="00F14357" w:rsidRPr="008C01A6">
        <w:rPr>
          <w:rFonts w:cs="Times New Roman"/>
          <w:szCs w:val="24"/>
        </w:rPr>
        <w:t>’s</w:t>
      </w:r>
      <w:r w:rsidR="00F06A2C" w:rsidRPr="008C01A6">
        <w:rPr>
          <w:rFonts w:cs="Times New Roman"/>
          <w:szCs w:val="24"/>
        </w:rPr>
        <w:t xml:space="preserve"> and the Rehabilitation Act’s </w:t>
      </w:r>
      <w:r w:rsidR="00F14357" w:rsidRPr="008C01A6">
        <w:rPr>
          <w:rFonts w:cs="Times New Roman"/>
          <w:szCs w:val="24"/>
        </w:rPr>
        <w:t>Right of Action for the Attorney General</w:t>
      </w:r>
      <w:bookmarkEnd w:id="8"/>
      <w:r w:rsidR="00F14357" w:rsidRPr="008C01A6">
        <w:rPr>
          <w:rFonts w:cs="Times New Roman"/>
          <w:szCs w:val="24"/>
        </w:rPr>
        <w:t xml:space="preserve"> </w:t>
      </w:r>
    </w:p>
    <w:p w:rsidR="00B52105" w:rsidRPr="008C01A6" w:rsidRDefault="00B52105">
      <w:pPr>
        <w:widowControl w:val="0"/>
        <w:rPr>
          <w:rFonts w:ascii="Times New Roman" w:hAnsi="Times New Roman" w:cs="Times New Roman"/>
          <w:sz w:val="24"/>
          <w:szCs w:val="24"/>
        </w:rPr>
      </w:pPr>
    </w:p>
    <w:p w:rsidR="00B52105" w:rsidRPr="008C01A6" w:rsidRDefault="007C55C1" w:rsidP="009163DD">
      <w:pPr>
        <w:pStyle w:val="Default"/>
        <w:spacing w:line="480" w:lineRule="auto"/>
        <w:contextualSpacing/>
        <w:mirrorIndents/>
      </w:pPr>
      <w:r w:rsidRPr="008C01A6">
        <w:tab/>
      </w:r>
      <w:r w:rsidR="00F758E0" w:rsidRPr="008C01A6">
        <w:t>Thus, by the time Congress enacted Title II, it had been understood for decades that Title VI and the Rehabilitation Act gave the Attorney General a right of action to sue to ensure compliance with those statutes’ non-discrimination mandate</w:t>
      </w:r>
      <w:r w:rsidR="009163DD" w:rsidRPr="008C01A6">
        <w:t>s</w:t>
      </w:r>
      <w:r w:rsidR="00F758E0" w:rsidRPr="008C01A6">
        <w:t xml:space="preserve">. Congress’s awareness of that legal background is important. As the Supreme Court explained, even under a “strict approach” to statutory construction, “our evaluation of congressional action . . . must take into account its contemporary legal context,” and it is “always appropriate to assume that </w:t>
      </w:r>
      <w:r w:rsidR="004F3448">
        <w:t xml:space="preserve">our </w:t>
      </w:r>
      <w:r w:rsidR="00F758E0" w:rsidRPr="008C01A6">
        <w:t xml:space="preserve">elected representatives, like other citizens, know the law.” </w:t>
      </w:r>
      <w:r w:rsidR="00F758E0" w:rsidRPr="008C01A6">
        <w:rPr>
          <w:i/>
        </w:rPr>
        <w:t>Cannon</w:t>
      </w:r>
      <w:r w:rsidR="00F758E0" w:rsidRPr="008C01A6">
        <w:t>, 441 U.S. at 696-97</w:t>
      </w:r>
      <w:r w:rsidR="00295F5F" w:rsidRPr="008C01A6">
        <w:t xml:space="preserve">; </w:t>
      </w:r>
      <w:r w:rsidR="00295F5F" w:rsidRPr="008C01A6">
        <w:rPr>
          <w:i/>
        </w:rPr>
        <w:t>accord</w:t>
      </w:r>
      <w:r w:rsidR="00295F5F" w:rsidRPr="008C01A6">
        <w:t xml:space="preserve"> </w:t>
      </w:r>
      <w:r w:rsidR="00833539" w:rsidRPr="008C01A6">
        <w:rPr>
          <w:i/>
        </w:rPr>
        <w:t>Lorillard</w:t>
      </w:r>
      <w:r w:rsidR="00295F5F" w:rsidRPr="008C01A6">
        <w:t xml:space="preserve"> </w:t>
      </w:r>
      <w:r w:rsidR="00833539" w:rsidRPr="008C01A6">
        <w:rPr>
          <w:i/>
        </w:rPr>
        <w:t>v.</w:t>
      </w:r>
      <w:r w:rsidR="00295F5F" w:rsidRPr="008C01A6">
        <w:t xml:space="preserve"> </w:t>
      </w:r>
      <w:r w:rsidR="00833539" w:rsidRPr="008C01A6">
        <w:rPr>
          <w:i/>
        </w:rPr>
        <w:t>Pons</w:t>
      </w:r>
      <w:r w:rsidR="00295F5F" w:rsidRPr="008C01A6">
        <w:t>, 434 U.S. 575, 581 (1978)</w:t>
      </w:r>
      <w:r w:rsidR="006829D0" w:rsidRPr="008C01A6">
        <w:t xml:space="preserve"> (“[W]here, as here, Congress adopts a new law incorporating sections of a prior law, Congress normally can be presumed to have had knowledge of the interpretation given to the incorporated law, at least insofar as it affects the new statute.”)</w:t>
      </w:r>
      <w:r w:rsidR="00F758E0" w:rsidRPr="008C01A6">
        <w:t>.</w:t>
      </w:r>
      <w:r w:rsidR="00F14357" w:rsidRPr="008C01A6">
        <w:rPr>
          <w:rStyle w:val="FootnoteReference"/>
        </w:rPr>
        <w:footnoteReference w:id="2"/>
      </w:r>
      <w:r w:rsidR="00F758E0" w:rsidRPr="008C01A6">
        <w:t xml:space="preserve"> </w:t>
      </w:r>
    </w:p>
    <w:p w:rsidR="00B52105" w:rsidRPr="008C01A6" w:rsidRDefault="00F758E0">
      <w:pPr>
        <w:pStyle w:val="Default"/>
        <w:spacing w:line="480" w:lineRule="auto"/>
        <w:contextualSpacing/>
        <w:mirrorIndents/>
      </w:pPr>
      <w:r w:rsidRPr="008C01A6">
        <w:tab/>
      </w:r>
      <w:r w:rsidR="00EF57CF" w:rsidRPr="008C01A6">
        <w:t>Title II w</w:t>
      </w:r>
      <w:r w:rsidR="007C55C1" w:rsidRPr="008C01A6">
        <w:t>as</w:t>
      </w:r>
      <w:r w:rsidR="00A200F1" w:rsidRPr="008C01A6">
        <w:t xml:space="preserve"> enacted</w:t>
      </w:r>
      <w:r w:rsidR="007C55C1" w:rsidRPr="008C01A6">
        <w:t xml:space="preserve"> to extend the Rehabilitation Act’s reach, because the Rehabilitation Act</w:t>
      </w:r>
      <w:r w:rsidR="00A200F1" w:rsidRPr="008C01A6">
        <w:t xml:space="preserve"> prohibited </w:t>
      </w:r>
      <w:r w:rsidR="007C55C1" w:rsidRPr="008C01A6">
        <w:t xml:space="preserve">discrimination </w:t>
      </w:r>
      <w:r w:rsidR="008756AD" w:rsidRPr="008C01A6">
        <w:t xml:space="preserve">only </w:t>
      </w:r>
      <w:r w:rsidR="007C55C1" w:rsidRPr="008C01A6">
        <w:t>by federally funded entities</w:t>
      </w:r>
      <w:r w:rsidR="00A200F1" w:rsidRPr="008C01A6">
        <w:t xml:space="preserve"> and therefore</w:t>
      </w:r>
      <w:r w:rsidR="007C55C1" w:rsidRPr="008C01A6">
        <w:t xml:space="preserve"> </w:t>
      </w:r>
      <w:r w:rsidR="00060357" w:rsidRPr="008C01A6">
        <w:t xml:space="preserve">provided no means to address </w:t>
      </w:r>
      <w:r w:rsidR="006A31D3" w:rsidRPr="008C01A6">
        <w:t xml:space="preserve">discrimination </w:t>
      </w:r>
      <w:r w:rsidR="008D25A9" w:rsidRPr="008C01A6">
        <w:t>by</w:t>
      </w:r>
      <w:r w:rsidR="00BF706E" w:rsidRPr="008C01A6">
        <w:t xml:space="preserve"> many other</w:t>
      </w:r>
      <w:r w:rsidR="008D25A9" w:rsidRPr="008C01A6">
        <w:t xml:space="preserve"> </w:t>
      </w:r>
      <w:r w:rsidR="006A31D3" w:rsidRPr="008C01A6">
        <w:t>public entities</w:t>
      </w:r>
      <w:r w:rsidR="0099367B" w:rsidRPr="008C01A6">
        <w:t xml:space="preserve">. </w:t>
      </w:r>
      <w:r w:rsidR="008756AD" w:rsidRPr="008C01A6">
        <w:rPr>
          <w:i/>
        </w:rPr>
        <w:t xml:space="preserve">See </w:t>
      </w:r>
      <w:r w:rsidR="008756AD" w:rsidRPr="008C01A6">
        <w:t xml:space="preserve">42 U.S.C. </w:t>
      </w:r>
      <w:r w:rsidR="00245E7A" w:rsidRPr="008C01A6">
        <w:t>§ </w:t>
      </w:r>
      <w:r w:rsidR="00F14357" w:rsidRPr="008C01A6">
        <w:t>12101</w:t>
      </w:r>
      <w:r w:rsidR="00524DBB">
        <w:fldChar w:fldCharType="begin"/>
      </w:r>
      <w:r w:rsidR="00B949D7">
        <w:instrText xml:space="preserve"> TA \s "42 U.S.C. § 12101" </w:instrText>
      </w:r>
      <w:r w:rsidR="00524DBB">
        <w:fldChar w:fldCharType="end"/>
      </w:r>
      <w:r w:rsidR="00F14357" w:rsidRPr="008C01A6">
        <w:t>(a</w:t>
      </w:r>
      <w:proofErr w:type="gramStart"/>
      <w:r w:rsidR="00F14357" w:rsidRPr="008C01A6">
        <w:t>)(</w:t>
      </w:r>
      <w:proofErr w:type="gramEnd"/>
      <w:r w:rsidR="00F14357" w:rsidRPr="008C01A6">
        <w:t>3) (</w:t>
      </w:r>
      <w:r w:rsidR="008756AD" w:rsidRPr="008C01A6">
        <w:t xml:space="preserve">finding that disability-based discrimination “persists” in “access to public services”). </w:t>
      </w:r>
      <w:r w:rsidR="006A31D3" w:rsidRPr="008C01A6">
        <w:t xml:space="preserve">Thus, </w:t>
      </w:r>
      <w:r w:rsidR="004B212D" w:rsidRPr="008C01A6">
        <w:t>“Congress’ intent was that Title II extend the protections of the Rehabilitation Act to cover all programs of state or local governments, regardless of the receipt of federal financial assistance</w:t>
      </w:r>
      <w:r w:rsidR="002173FB" w:rsidRPr="008C01A6">
        <w:t>[,] and that it work in the same manner as [the Rehabilitation Act].</w:t>
      </w:r>
      <w:r w:rsidR="00D51E91" w:rsidRPr="008C01A6">
        <w:t xml:space="preserve">” </w:t>
      </w:r>
      <w:proofErr w:type="spellStart"/>
      <w:proofErr w:type="gramStart"/>
      <w:r w:rsidR="00C462A9" w:rsidRPr="008C01A6">
        <w:rPr>
          <w:i/>
        </w:rPr>
        <w:t>Hainze</w:t>
      </w:r>
      <w:proofErr w:type="spellEnd"/>
      <w:r w:rsidR="00C462A9" w:rsidRPr="008C01A6">
        <w:rPr>
          <w:i/>
        </w:rPr>
        <w:t xml:space="preserve"> v. Richards</w:t>
      </w:r>
      <w:r w:rsidR="004B212D" w:rsidRPr="008C01A6">
        <w:t>, 207 F.3d 795, 799 (5th Cir. 2000) (internal quotation mark</w:t>
      </w:r>
      <w:r w:rsidR="002173FB" w:rsidRPr="008C01A6">
        <w:t>s and citation omitted).</w:t>
      </w:r>
      <w:proofErr w:type="gramEnd"/>
    </w:p>
    <w:p w:rsidR="00B52105" w:rsidRPr="008C01A6" w:rsidRDefault="00C462A9">
      <w:pPr>
        <w:pStyle w:val="Default"/>
        <w:spacing w:line="480" w:lineRule="auto"/>
        <w:contextualSpacing/>
        <w:mirrorIndents/>
      </w:pPr>
      <w:r w:rsidRPr="008C01A6">
        <w:tab/>
        <w:t xml:space="preserve">Accordingly, Congress incorporated the enforcement provision of the Rehabilitation Act </w:t>
      </w:r>
      <w:r w:rsidR="00D51E91" w:rsidRPr="008C01A6">
        <w:t>(and therefore of Title VI) into Title II</w:t>
      </w:r>
      <w:r w:rsidR="00FE1CAE" w:rsidRPr="008C01A6">
        <w:t xml:space="preserve">. </w:t>
      </w:r>
      <w:r w:rsidR="00D51E91" w:rsidRPr="008C01A6">
        <w:t xml:space="preserve">Title II’s enforcement provision, 42 U.S.C. § 12133, </w:t>
      </w:r>
      <w:r w:rsidR="00724EF3" w:rsidRPr="008C01A6">
        <w:t xml:space="preserve">states that “[t]he remedies, procedures, and rights set forth </w:t>
      </w:r>
      <w:r w:rsidR="002173FB" w:rsidRPr="008C01A6">
        <w:t>in [</w:t>
      </w:r>
      <w:r w:rsidR="00A200F1" w:rsidRPr="008C01A6">
        <w:t>Section 505 of the</w:t>
      </w:r>
      <w:r w:rsidR="00724EF3" w:rsidRPr="008C01A6">
        <w:t xml:space="preserve"> Rehabilitation Act] shall be </w:t>
      </w:r>
      <w:r w:rsidR="00724EF3" w:rsidRPr="008C01A6">
        <w:rPr>
          <w:i/>
        </w:rPr>
        <w:t>the remedies, procedures, and rights this subchapter provides</w:t>
      </w:r>
      <w:r w:rsidR="002173FB" w:rsidRPr="008C01A6">
        <w:rPr>
          <w:i/>
        </w:rPr>
        <w:t xml:space="preserve"> to any person</w:t>
      </w:r>
      <w:r w:rsidR="002173FB" w:rsidRPr="008C01A6">
        <w:t xml:space="preserve"> alleging discrimination on the basi</w:t>
      </w:r>
      <w:r w:rsidR="00CC7A38" w:rsidRPr="008C01A6">
        <w:t>s of disability in violation of” Title II.</w:t>
      </w:r>
      <w:r w:rsidR="00B95A3A" w:rsidRPr="008C01A6">
        <w:t xml:space="preserve"> </w:t>
      </w:r>
      <w:r w:rsidR="00B95A3A" w:rsidRPr="008C01A6">
        <w:rPr>
          <w:i/>
        </w:rPr>
        <w:t>Id.</w:t>
      </w:r>
      <w:r w:rsidR="00B95A3A" w:rsidRPr="008C01A6">
        <w:t xml:space="preserve"> (emphasis added).</w:t>
      </w:r>
      <w:r w:rsidR="00CC7A38" w:rsidRPr="008C01A6">
        <w:t xml:space="preserve"> </w:t>
      </w:r>
      <w:r w:rsidR="00D54B7C" w:rsidRPr="008C01A6">
        <w:t xml:space="preserve">The </w:t>
      </w:r>
      <w:r w:rsidR="00B52105" w:rsidRPr="008C01A6">
        <w:t>main import</w:t>
      </w:r>
      <w:r w:rsidR="00D54B7C" w:rsidRPr="008C01A6">
        <w:t xml:space="preserve"> of this section is not merely that a “person alleging discrimination” may bring a lawsuit, but rather that the “remedies, procedures, and rights” of Section 505 are “</w:t>
      </w:r>
      <w:r w:rsidR="00D54B7C" w:rsidRPr="008C01A6">
        <w:rPr>
          <w:i/>
        </w:rPr>
        <w:t>provide[d] to</w:t>
      </w:r>
      <w:r w:rsidR="00D54B7C" w:rsidRPr="008C01A6">
        <w:t xml:space="preserve">” such persons. As Congress knew, the “remedies, procedures and rights” of Section 505 (and Title VI) center on enforcement </w:t>
      </w:r>
      <w:r w:rsidR="00D54B7C" w:rsidRPr="008C01A6">
        <w:rPr>
          <w:i/>
        </w:rPr>
        <w:t>by the federal government</w:t>
      </w:r>
      <w:r w:rsidR="00D54B7C" w:rsidRPr="008C01A6">
        <w:t xml:space="preserve">, including litigation by the Attorney General. </w:t>
      </w:r>
      <w:proofErr w:type="gramStart"/>
      <w:r w:rsidRPr="008C01A6">
        <w:rPr>
          <w:i/>
        </w:rPr>
        <w:t>See,</w:t>
      </w:r>
      <w:r w:rsidR="00724EF3" w:rsidRPr="008C01A6">
        <w:t xml:space="preserve"> </w:t>
      </w:r>
      <w:r w:rsidR="00724EF3" w:rsidRPr="008C01A6">
        <w:rPr>
          <w:i/>
        </w:rPr>
        <w:t>e.g.</w:t>
      </w:r>
      <w:r w:rsidR="00CD04BC" w:rsidRPr="008C01A6">
        <w:t xml:space="preserve">, </w:t>
      </w:r>
      <w:r w:rsidR="00724EF3" w:rsidRPr="008C01A6">
        <w:t xml:space="preserve">28 C.F.R. </w:t>
      </w:r>
      <w:r w:rsidR="00087586" w:rsidRPr="008C01A6">
        <w:t>§ </w:t>
      </w:r>
      <w:r w:rsidR="00F14357" w:rsidRPr="008C01A6">
        <w:t>50.3</w:t>
      </w:r>
      <w:r w:rsidR="00724EF3" w:rsidRPr="008C01A6">
        <w:t xml:space="preserve">; 28 C.F.R. </w:t>
      </w:r>
      <w:r w:rsidR="00087586" w:rsidRPr="008C01A6">
        <w:t>§ </w:t>
      </w:r>
      <w:r w:rsidR="00724EF3" w:rsidRPr="008C01A6">
        <w:t>41.5</w:t>
      </w:r>
      <w:r w:rsidR="00F815E8" w:rsidRPr="008C01A6">
        <w:t>.</w:t>
      </w:r>
      <w:proofErr w:type="gramEnd"/>
      <w:r w:rsidR="00E901D1" w:rsidRPr="008C01A6">
        <w:t xml:space="preserve"> Thus, the Attorney General has a right of action under this section—not because the Attorney General is a “person,” </w:t>
      </w:r>
      <w:r w:rsidR="00E901D1" w:rsidRPr="008C01A6">
        <w:rPr>
          <w:i/>
        </w:rPr>
        <w:t xml:space="preserve">see </w:t>
      </w:r>
      <w:r w:rsidR="009E3E91" w:rsidRPr="008C01A6">
        <w:t>MTD at 7</w:t>
      </w:r>
      <w:r w:rsidR="00E901D1" w:rsidRPr="008C01A6">
        <w:t xml:space="preserve">, but because the Attorney </w:t>
      </w:r>
      <w:r w:rsidR="00B52105" w:rsidRPr="008C01A6">
        <w:t xml:space="preserve">General had a cause of action </w:t>
      </w:r>
      <w:r w:rsidR="00920628">
        <w:t>under</w:t>
      </w:r>
      <w:r w:rsidR="00B52105" w:rsidRPr="008C01A6">
        <w:t xml:space="preserve"> the “remedies, procedures and rights” of Section 505 that were incorporated into Title II.</w:t>
      </w:r>
    </w:p>
    <w:p w:rsidR="00B52105" w:rsidRPr="008C01A6" w:rsidRDefault="00D54B7C">
      <w:pPr>
        <w:widowControl w:val="0"/>
        <w:autoSpaceDE w:val="0"/>
        <w:autoSpaceDN w:val="0"/>
        <w:adjustRightInd w:val="0"/>
        <w:spacing w:line="480" w:lineRule="auto"/>
        <w:contextualSpacing/>
        <w:mirrorIndents/>
        <w:rPr>
          <w:rFonts w:ascii="Times New Roman" w:hAnsi="Times New Roman" w:cs="Times New Roman"/>
          <w:sz w:val="24"/>
          <w:szCs w:val="24"/>
        </w:rPr>
      </w:pPr>
      <w:r w:rsidRPr="008C01A6">
        <w:rPr>
          <w:rFonts w:ascii="Times New Roman" w:hAnsi="Times New Roman" w:cs="Times New Roman"/>
          <w:sz w:val="24"/>
          <w:szCs w:val="24"/>
        </w:rPr>
        <w:tab/>
      </w:r>
      <w:r w:rsidR="00ED4734" w:rsidRPr="008C01A6">
        <w:rPr>
          <w:rStyle w:val="cosearchdetaillevel1"/>
          <w:rFonts w:ascii="Times New Roman" w:hAnsi="Times New Roman" w:cs="Times New Roman"/>
          <w:sz w:val="24"/>
          <w:szCs w:val="24"/>
        </w:rPr>
        <w:t>The legislative history makes clear exactly what Congress intended to accomplish by incorporating the</w:t>
      </w:r>
      <w:r w:rsidR="00920628">
        <w:rPr>
          <w:rStyle w:val="cosearchdetaillevel1"/>
          <w:rFonts w:ascii="Times New Roman" w:hAnsi="Times New Roman" w:cs="Times New Roman"/>
          <w:sz w:val="24"/>
          <w:szCs w:val="24"/>
        </w:rPr>
        <w:t>se</w:t>
      </w:r>
      <w:r w:rsidR="00ED4734" w:rsidRPr="008C01A6">
        <w:rPr>
          <w:rStyle w:val="cosearchdetaillevel1"/>
          <w:rFonts w:ascii="Times New Roman" w:hAnsi="Times New Roman" w:cs="Times New Roman"/>
          <w:sz w:val="24"/>
          <w:szCs w:val="24"/>
        </w:rPr>
        <w:t xml:space="preserve"> “</w:t>
      </w:r>
      <w:r w:rsidR="00920628">
        <w:rPr>
          <w:rStyle w:val="cosearchdetaillevel1"/>
          <w:rFonts w:ascii="Times New Roman" w:hAnsi="Times New Roman" w:cs="Times New Roman"/>
          <w:sz w:val="24"/>
          <w:szCs w:val="24"/>
        </w:rPr>
        <w:t>remedies, procedures and rights</w:t>
      </w:r>
      <w:r w:rsidR="00ED4734" w:rsidRPr="008C01A6">
        <w:rPr>
          <w:rStyle w:val="cosearchdetaillevel1"/>
          <w:rFonts w:ascii="Times New Roman" w:hAnsi="Times New Roman" w:cs="Times New Roman"/>
          <w:sz w:val="24"/>
          <w:szCs w:val="24"/>
        </w:rPr>
        <w:t>.</w:t>
      </w:r>
      <w:r w:rsidR="00920628">
        <w:rPr>
          <w:rStyle w:val="cosearchdetaillevel1"/>
          <w:rFonts w:ascii="Times New Roman" w:hAnsi="Times New Roman" w:cs="Times New Roman"/>
          <w:sz w:val="24"/>
          <w:szCs w:val="24"/>
        </w:rPr>
        <w:t>”</w:t>
      </w:r>
      <w:r w:rsidR="00ED4734" w:rsidRPr="008C01A6">
        <w:rPr>
          <w:rStyle w:val="cosearchdetaillevel1"/>
          <w:rFonts w:ascii="Times New Roman" w:hAnsi="Times New Roman" w:cs="Times New Roman"/>
          <w:sz w:val="24"/>
          <w:szCs w:val="24"/>
        </w:rPr>
        <w:t xml:space="preserve"> </w:t>
      </w:r>
      <w:r w:rsidR="00ED4734" w:rsidRPr="008C01A6">
        <w:rPr>
          <w:rFonts w:ascii="Times New Roman" w:hAnsi="Times New Roman" w:cs="Times New Roman"/>
          <w:sz w:val="24"/>
          <w:szCs w:val="24"/>
        </w:rPr>
        <w:t>The</w:t>
      </w:r>
      <w:r w:rsidR="00210A87" w:rsidRPr="008C01A6">
        <w:rPr>
          <w:rFonts w:ascii="Times New Roman" w:hAnsi="Times New Roman" w:cs="Times New Roman"/>
          <w:sz w:val="24"/>
          <w:szCs w:val="24"/>
        </w:rPr>
        <w:t xml:space="preserve"> House and Senate </w:t>
      </w:r>
      <w:r w:rsidR="008D47F0" w:rsidRPr="008C01A6">
        <w:rPr>
          <w:rFonts w:ascii="Times New Roman" w:hAnsi="Times New Roman" w:cs="Times New Roman"/>
          <w:sz w:val="24"/>
          <w:szCs w:val="24"/>
        </w:rPr>
        <w:t>committee r</w:t>
      </w:r>
      <w:r w:rsidR="00210A87" w:rsidRPr="008C01A6">
        <w:rPr>
          <w:rFonts w:ascii="Times New Roman" w:hAnsi="Times New Roman" w:cs="Times New Roman"/>
          <w:sz w:val="24"/>
          <w:szCs w:val="24"/>
        </w:rPr>
        <w:t>eports</w:t>
      </w:r>
      <w:r w:rsidR="00ED4734" w:rsidRPr="008C01A6">
        <w:rPr>
          <w:rFonts w:ascii="Times New Roman" w:hAnsi="Times New Roman" w:cs="Times New Roman"/>
          <w:sz w:val="24"/>
          <w:szCs w:val="24"/>
        </w:rPr>
        <w:t xml:space="preserve"> say</w:t>
      </w:r>
      <w:r w:rsidR="00CC7A38" w:rsidRPr="008C01A6">
        <w:rPr>
          <w:rFonts w:ascii="Times New Roman" w:hAnsi="Times New Roman" w:cs="Times New Roman"/>
          <w:sz w:val="24"/>
          <w:szCs w:val="24"/>
        </w:rPr>
        <w:t xml:space="preserve">: </w:t>
      </w:r>
      <w:r w:rsidR="00C462A9" w:rsidRPr="008C01A6">
        <w:rPr>
          <w:rFonts w:ascii="Times New Roman" w:hAnsi="Times New Roman" w:cs="Times New Roman"/>
          <w:sz w:val="24"/>
          <w:szCs w:val="24"/>
        </w:rPr>
        <w:t>“Because the fund termination procedures of section 505 of the Rehabilitation Act  . . . are inapplicable to State and local government entities that do not receive Federal funds, the major enforcement sanction for the Federal government will be referral of cases by . . . Federal agencies</w:t>
      </w:r>
      <w:r w:rsidR="009E3E91" w:rsidRPr="008C01A6">
        <w:rPr>
          <w:rStyle w:val="FootnoteReference"/>
          <w:rFonts w:ascii="Times New Roman" w:hAnsi="Times New Roman" w:cs="Times New Roman"/>
          <w:sz w:val="24"/>
          <w:szCs w:val="24"/>
        </w:rPr>
        <w:footnoteReference w:id="3"/>
      </w:r>
      <w:r w:rsidR="000320D1" w:rsidRPr="008C01A6">
        <w:rPr>
          <w:rFonts w:ascii="Times New Roman" w:hAnsi="Times New Roman" w:cs="Times New Roman"/>
          <w:sz w:val="24"/>
          <w:szCs w:val="24"/>
        </w:rPr>
        <w:t xml:space="preserve"> </w:t>
      </w:r>
      <w:r w:rsidR="00C462A9" w:rsidRPr="008C01A6">
        <w:rPr>
          <w:rFonts w:ascii="Times New Roman" w:hAnsi="Times New Roman" w:cs="Times New Roman"/>
          <w:sz w:val="24"/>
          <w:szCs w:val="24"/>
        </w:rPr>
        <w:t>to the Department of Justice. . . . The Department of Justice may then proceed to file suits in Federal district court.”</w:t>
      </w:r>
      <w:r w:rsidR="00C462A9" w:rsidRPr="008C01A6">
        <w:rPr>
          <w:rFonts w:ascii="Times New Roman" w:hAnsi="Times New Roman" w:cs="Times New Roman"/>
          <w:i/>
          <w:iCs/>
          <w:sz w:val="24"/>
          <w:szCs w:val="24"/>
        </w:rPr>
        <w:t xml:space="preserve"> </w:t>
      </w:r>
      <w:r w:rsidR="00883E44" w:rsidRPr="008C01A6">
        <w:rPr>
          <w:rFonts w:ascii="Times New Roman" w:hAnsi="Times New Roman" w:cs="Times New Roman"/>
          <w:sz w:val="24"/>
          <w:szCs w:val="24"/>
        </w:rPr>
        <w:t>H.R. Rep. No. 101-485(</w:t>
      </w:r>
      <w:r w:rsidR="00C462A9" w:rsidRPr="008C01A6">
        <w:rPr>
          <w:rFonts w:ascii="Times New Roman" w:hAnsi="Times New Roman" w:cs="Times New Roman"/>
          <w:sz w:val="24"/>
          <w:szCs w:val="24"/>
        </w:rPr>
        <w:t>II</w:t>
      </w:r>
      <w:r w:rsidR="00883E44" w:rsidRPr="008C01A6">
        <w:rPr>
          <w:rFonts w:ascii="Times New Roman" w:hAnsi="Times New Roman" w:cs="Times New Roman"/>
          <w:sz w:val="24"/>
          <w:szCs w:val="24"/>
        </w:rPr>
        <w:t>)</w:t>
      </w:r>
      <w:r w:rsidR="00C462A9" w:rsidRPr="008C01A6">
        <w:rPr>
          <w:rFonts w:ascii="Times New Roman" w:hAnsi="Times New Roman" w:cs="Times New Roman"/>
          <w:sz w:val="24"/>
          <w:szCs w:val="24"/>
        </w:rPr>
        <w:t xml:space="preserve">, at 98 (1990); </w:t>
      </w:r>
      <w:r w:rsidR="00C462A9" w:rsidRPr="008C01A6">
        <w:rPr>
          <w:rFonts w:ascii="Times New Roman" w:hAnsi="Times New Roman" w:cs="Times New Roman"/>
          <w:i/>
          <w:iCs/>
          <w:sz w:val="24"/>
          <w:szCs w:val="24"/>
        </w:rPr>
        <w:t xml:space="preserve">see also </w:t>
      </w:r>
      <w:r w:rsidR="00C462A9" w:rsidRPr="008C01A6">
        <w:rPr>
          <w:rFonts w:ascii="Times New Roman" w:hAnsi="Times New Roman" w:cs="Times New Roman"/>
          <w:sz w:val="24"/>
          <w:szCs w:val="24"/>
        </w:rPr>
        <w:t>S. Rep. No. 101-116, at 57 (1989) (same).</w:t>
      </w:r>
      <w:r w:rsidR="00604354" w:rsidRPr="008C01A6">
        <w:rPr>
          <w:rFonts w:ascii="Times New Roman" w:hAnsi="Times New Roman" w:cs="Times New Roman"/>
          <w:sz w:val="24"/>
          <w:szCs w:val="24"/>
          <w:vertAlign w:val="superscript"/>
        </w:rPr>
        <w:footnoteReference w:id="4"/>
      </w:r>
      <w:r w:rsidR="00C462A9" w:rsidRPr="008C01A6">
        <w:rPr>
          <w:rFonts w:ascii="Times New Roman" w:hAnsi="Times New Roman" w:cs="Times New Roman"/>
          <w:b/>
          <w:sz w:val="24"/>
          <w:szCs w:val="24"/>
        </w:rPr>
        <w:t xml:space="preserve"> </w:t>
      </w:r>
      <w:r w:rsidR="00B95A3A" w:rsidRPr="008C01A6">
        <w:rPr>
          <w:rFonts w:ascii="Times New Roman" w:hAnsi="Times New Roman" w:cs="Times New Roman"/>
          <w:sz w:val="24"/>
          <w:szCs w:val="24"/>
        </w:rPr>
        <w:t>In other words, by incorporating the remedies, procedures and rights of Section 505, Congress intended to provide the Attorney General with a right of action.</w:t>
      </w:r>
      <w:r w:rsidR="00C462A9" w:rsidRPr="008C01A6">
        <w:rPr>
          <w:rFonts w:ascii="Times New Roman" w:hAnsi="Times New Roman" w:cs="Times New Roman"/>
          <w:b/>
          <w:sz w:val="24"/>
          <w:szCs w:val="24"/>
        </w:rPr>
        <w:t xml:space="preserve"> </w:t>
      </w:r>
    </w:p>
    <w:p w:rsidR="00B52105" w:rsidRPr="008C01A6" w:rsidRDefault="00B95A3A">
      <w:pPr>
        <w:widowControl w:val="0"/>
        <w:autoSpaceDE w:val="0"/>
        <w:autoSpaceDN w:val="0"/>
        <w:adjustRightInd w:val="0"/>
        <w:spacing w:line="480" w:lineRule="auto"/>
        <w:contextualSpacing/>
        <w:mirrorIndents/>
        <w:rPr>
          <w:rFonts w:ascii="Times New Roman" w:hAnsi="Times New Roman" w:cs="Times New Roman"/>
          <w:sz w:val="24"/>
          <w:szCs w:val="24"/>
        </w:rPr>
      </w:pPr>
      <w:r w:rsidRPr="008C01A6">
        <w:rPr>
          <w:rFonts w:ascii="Times New Roman" w:hAnsi="Times New Roman" w:cs="Times New Roman"/>
          <w:sz w:val="24"/>
          <w:szCs w:val="24"/>
        </w:rPr>
        <w:tab/>
        <w:t xml:space="preserve">Harris County’s argument that </w:t>
      </w:r>
      <w:r w:rsidR="00210A87" w:rsidRPr="008C01A6">
        <w:rPr>
          <w:rFonts w:ascii="Times New Roman" w:hAnsi="Times New Roman" w:cs="Times New Roman"/>
          <w:sz w:val="24"/>
          <w:szCs w:val="24"/>
        </w:rPr>
        <w:t xml:space="preserve">§ 12133 </w:t>
      </w:r>
      <w:r w:rsidRPr="008C01A6">
        <w:rPr>
          <w:rFonts w:ascii="Times New Roman" w:hAnsi="Times New Roman" w:cs="Times New Roman"/>
          <w:sz w:val="24"/>
          <w:szCs w:val="24"/>
        </w:rPr>
        <w:t>does nothing more than create a private right of action is thus directly contradicted by the legislative history</w:t>
      </w:r>
      <w:r w:rsidR="00F815E8" w:rsidRPr="008C01A6">
        <w:rPr>
          <w:rFonts w:ascii="Times New Roman" w:hAnsi="Times New Roman" w:cs="Times New Roman"/>
          <w:sz w:val="24"/>
          <w:szCs w:val="24"/>
        </w:rPr>
        <w:t xml:space="preserve">. </w:t>
      </w:r>
      <w:r w:rsidRPr="008C01A6">
        <w:rPr>
          <w:rFonts w:ascii="Times New Roman" w:hAnsi="Times New Roman" w:cs="Times New Roman"/>
          <w:sz w:val="24"/>
          <w:szCs w:val="24"/>
        </w:rPr>
        <w:t>Indeed</w:t>
      </w:r>
      <w:r w:rsidR="00604354" w:rsidRPr="008C01A6">
        <w:rPr>
          <w:rFonts w:ascii="Times New Roman" w:hAnsi="Times New Roman" w:cs="Times New Roman"/>
          <w:sz w:val="24"/>
          <w:szCs w:val="24"/>
        </w:rPr>
        <w:t xml:space="preserve">, Harris County’s reading </w:t>
      </w:r>
      <w:r w:rsidR="0007436C" w:rsidRPr="008C01A6">
        <w:rPr>
          <w:rFonts w:ascii="Times New Roman" w:hAnsi="Times New Roman" w:cs="Times New Roman"/>
          <w:sz w:val="24"/>
          <w:szCs w:val="24"/>
        </w:rPr>
        <w:t xml:space="preserve">would render meaningless </w:t>
      </w:r>
      <w:r w:rsidR="00210A87" w:rsidRPr="008C01A6">
        <w:rPr>
          <w:rFonts w:ascii="Times New Roman" w:hAnsi="Times New Roman" w:cs="Times New Roman"/>
          <w:sz w:val="24"/>
          <w:szCs w:val="24"/>
        </w:rPr>
        <w:t>Title II’s</w:t>
      </w:r>
      <w:r w:rsidR="00724EF3" w:rsidRPr="008C01A6">
        <w:rPr>
          <w:rFonts w:ascii="Times New Roman" w:hAnsi="Times New Roman" w:cs="Times New Roman"/>
          <w:sz w:val="24"/>
          <w:szCs w:val="24"/>
        </w:rPr>
        <w:t xml:space="preserve"> reference to “the remedies, procedures and rights set forth in</w:t>
      </w:r>
      <w:r w:rsidRPr="008C01A6">
        <w:rPr>
          <w:rFonts w:ascii="Times New Roman" w:hAnsi="Times New Roman" w:cs="Times New Roman"/>
          <w:sz w:val="24"/>
          <w:szCs w:val="24"/>
        </w:rPr>
        <w:t>” Section 505, an unacceptable result becau</w:t>
      </w:r>
      <w:r w:rsidR="003F180B" w:rsidRPr="008C01A6">
        <w:rPr>
          <w:rFonts w:ascii="Times New Roman" w:hAnsi="Times New Roman" w:cs="Times New Roman"/>
          <w:sz w:val="24"/>
          <w:szCs w:val="24"/>
        </w:rPr>
        <w:t>se</w:t>
      </w:r>
      <w:r w:rsidRPr="008C01A6">
        <w:rPr>
          <w:rFonts w:ascii="Times New Roman" w:hAnsi="Times New Roman" w:cs="Times New Roman"/>
          <w:sz w:val="24"/>
          <w:szCs w:val="24"/>
        </w:rPr>
        <w:t xml:space="preserve"> </w:t>
      </w:r>
      <w:r w:rsidRPr="008C01A6">
        <w:rPr>
          <w:rFonts w:ascii="Times New Roman" w:hAnsi="Times New Roman" w:cs="Times New Roman"/>
          <w:color w:val="000000"/>
          <w:sz w:val="24"/>
          <w:szCs w:val="24"/>
        </w:rPr>
        <w:t>“s</w:t>
      </w:r>
      <w:r w:rsidR="00300578" w:rsidRPr="008C01A6">
        <w:rPr>
          <w:rFonts w:ascii="Times New Roman" w:hAnsi="Times New Roman" w:cs="Times New Roman"/>
          <w:color w:val="000000"/>
          <w:sz w:val="24"/>
          <w:szCs w:val="24"/>
        </w:rPr>
        <w:t>tatutes must be read in harmony with one another so as to give meaning to each provision</w:t>
      </w:r>
      <w:r w:rsidR="008F1E3D" w:rsidRPr="008C01A6">
        <w:rPr>
          <w:rFonts w:ascii="Times New Roman" w:hAnsi="Times New Roman" w:cs="Times New Roman"/>
          <w:color w:val="000000"/>
          <w:sz w:val="24"/>
          <w:szCs w:val="24"/>
        </w:rPr>
        <w:t xml:space="preserve">.” </w:t>
      </w:r>
      <w:proofErr w:type="gramStart"/>
      <w:r w:rsidR="00300578" w:rsidRPr="008C01A6">
        <w:rPr>
          <w:rFonts w:ascii="Times New Roman" w:hAnsi="Times New Roman" w:cs="Times New Roman"/>
          <w:i/>
          <w:color w:val="000000"/>
          <w:sz w:val="24"/>
          <w:szCs w:val="24"/>
        </w:rPr>
        <w:t>United States v. Caldera-Herrera</w:t>
      </w:r>
      <w:r w:rsidR="00300578" w:rsidRPr="008C01A6">
        <w:rPr>
          <w:rFonts w:ascii="Times New Roman" w:hAnsi="Times New Roman" w:cs="Times New Roman"/>
          <w:color w:val="000000"/>
          <w:sz w:val="24"/>
          <w:szCs w:val="24"/>
        </w:rPr>
        <w:t>, 930 F.2d 409, 411 (5th Cir. 1991)</w:t>
      </w:r>
      <w:r w:rsidR="000F4B8E" w:rsidRPr="008C01A6">
        <w:rPr>
          <w:rFonts w:ascii="Times New Roman" w:hAnsi="Times New Roman" w:cs="Times New Roman"/>
          <w:color w:val="000000"/>
          <w:sz w:val="24"/>
          <w:szCs w:val="24"/>
        </w:rPr>
        <w:t>.</w:t>
      </w:r>
      <w:proofErr w:type="gramEnd"/>
      <w:r w:rsidR="000F4B8E" w:rsidRPr="008C01A6">
        <w:rPr>
          <w:rFonts w:ascii="Times New Roman" w:hAnsi="Times New Roman" w:cs="Times New Roman"/>
          <w:color w:val="000000"/>
          <w:sz w:val="24"/>
          <w:szCs w:val="24"/>
        </w:rPr>
        <w:t xml:space="preserve"> </w:t>
      </w:r>
      <w:r w:rsidR="0007436C" w:rsidRPr="008C01A6">
        <w:rPr>
          <w:rFonts w:ascii="Times New Roman" w:hAnsi="Times New Roman" w:cs="Times New Roman"/>
          <w:sz w:val="24"/>
          <w:szCs w:val="24"/>
        </w:rPr>
        <w:t xml:space="preserve">If Congress had intended to create </w:t>
      </w:r>
      <w:r w:rsidR="00034B10" w:rsidRPr="008C01A6">
        <w:rPr>
          <w:rFonts w:ascii="Times New Roman" w:hAnsi="Times New Roman" w:cs="Times New Roman"/>
          <w:sz w:val="24"/>
          <w:szCs w:val="24"/>
        </w:rPr>
        <w:t xml:space="preserve">only </w:t>
      </w:r>
      <w:r w:rsidR="0007436C" w:rsidRPr="008C01A6">
        <w:rPr>
          <w:rFonts w:ascii="Times New Roman" w:hAnsi="Times New Roman" w:cs="Times New Roman"/>
          <w:sz w:val="24"/>
          <w:szCs w:val="24"/>
        </w:rPr>
        <w:t xml:space="preserve">a private right of action, Congress </w:t>
      </w:r>
      <w:r w:rsidR="00393C78" w:rsidRPr="008C01A6">
        <w:rPr>
          <w:rFonts w:ascii="Times New Roman" w:hAnsi="Times New Roman" w:cs="Times New Roman"/>
          <w:sz w:val="24"/>
          <w:szCs w:val="24"/>
        </w:rPr>
        <w:t xml:space="preserve">presumably </w:t>
      </w:r>
      <w:r w:rsidR="0007436C" w:rsidRPr="008C01A6">
        <w:rPr>
          <w:rFonts w:ascii="Times New Roman" w:hAnsi="Times New Roman" w:cs="Times New Roman"/>
          <w:sz w:val="24"/>
          <w:szCs w:val="24"/>
        </w:rPr>
        <w:t>would simply have stated that individuals could sue to enforce Title II’s provisions, or at a minimum cited to a statutory provision setting forth a private right of action</w:t>
      </w:r>
      <w:r w:rsidR="00F815E8" w:rsidRPr="008C01A6">
        <w:rPr>
          <w:rFonts w:ascii="Times New Roman" w:hAnsi="Times New Roman" w:cs="Times New Roman"/>
          <w:sz w:val="24"/>
          <w:szCs w:val="24"/>
        </w:rPr>
        <w:t xml:space="preserve">. </w:t>
      </w:r>
      <w:r w:rsidR="008D47F0" w:rsidRPr="008C01A6">
        <w:rPr>
          <w:rFonts w:ascii="Times New Roman" w:hAnsi="Times New Roman" w:cs="Times New Roman"/>
          <w:sz w:val="24"/>
          <w:szCs w:val="24"/>
        </w:rPr>
        <w:t>For instance, i</w:t>
      </w:r>
      <w:r w:rsidR="0007436C" w:rsidRPr="008C01A6">
        <w:rPr>
          <w:rFonts w:ascii="Times New Roman" w:hAnsi="Times New Roman" w:cs="Times New Roman"/>
          <w:sz w:val="24"/>
          <w:szCs w:val="24"/>
        </w:rPr>
        <w:t>n Title II of the Civil Rights Act of 1964, which prohibited certain forms of discrimination in public accommodations, Congress enacted an enforcement provision stating that “[w]</w:t>
      </w:r>
      <w:proofErr w:type="spellStart"/>
      <w:r w:rsidR="0007436C" w:rsidRPr="008C01A6">
        <w:rPr>
          <w:rFonts w:ascii="Times New Roman" w:hAnsi="Times New Roman" w:cs="Times New Roman"/>
          <w:sz w:val="24"/>
          <w:szCs w:val="24"/>
        </w:rPr>
        <w:t>henever</w:t>
      </w:r>
      <w:proofErr w:type="spellEnd"/>
      <w:r w:rsidR="0007436C" w:rsidRPr="008C01A6">
        <w:rPr>
          <w:rFonts w:ascii="Times New Roman" w:hAnsi="Times New Roman" w:cs="Times New Roman"/>
          <w:sz w:val="24"/>
          <w:szCs w:val="24"/>
        </w:rPr>
        <w:t xml:space="preserve"> any person has engaged . . . in any act or practice prohibited by . . . this title, a civil action for preventive relief . . . may be instituted by the person aggrieved.” </w:t>
      </w:r>
      <w:proofErr w:type="gramStart"/>
      <w:r w:rsidR="0007436C" w:rsidRPr="008C01A6">
        <w:rPr>
          <w:rFonts w:ascii="Times New Roman" w:hAnsi="Times New Roman" w:cs="Times New Roman"/>
          <w:sz w:val="24"/>
          <w:szCs w:val="24"/>
        </w:rPr>
        <w:t xml:space="preserve">42 U.S.C. </w:t>
      </w:r>
      <w:r w:rsidR="00CC7A38" w:rsidRPr="008C01A6">
        <w:rPr>
          <w:rFonts w:ascii="Times New Roman" w:hAnsi="Times New Roman" w:cs="Times New Roman"/>
          <w:sz w:val="24"/>
          <w:szCs w:val="24"/>
        </w:rPr>
        <w:t>§ </w:t>
      </w:r>
      <w:r w:rsidR="0007436C" w:rsidRPr="008C01A6">
        <w:rPr>
          <w:rFonts w:ascii="Times New Roman" w:hAnsi="Times New Roman" w:cs="Times New Roman"/>
          <w:sz w:val="24"/>
          <w:szCs w:val="24"/>
        </w:rPr>
        <w:t>2000a-3</w:t>
      </w:r>
      <w:r w:rsidR="00F815E8" w:rsidRPr="008C01A6">
        <w:rPr>
          <w:rFonts w:ascii="Times New Roman" w:hAnsi="Times New Roman" w:cs="Times New Roman"/>
          <w:sz w:val="24"/>
          <w:szCs w:val="24"/>
        </w:rPr>
        <w:t>.</w:t>
      </w:r>
      <w:proofErr w:type="gramEnd"/>
      <w:r w:rsidR="00F815E8" w:rsidRPr="008C01A6">
        <w:rPr>
          <w:rFonts w:ascii="Times New Roman" w:hAnsi="Times New Roman" w:cs="Times New Roman"/>
          <w:sz w:val="24"/>
          <w:szCs w:val="24"/>
        </w:rPr>
        <w:t xml:space="preserve"> </w:t>
      </w:r>
      <w:r w:rsidR="00ED4734" w:rsidRPr="008C01A6">
        <w:rPr>
          <w:rFonts w:ascii="Times New Roman" w:hAnsi="Times New Roman" w:cs="Times New Roman"/>
          <w:sz w:val="24"/>
          <w:szCs w:val="24"/>
        </w:rPr>
        <w:t>But i</w:t>
      </w:r>
      <w:r w:rsidRPr="008C01A6">
        <w:rPr>
          <w:rFonts w:ascii="Times New Roman" w:hAnsi="Times New Roman" w:cs="Times New Roman"/>
          <w:sz w:val="24"/>
          <w:szCs w:val="24"/>
        </w:rPr>
        <w:t>nstead</w:t>
      </w:r>
      <w:r w:rsidR="00ED4734" w:rsidRPr="008C01A6">
        <w:rPr>
          <w:rFonts w:ascii="Times New Roman" w:hAnsi="Times New Roman" w:cs="Times New Roman"/>
          <w:sz w:val="24"/>
          <w:szCs w:val="24"/>
        </w:rPr>
        <w:t xml:space="preserve"> o</w:t>
      </w:r>
      <w:r w:rsidR="00B52105" w:rsidRPr="008C01A6">
        <w:rPr>
          <w:rFonts w:ascii="Times New Roman" w:hAnsi="Times New Roman" w:cs="Times New Roman"/>
          <w:sz w:val="24"/>
          <w:szCs w:val="24"/>
        </w:rPr>
        <w:t>f enacting a similar provision</w:t>
      </w:r>
      <w:r w:rsidR="00ED4734" w:rsidRPr="008C01A6">
        <w:rPr>
          <w:rFonts w:ascii="Times New Roman" w:hAnsi="Times New Roman" w:cs="Times New Roman"/>
          <w:sz w:val="24"/>
          <w:szCs w:val="24"/>
        </w:rPr>
        <w:t xml:space="preserve"> in Title II</w:t>
      </w:r>
      <w:r w:rsidR="006A5610">
        <w:rPr>
          <w:rFonts w:ascii="Times New Roman" w:hAnsi="Times New Roman" w:cs="Times New Roman"/>
          <w:sz w:val="24"/>
          <w:szCs w:val="24"/>
        </w:rPr>
        <w:t xml:space="preserve"> of the ADA</w:t>
      </w:r>
      <w:r w:rsidR="00ED4734" w:rsidRPr="008C01A6">
        <w:rPr>
          <w:rFonts w:ascii="Times New Roman" w:hAnsi="Times New Roman" w:cs="Times New Roman"/>
          <w:sz w:val="24"/>
          <w:szCs w:val="24"/>
        </w:rPr>
        <w:t xml:space="preserve">, </w:t>
      </w:r>
      <w:r w:rsidRPr="008C01A6">
        <w:rPr>
          <w:rFonts w:ascii="Times New Roman" w:hAnsi="Times New Roman" w:cs="Times New Roman"/>
          <w:sz w:val="24"/>
          <w:szCs w:val="24"/>
        </w:rPr>
        <w:t xml:space="preserve">Congress chose to incorporate Section 505, </w:t>
      </w:r>
      <w:r w:rsidR="00ED4734" w:rsidRPr="008C01A6">
        <w:rPr>
          <w:rFonts w:ascii="Times New Roman" w:hAnsi="Times New Roman" w:cs="Times New Roman"/>
          <w:sz w:val="24"/>
          <w:szCs w:val="24"/>
        </w:rPr>
        <w:t xml:space="preserve">which was </w:t>
      </w:r>
      <w:r w:rsidRPr="008C01A6">
        <w:rPr>
          <w:rFonts w:ascii="Times New Roman" w:hAnsi="Times New Roman" w:cs="Times New Roman"/>
          <w:sz w:val="24"/>
          <w:szCs w:val="24"/>
        </w:rPr>
        <w:t>widely understood to give the Attorney General a right of action in federal court.</w:t>
      </w:r>
    </w:p>
    <w:p w:rsidR="00B52105" w:rsidRPr="008C01A6" w:rsidRDefault="0007436C">
      <w:pPr>
        <w:widowControl w:val="0"/>
        <w:autoSpaceDE w:val="0"/>
        <w:autoSpaceDN w:val="0"/>
        <w:adjustRightInd w:val="0"/>
        <w:spacing w:line="480" w:lineRule="auto"/>
        <w:contextualSpacing/>
        <w:mirrorIndents/>
        <w:rPr>
          <w:rFonts w:ascii="Times New Roman" w:hAnsi="Times New Roman" w:cs="Times New Roman"/>
          <w:color w:val="000000"/>
          <w:sz w:val="24"/>
          <w:szCs w:val="24"/>
        </w:rPr>
      </w:pPr>
      <w:r w:rsidRPr="008C01A6">
        <w:rPr>
          <w:rFonts w:ascii="Times New Roman" w:hAnsi="Times New Roman" w:cs="Times New Roman"/>
          <w:sz w:val="24"/>
          <w:szCs w:val="24"/>
        </w:rPr>
        <w:tab/>
        <w:t xml:space="preserve">Applying Harris County’s textual </w:t>
      </w:r>
      <w:r w:rsidR="00C462A9" w:rsidRPr="008C01A6">
        <w:rPr>
          <w:rFonts w:ascii="Times New Roman" w:hAnsi="Times New Roman" w:cs="Times New Roman"/>
          <w:sz w:val="24"/>
          <w:szCs w:val="24"/>
        </w:rPr>
        <w:t xml:space="preserve">interpretation of </w:t>
      </w:r>
      <w:r w:rsidR="00393C78" w:rsidRPr="008C01A6">
        <w:rPr>
          <w:rFonts w:ascii="Times New Roman" w:hAnsi="Times New Roman" w:cs="Times New Roman"/>
          <w:sz w:val="24"/>
          <w:szCs w:val="24"/>
        </w:rPr>
        <w:t>§ </w:t>
      </w:r>
      <w:r w:rsidR="00C462A9" w:rsidRPr="008C01A6">
        <w:rPr>
          <w:rFonts w:ascii="Times New Roman" w:hAnsi="Times New Roman" w:cs="Times New Roman"/>
          <w:sz w:val="24"/>
          <w:szCs w:val="24"/>
        </w:rPr>
        <w:t xml:space="preserve">12133 to </w:t>
      </w:r>
      <w:r w:rsidR="00393C78" w:rsidRPr="008C01A6">
        <w:rPr>
          <w:rFonts w:ascii="Times New Roman" w:hAnsi="Times New Roman" w:cs="Times New Roman"/>
          <w:sz w:val="24"/>
          <w:szCs w:val="24"/>
        </w:rPr>
        <w:t xml:space="preserve">the Rehabilitation Act’s enforcement </w:t>
      </w:r>
      <w:r w:rsidR="003A1E97" w:rsidRPr="008C01A6">
        <w:rPr>
          <w:rFonts w:ascii="Times New Roman" w:hAnsi="Times New Roman" w:cs="Times New Roman"/>
          <w:sz w:val="24"/>
          <w:szCs w:val="24"/>
        </w:rPr>
        <w:t>provision</w:t>
      </w:r>
      <w:r w:rsidR="00C462A9" w:rsidRPr="008C01A6">
        <w:rPr>
          <w:rFonts w:ascii="Times New Roman" w:hAnsi="Times New Roman" w:cs="Times New Roman"/>
          <w:sz w:val="24"/>
          <w:szCs w:val="24"/>
        </w:rPr>
        <w:t xml:space="preserve"> – </w:t>
      </w:r>
      <w:r w:rsidR="00ED4734" w:rsidRPr="008C01A6">
        <w:rPr>
          <w:rStyle w:val="cosearchdetaillevel1"/>
          <w:rFonts w:ascii="Times New Roman" w:hAnsi="Times New Roman" w:cs="Times New Roman"/>
          <w:sz w:val="24"/>
          <w:szCs w:val="24"/>
        </w:rPr>
        <w:t>from which</w:t>
      </w:r>
      <w:r w:rsidR="009E3E91" w:rsidRPr="008C01A6">
        <w:rPr>
          <w:rStyle w:val="cosearchdetaillevel1"/>
          <w:rFonts w:ascii="Times New Roman" w:hAnsi="Times New Roman" w:cs="Times New Roman"/>
          <w:sz w:val="24"/>
          <w:szCs w:val="24"/>
        </w:rPr>
        <w:t xml:space="preserve"> </w:t>
      </w:r>
      <w:r w:rsidR="00ED4734" w:rsidRPr="008C01A6">
        <w:rPr>
          <w:rStyle w:val="cosearchdetaillevel1"/>
          <w:rFonts w:ascii="Times New Roman" w:hAnsi="Times New Roman" w:cs="Times New Roman"/>
          <w:sz w:val="24"/>
          <w:szCs w:val="24"/>
        </w:rPr>
        <w:t>§ 12133 was copied nearly word for word</w:t>
      </w:r>
      <w:r w:rsidR="00ED4734" w:rsidRPr="008C01A6" w:rsidDel="00ED4734">
        <w:rPr>
          <w:rFonts w:ascii="Times New Roman" w:hAnsi="Times New Roman" w:cs="Times New Roman"/>
          <w:sz w:val="24"/>
          <w:szCs w:val="24"/>
        </w:rPr>
        <w:t xml:space="preserve"> </w:t>
      </w:r>
      <w:r w:rsidR="00C462A9" w:rsidRPr="008C01A6">
        <w:rPr>
          <w:rFonts w:ascii="Times New Roman" w:hAnsi="Times New Roman" w:cs="Times New Roman"/>
          <w:sz w:val="24"/>
          <w:szCs w:val="24"/>
        </w:rPr>
        <w:t xml:space="preserve">– demonstrates the </w:t>
      </w:r>
      <w:r w:rsidR="00034B10" w:rsidRPr="008C01A6">
        <w:rPr>
          <w:rFonts w:ascii="Times New Roman" w:hAnsi="Times New Roman" w:cs="Times New Roman"/>
          <w:sz w:val="24"/>
          <w:szCs w:val="24"/>
        </w:rPr>
        <w:t xml:space="preserve">untenable </w:t>
      </w:r>
      <w:r w:rsidR="00C462A9" w:rsidRPr="008C01A6">
        <w:rPr>
          <w:rFonts w:ascii="Times New Roman" w:hAnsi="Times New Roman" w:cs="Times New Roman"/>
          <w:sz w:val="24"/>
          <w:szCs w:val="24"/>
        </w:rPr>
        <w:t xml:space="preserve">consequences of </w:t>
      </w:r>
      <w:r w:rsidR="00300578" w:rsidRPr="008C01A6">
        <w:rPr>
          <w:rFonts w:ascii="Times New Roman" w:hAnsi="Times New Roman" w:cs="Times New Roman"/>
          <w:sz w:val="24"/>
          <w:szCs w:val="24"/>
        </w:rPr>
        <w:t>Harris County’s</w:t>
      </w:r>
      <w:r w:rsidR="00C462A9" w:rsidRPr="008C01A6">
        <w:rPr>
          <w:rFonts w:ascii="Times New Roman" w:hAnsi="Times New Roman" w:cs="Times New Roman"/>
          <w:sz w:val="24"/>
          <w:szCs w:val="24"/>
        </w:rPr>
        <w:t xml:space="preserve"> interpretation</w:t>
      </w:r>
      <w:r w:rsidR="00F815E8" w:rsidRPr="008C01A6">
        <w:rPr>
          <w:rFonts w:ascii="Times New Roman" w:hAnsi="Times New Roman" w:cs="Times New Roman"/>
          <w:sz w:val="24"/>
          <w:szCs w:val="24"/>
        </w:rPr>
        <w:t xml:space="preserve">. </w:t>
      </w:r>
      <w:r w:rsidR="00C462A9" w:rsidRPr="008C01A6">
        <w:rPr>
          <w:rFonts w:ascii="Times New Roman" w:hAnsi="Times New Roman" w:cs="Times New Roman"/>
          <w:sz w:val="24"/>
          <w:szCs w:val="24"/>
        </w:rPr>
        <w:t xml:space="preserve">If Harris County </w:t>
      </w:r>
      <w:r w:rsidR="006A5610">
        <w:rPr>
          <w:rFonts w:ascii="Times New Roman" w:hAnsi="Times New Roman" w:cs="Times New Roman"/>
          <w:sz w:val="24"/>
          <w:szCs w:val="24"/>
        </w:rPr>
        <w:t>were</w:t>
      </w:r>
      <w:r w:rsidR="00C462A9" w:rsidRPr="008C01A6">
        <w:rPr>
          <w:rFonts w:ascii="Times New Roman" w:hAnsi="Times New Roman" w:cs="Times New Roman"/>
          <w:sz w:val="24"/>
          <w:szCs w:val="24"/>
        </w:rPr>
        <w:t xml:space="preserve"> correct that naming “persons” </w:t>
      </w:r>
      <w:r w:rsidR="00415FAB" w:rsidRPr="008C01A6">
        <w:rPr>
          <w:rFonts w:ascii="Times New Roman" w:hAnsi="Times New Roman" w:cs="Times New Roman"/>
          <w:sz w:val="24"/>
          <w:szCs w:val="24"/>
        </w:rPr>
        <w:t>and</w:t>
      </w:r>
      <w:r w:rsidR="00C462A9" w:rsidRPr="008C01A6">
        <w:rPr>
          <w:rFonts w:ascii="Times New Roman" w:hAnsi="Times New Roman" w:cs="Times New Roman"/>
          <w:sz w:val="24"/>
          <w:szCs w:val="24"/>
        </w:rPr>
        <w:t xml:space="preserve"> not the Attorney General eliminate</w:t>
      </w:r>
      <w:r w:rsidR="006A5610">
        <w:rPr>
          <w:rFonts w:ascii="Times New Roman" w:hAnsi="Times New Roman" w:cs="Times New Roman"/>
          <w:sz w:val="24"/>
          <w:szCs w:val="24"/>
        </w:rPr>
        <w:t>d</w:t>
      </w:r>
      <w:r w:rsidR="00C462A9" w:rsidRPr="008C01A6">
        <w:rPr>
          <w:rFonts w:ascii="Times New Roman" w:hAnsi="Times New Roman" w:cs="Times New Roman"/>
          <w:sz w:val="24"/>
          <w:szCs w:val="24"/>
        </w:rPr>
        <w:t xml:space="preserve"> the Attorney General’s enforcement authority, </w:t>
      </w:r>
      <w:r w:rsidR="006B6F6D" w:rsidRPr="008C01A6">
        <w:rPr>
          <w:rFonts w:ascii="Times New Roman" w:hAnsi="Times New Roman" w:cs="Times New Roman"/>
          <w:sz w:val="24"/>
          <w:szCs w:val="24"/>
        </w:rPr>
        <w:t xml:space="preserve">then </w:t>
      </w:r>
      <w:r w:rsidR="00C462A9" w:rsidRPr="008C01A6">
        <w:rPr>
          <w:rFonts w:ascii="Times New Roman" w:hAnsi="Times New Roman" w:cs="Times New Roman"/>
          <w:sz w:val="24"/>
          <w:szCs w:val="24"/>
        </w:rPr>
        <w:t xml:space="preserve">Section 505 of the Rehabilitation Act must likewise deny the Attorney General any statutory enforcement authority. But that conclusion </w:t>
      </w:r>
      <w:r w:rsidR="002D2C48" w:rsidRPr="008C01A6">
        <w:rPr>
          <w:rFonts w:ascii="Times New Roman" w:hAnsi="Times New Roman" w:cs="Times New Roman"/>
          <w:sz w:val="24"/>
          <w:szCs w:val="24"/>
        </w:rPr>
        <w:t>makes no sense</w:t>
      </w:r>
      <w:r w:rsidR="00F815E8" w:rsidRPr="008C01A6">
        <w:rPr>
          <w:rFonts w:ascii="Times New Roman" w:hAnsi="Times New Roman" w:cs="Times New Roman"/>
          <w:sz w:val="24"/>
          <w:szCs w:val="24"/>
        </w:rPr>
        <w:t xml:space="preserve">. </w:t>
      </w:r>
      <w:r w:rsidR="00F14357" w:rsidRPr="008C01A6">
        <w:rPr>
          <w:rFonts w:ascii="Times New Roman" w:hAnsi="Times New Roman" w:cs="Times New Roman"/>
          <w:sz w:val="24"/>
          <w:szCs w:val="24"/>
        </w:rPr>
        <w:t>The Rehabilitation Act applies only to federally funded entities; it contemplates the revocation of federal funding when that funding is used to perpetuate discrimination; and there is no reason Congress would have wanted only private parties to enforce it. On the contrary, a</w:t>
      </w:r>
      <w:r w:rsidR="00300578" w:rsidRPr="008C01A6">
        <w:rPr>
          <w:rFonts w:ascii="Times New Roman" w:hAnsi="Times New Roman" w:cs="Times New Roman"/>
          <w:sz w:val="24"/>
          <w:szCs w:val="24"/>
        </w:rPr>
        <w:t>s</w:t>
      </w:r>
      <w:r w:rsidR="003C1627" w:rsidRPr="008C01A6">
        <w:rPr>
          <w:rFonts w:ascii="Times New Roman" w:hAnsi="Times New Roman" w:cs="Times New Roman"/>
          <w:sz w:val="24"/>
          <w:szCs w:val="24"/>
        </w:rPr>
        <w:t xml:space="preserve"> recognized by</w:t>
      </w:r>
      <w:r w:rsidR="00300578" w:rsidRPr="008C01A6">
        <w:rPr>
          <w:rFonts w:ascii="Times New Roman" w:hAnsi="Times New Roman" w:cs="Times New Roman"/>
          <w:sz w:val="24"/>
          <w:szCs w:val="24"/>
        </w:rPr>
        <w:t xml:space="preserve"> the Supreme Court, Section 505 was enacted with the purpose of codifying HEW’s enforcement procedures, which called for Attorney General </w:t>
      </w:r>
      <w:proofErr w:type="gramStart"/>
      <w:r w:rsidR="00300578" w:rsidRPr="008C01A6">
        <w:rPr>
          <w:rFonts w:ascii="Times New Roman" w:hAnsi="Times New Roman" w:cs="Times New Roman"/>
          <w:sz w:val="24"/>
          <w:szCs w:val="24"/>
        </w:rPr>
        <w:t>enforcement</w:t>
      </w:r>
      <w:proofErr w:type="gramEnd"/>
      <w:r w:rsidR="008D47F0" w:rsidRPr="008C01A6">
        <w:rPr>
          <w:rFonts w:ascii="Times New Roman" w:hAnsi="Times New Roman" w:cs="Times New Roman"/>
          <w:sz w:val="24"/>
          <w:szCs w:val="24"/>
        </w:rPr>
        <w:t xml:space="preserve"> in court</w:t>
      </w:r>
      <w:r w:rsidR="00F815E8" w:rsidRPr="008C01A6">
        <w:rPr>
          <w:rFonts w:ascii="Times New Roman" w:hAnsi="Times New Roman" w:cs="Times New Roman"/>
          <w:sz w:val="24"/>
          <w:szCs w:val="24"/>
        </w:rPr>
        <w:t xml:space="preserve">. </w:t>
      </w:r>
      <w:proofErr w:type="spellStart"/>
      <w:r w:rsidR="00C462A9" w:rsidRPr="008C01A6">
        <w:rPr>
          <w:rFonts w:ascii="Times New Roman" w:hAnsi="Times New Roman" w:cs="Times New Roman"/>
          <w:i/>
          <w:sz w:val="24"/>
          <w:szCs w:val="24"/>
        </w:rPr>
        <w:t>Darrone</w:t>
      </w:r>
      <w:proofErr w:type="spellEnd"/>
      <w:r w:rsidR="00393C78" w:rsidRPr="008C01A6">
        <w:rPr>
          <w:rFonts w:ascii="Times New Roman" w:hAnsi="Times New Roman" w:cs="Times New Roman"/>
          <w:sz w:val="24"/>
          <w:szCs w:val="24"/>
        </w:rPr>
        <w:t>, 465 U.S. at 635</w:t>
      </w:r>
      <w:r w:rsidR="00433AA5" w:rsidRPr="008C01A6">
        <w:rPr>
          <w:rFonts w:ascii="Times New Roman" w:hAnsi="Times New Roman" w:cs="Times New Roman"/>
          <w:sz w:val="24"/>
          <w:szCs w:val="24"/>
        </w:rPr>
        <w:t xml:space="preserve"> &amp; n.16</w:t>
      </w:r>
      <w:r w:rsidR="00393C78" w:rsidRPr="008C01A6">
        <w:rPr>
          <w:rFonts w:ascii="Times New Roman" w:hAnsi="Times New Roman" w:cs="Times New Roman"/>
          <w:sz w:val="24"/>
          <w:szCs w:val="24"/>
        </w:rPr>
        <w:t xml:space="preserve"> (1984). </w:t>
      </w:r>
      <w:r w:rsidR="00013C87" w:rsidRPr="008C01A6">
        <w:rPr>
          <w:rFonts w:ascii="Times New Roman" w:hAnsi="Times New Roman" w:cs="Times New Roman"/>
          <w:sz w:val="24"/>
          <w:szCs w:val="24"/>
        </w:rPr>
        <w:t>And t</w:t>
      </w:r>
      <w:r w:rsidR="00300578" w:rsidRPr="008C01A6">
        <w:rPr>
          <w:rFonts w:ascii="Times New Roman" w:hAnsi="Times New Roman" w:cs="Times New Roman"/>
          <w:sz w:val="24"/>
          <w:szCs w:val="24"/>
        </w:rPr>
        <w:t xml:space="preserve">he idea that the drafters of </w:t>
      </w:r>
      <w:r w:rsidR="00C462A9" w:rsidRPr="008C01A6">
        <w:rPr>
          <w:rFonts w:ascii="Times New Roman" w:hAnsi="Times New Roman" w:cs="Times New Roman"/>
          <w:sz w:val="24"/>
          <w:szCs w:val="24"/>
        </w:rPr>
        <w:t>Section 505</w:t>
      </w:r>
      <w:r w:rsidR="00300578" w:rsidRPr="008C01A6">
        <w:rPr>
          <w:rFonts w:ascii="Times New Roman" w:hAnsi="Times New Roman" w:cs="Times New Roman"/>
          <w:sz w:val="24"/>
          <w:szCs w:val="24"/>
        </w:rPr>
        <w:t xml:space="preserve"> </w:t>
      </w:r>
      <w:r w:rsidR="003A1E97" w:rsidRPr="008C01A6">
        <w:rPr>
          <w:rFonts w:ascii="Times New Roman" w:hAnsi="Times New Roman" w:cs="Times New Roman"/>
          <w:sz w:val="24"/>
          <w:szCs w:val="24"/>
        </w:rPr>
        <w:t xml:space="preserve">would have </w:t>
      </w:r>
      <w:r w:rsidR="00920628">
        <w:rPr>
          <w:rFonts w:ascii="Times New Roman" w:hAnsi="Times New Roman" w:cs="Times New Roman"/>
          <w:sz w:val="24"/>
          <w:szCs w:val="24"/>
        </w:rPr>
        <w:t xml:space="preserve">referred to </w:t>
      </w:r>
      <w:r w:rsidR="00300578" w:rsidRPr="008C01A6">
        <w:rPr>
          <w:rFonts w:ascii="Times New Roman" w:hAnsi="Times New Roman" w:cs="Times New Roman"/>
          <w:sz w:val="24"/>
          <w:szCs w:val="24"/>
        </w:rPr>
        <w:t xml:space="preserve">Title VI solely to create a </w:t>
      </w:r>
      <w:r w:rsidR="00833539" w:rsidRPr="008C01A6">
        <w:rPr>
          <w:rFonts w:ascii="Times New Roman" w:hAnsi="Times New Roman" w:cs="Times New Roman"/>
          <w:sz w:val="24"/>
          <w:szCs w:val="24"/>
        </w:rPr>
        <w:t>private</w:t>
      </w:r>
      <w:r w:rsidR="00300578" w:rsidRPr="008C01A6">
        <w:rPr>
          <w:rFonts w:ascii="Times New Roman" w:hAnsi="Times New Roman" w:cs="Times New Roman"/>
          <w:sz w:val="24"/>
          <w:szCs w:val="24"/>
        </w:rPr>
        <w:t xml:space="preserve"> right of action is illogical: the Supreme Court did not confirm until</w:t>
      </w:r>
      <w:r w:rsidR="00300578" w:rsidRPr="008C01A6">
        <w:rPr>
          <w:rFonts w:ascii="Times New Roman" w:hAnsi="Times New Roman" w:cs="Times New Roman"/>
          <w:i/>
          <w:sz w:val="24"/>
          <w:szCs w:val="24"/>
        </w:rPr>
        <w:t xml:space="preserve"> after </w:t>
      </w:r>
      <w:r w:rsidR="00300578" w:rsidRPr="008C01A6">
        <w:rPr>
          <w:rFonts w:ascii="Times New Roman" w:hAnsi="Times New Roman" w:cs="Times New Roman"/>
          <w:sz w:val="24"/>
          <w:szCs w:val="24"/>
        </w:rPr>
        <w:t xml:space="preserve">Section 505 </w:t>
      </w:r>
      <w:r w:rsidR="00C462A9" w:rsidRPr="008C01A6">
        <w:rPr>
          <w:rFonts w:ascii="Times New Roman" w:hAnsi="Times New Roman" w:cs="Times New Roman"/>
          <w:sz w:val="24"/>
          <w:szCs w:val="24"/>
        </w:rPr>
        <w:t>was passed that Title VI indeed contained a judicially-implied private right of action</w:t>
      </w:r>
      <w:r w:rsidR="00A73101" w:rsidRPr="008C01A6">
        <w:rPr>
          <w:rFonts w:ascii="Times New Roman" w:hAnsi="Times New Roman" w:cs="Times New Roman"/>
          <w:sz w:val="24"/>
          <w:szCs w:val="24"/>
        </w:rPr>
        <w:t>,</w:t>
      </w:r>
      <w:r w:rsidR="00013C87" w:rsidRPr="008C01A6">
        <w:rPr>
          <w:rFonts w:ascii="Times New Roman" w:hAnsi="Times New Roman" w:cs="Times New Roman"/>
          <w:sz w:val="24"/>
          <w:szCs w:val="24"/>
        </w:rPr>
        <w:t xml:space="preserve"> </w:t>
      </w:r>
      <w:r w:rsidR="00A73101" w:rsidRPr="008C01A6">
        <w:rPr>
          <w:rFonts w:ascii="Times New Roman" w:hAnsi="Times New Roman" w:cs="Times New Roman"/>
          <w:i/>
          <w:sz w:val="24"/>
          <w:szCs w:val="24"/>
        </w:rPr>
        <w:t>s</w:t>
      </w:r>
      <w:r w:rsidR="00B639CC" w:rsidRPr="008C01A6">
        <w:rPr>
          <w:rFonts w:ascii="Times New Roman" w:hAnsi="Times New Roman" w:cs="Times New Roman"/>
          <w:i/>
          <w:sz w:val="24"/>
          <w:szCs w:val="24"/>
        </w:rPr>
        <w:t>ee</w:t>
      </w:r>
      <w:r w:rsidR="00B639CC" w:rsidRPr="008C01A6">
        <w:rPr>
          <w:rFonts w:ascii="Times New Roman" w:hAnsi="Times New Roman" w:cs="Times New Roman"/>
          <w:sz w:val="24"/>
          <w:szCs w:val="24"/>
        </w:rPr>
        <w:t xml:space="preserve"> </w:t>
      </w:r>
      <w:r w:rsidR="00C462A9" w:rsidRPr="008C01A6">
        <w:rPr>
          <w:rFonts w:ascii="Times New Roman" w:hAnsi="Times New Roman" w:cs="Times New Roman"/>
          <w:i/>
          <w:color w:val="000000"/>
          <w:sz w:val="24"/>
          <w:szCs w:val="24"/>
        </w:rPr>
        <w:t>Cannon v. Univ. of Chicago</w:t>
      </w:r>
      <w:r w:rsidR="001B4BD3" w:rsidRPr="008C01A6">
        <w:rPr>
          <w:rFonts w:ascii="Times New Roman" w:hAnsi="Times New Roman" w:cs="Times New Roman"/>
          <w:color w:val="000000"/>
          <w:sz w:val="24"/>
          <w:szCs w:val="24"/>
        </w:rPr>
        <w:t>, 441 U.S. 677, 694</w:t>
      </w:r>
      <w:r w:rsidR="004F3448">
        <w:rPr>
          <w:rFonts w:ascii="Times New Roman" w:hAnsi="Times New Roman" w:cs="Times New Roman"/>
          <w:color w:val="000000"/>
          <w:sz w:val="24"/>
          <w:szCs w:val="24"/>
        </w:rPr>
        <w:t>-95</w:t>
      </w:r>
      <w:r w:rsidR="001B4BD3" w:rsidRPr="008C01A6">
        <w:rPr>
          <w:rFonts w:ascii="Times New Roman" w:hAnsi="Times New Roman" w:cs="Times New Roman"/>
          <w:color w:val="000000"/>
          <w:sz w:val="24"/>
          <w:szCs w:val="24"/>
        </w:rPr>
        <w:t>, 717</w:t>
      </w:r>
      <w:r w:rsidR="00B639CC" w:rsidRPr="008C01A6">
        <w:rPr>
          <w:rFonts w:ascii="Times New Roman" w:hAnsi="Times New Roman" w:cs="Times New Roman"/>
          <w:color w:val="000000"/>
          <w:sz w:val="24"/>
          <w:szCs w:val="24"/>
        </w:rPr>
        <w:t xml:space="preserve"> (1979).</w:t>
      </w:r>
      <w:r w:rsidR="00CC7A38" w:rsidRPr="008C01A6">
        <w:rPr>
          <w:rFonts w:ascii="Times New Roman" w:hAnsi="Times New Roman" w:cs="Times New Roman"/>
          <w:color w:val="000000"/>
          <w:sz w:val="24"/>
          <w:szCs w:val="24"/>
        </w:rPr>
        <w:t xml:space="preserve"> </w:t>
      </w:r>
    </w:p>
    <w:p w:rsidR="00B52105" w:rsidRPr="008C01A6" w:rsidRDefault="00F14357">
      <w:pPr>
        <w:widowControl w:val="0"/>
        <w:autoSpaceDE w:val="0"/>
        <w:autoSpaceDN w:val="0"/>
        <w:adjustRightInd w:val="0"/>
        <w:spacing w:line="480" w:lineRule="auto"/>
        <w:contextualSpacing/>
        <w:mirrorIndents/>
        <w:rPr>
          <w:rFonts w:ascii="Times New Roman" w:hAnsi="Times New Roman" w:cs="Times New Roman"/>
          <w:sz w:val="24"/>
          <w:szCs w:val="24"/>
        </w:rPr>
      </w:pPr>
      <w:r w:rsidRPr="008C01A6">
        <w:rPr>
          <w:rFonts w:ascii="Times New Roman" w:hAnsi="Times New Roman" w:cs="Times New Roman"/>
          <w:color w:val="000000"/>
          <w:sz w:val="24"/>
          <w:szCs w:val="24"/>
        </w:rPr>
        <w:tab/>
      </w:r>
      <w:r w:rsidR="00CC7A38" w:rsidRPr="008C01A6">
        <w:rPr>
          <w:rFonts w:ascii="Times New Roman" w:hAnsi="Times New Roman" w:cs="Times New Roman"/>
          <w:sz w:val="24"/>
          <w:szCs w:val="24"/>
        </w:rPr>
        <w:t>In short, the drafters of § 12133 knew that Section 505 gave the Attorney General a right of actio</w:t>
      </w:r>
      <w:r w:rsidRPr="008C01A6">
        <w:rPr>
          <w:rFonts w:ascii="Times New Roman" w:hAnsi="Times New Roman" w:cs="Times New Roman"/>
          <w:sz w:val="24"/>
          <w:szCs w:val="24"/>
        </w:rPr>
        <w:t>n to sue to enforce the statute,</w:t>
      </w:r>
      <w:r w:rsidR="008128FF">
        <w:rPr>
          <w:rStyle w:val="FootnoteReference"/>
          <w:rFonts w:ascii="Times New Roman" w:hAnsi="Times New Roman" w:cs="Times New Roman"/>
          <w:sz w:val="24"/>
          <w:szCs w:val="24"/>
        </w:rPr>
        <w:footnoteReference w:id="5"/>
      </w:r>
      <w:r w:rsidRPr="008C01A6">
        <w:rPr>
          <w:rFonts w:ascii="Times New Roman" w:hAnsi="Times New Roman" w:cs="Times New Roman"/>
          <w:sz w:val="24"/>
          <w:szCs w:val="24"/>
        </w:rPr>
        <w:t xml:space="preserve"> and</w:t>
      </w:r>
      <w:r w:rsidR="00CC7A38" w:rsidRPr="008C01A6">
        <w:rPr>
          <w:rFonts w:ascii="Times New Roman" w:hAnsi="Times New Roman" w:cs="Times New Roman"/>
          <w:sz w:val="24"/>
          <w:szCs w:val="24"/>
        </w:rPr>
        <w:t xml:space="preserve"> there is no reason to believe that they copied Section 505’s</w:t>
      </w:r>
      <w:r w:rsidR="00A211AC" w:rsidRPr="008C01A6">
        <w:rPr>
          <w:rFonts w:ascii="Times New Roman" w:hAnsi="Times New Roman" w:cs="Times New Roman"/>
          <w:sz w:val="24"/>
          <w:szCs w:val="24"/>
        </w:rPr>
        <w:t xml:space="preserve"> well-understood</w:t>
      </w:r>
      <w:r w:rsidR="00CC7A38" w:rsidRPr="008C01A6">
        <w:rPr>
          <w:rFonts w:ascii="Times New Roman" w:hAnsi="Times New Roman" w:cs="Times New Roman"/>
          <w:sz w:val="24"/>
          <w:szCs w:val="24"/>
        </w:rPr>
        <w:t xml:space="preserve"> </w:t>
      </w:r>
      <w:r w:rsidR="006B6F6D" w:rsidRPr="008C01A6">
        <w:rPr>
          <w:rFonts w:ascii="Times New Roman" w:hAnsi="Times New Roman" w:cs="Times New Roman"/>
          <w:sz w:val="24"/>
          <w:szCs w:val="24"/>
        </w:rPr>
        <w:t xml:space="preserve">“remedies, procedures, and rights” </w:t>
      </w:r>
      <w:r w:rsidR="00CC7A38" w:rsidRPr="008C01A6">
        <w:rPr>
          <w:rFonts w:ascii="Times New Roman" w:hAnsi="Times New Roman" w:cs="Times New Roman"/>
          <w:sz w:val="24"/>
          <w:szCs w:val="24"/>
        </w:rPr>
        <w:t xml:space="preserve">language </w:t>
      </w:r>
      <w:r w:rsidR="008D47F0" w:rsidRPr="008C01A6">
        <w:rPr>
          <w:rFonts w:ascii="Times New Roman" w:hAnsi="Times New Roman" w:cs="Times New Roman"/>
          <w:sz w:val="24"/>
          <w:szCs w:val="24"/>
        </w:rPr>
        <w:t xml:space="preserve">over to </w:t>
      </w:r>
      <w:r w:rsidR="00CC7A38" w:rsidRPr="008C01A6">
        <w:rPr>
          <w:rFonts w:ascii="Times New Roman" w:hAnsi="Times New Roman" w:cs="Times New Roman"/>
          <w:sz w:val="24"/>
          <w:szCs w:val="24"/>
        </w:rPr>
        <w:t xml:space="preserve">§ 12133 </w:t>
      </w:r>
      <w:r w:rsidRPr="008C01A6">
        <w:rPr>
          <w:rFonts w:ascii="Times New Roman" w:hAnsi="Times New Roman" w:cs="Times New Roman"/>
          <w:sz w:val="24"/>
          <w:szCs w:val="24"/>
        </w:rPr>
        <w:t>only to create</w:t>
      </w:r>
      <w:r w:rsidR="00CC7A38" w:rsidRPr="008C01A6">
        <w:rPr>
          <w:rFonts w:ascii="Times New Roman" w:hAnsi="Times New Roman" w:cs="Times New Roman"/>
          <w:sz w:val="24"/>
          <w:szCs w:val="24"/>
        </w:rPr>
        <w:t xml:space="preserve"> a private right of action.</w:t>
      </w:r>
      <w:r w:rsidR="004A6EB2" w:rsidRPr="008C01A6">
        <w:rPr>
          <w:rFonts w:ascii="Times New Roman" w:hAnsi="Times New Roman" w:cs="Times New Roman"/>
          <w:sz w:val="24"/>
          <w:szCs w:val="24"/>
        </w:rPr>
        <w:t xml:space="preserve"> </w:t>
      </w:r>
      <w:r w:rsidR="00094D6E" w:rsidRPr="008C01A6">
        <w:rPr>
          <w:rFonts w:ascii="Times New Roman" w:hAnsi="Times New Roman" w:cs="Times New Roman"/>
          <w:i/>
          <w:sz w:val="24"/>
          <w:szCs w:val="24"/>
        </w:rPr>
        <w:t xml:space="preserve">See </w:t>
      </w:r>
      <w:r w:rsidR="00833539" w:rsidRPr="008C01A6">
        <w:rPr>
          <w:rFonts w:ascii="Times New Roman" w:hAnsi="Times New Roman" w:cs="Times New Roman"/>
          <w:i/>
          <w:sz w:val="24"/>
          <w:szCs w:val="24"/>
        </w:rPr>
        <w:t xml:space="preserve">Tex. Dep’t of </w:t>
      </w:r>
      <w:proofErr w:type="spellStart"/>
      <w:r w:rsidR="00833539" w:rsidRPr="008C01A6">
        <w:rPr>
          <w:rFonts w:ascii="Times New Roman" w:hAnsi="Times New Roman" w:cs="Times New Roman"/>
          <w:i/>
          <w:sz w:val="24"/>
          <w:szCs w:val="24"/>
        </w:rPr>
        <w:t>Hous</w:t>
      </w:r>
      <w:proofErr w:type="spellEnd"/>
      <w:r w:rsidR="00833539" w:rsidRPr="008C01A6">
        <w:rPr>
          <w:rFonts w:ascii="Times New Roman" w:hAnsi="Times New Roman" w:cs="Times New Roman"/>
          <w:i/>
          <w:sz w:val="24"/>
          <w:szCs w:val="24"/>
        </w:rPr>
        <w:t xml:space="preserve">. </w:t>
      </w:r>
      <w:proofErr w:type="gramStart"/>
      <w:r w:rsidR="00833539" w:rsidRPr="008C01A6">
        <w:rPr>
          <w:rFonts w:ascii="Times New Roman" w:hAnsi="Times New Roman" w:cs="Times New Roman"/>
          <w:i/>
          <w:sz w:val="24"/>
          <w:szCs w:val="24"/>
        </w:rPr>
        <w:t>&amp; Cmty.</w:t>
      </w:r>
      <w:proofErr w:type="gramEnd"/>
      <w:r w:rsidR="00833539" w:rsidRPr="008C01A6">
        <w:rPr>
          <w:rFonts w:ascii="Times New Roman" w:hAnsi="Times New Roman" w:cs="Times New Roman"/>
          <w:i/>
          <w:sz w:val="24"/>
          <w:szCs w:val="24"/>
        </w:rPr>
        <w:t xml:space="preserve"> </w:t>
      </w:r>
      <w:proofErr w:type="gramStart"/>
      <w:r w:rsidR="00833539" w:rsidRPr="008C01A6">
        <w:rPr>
          <w:rFonts w:ascii="Times New Roman" w:hAnsi="Times New Roman" w:cs="Times New Roman"/>
          <w:i/>
          <w:sz w:val="24"/>
          <w:szCs w:val="24"/>
        </w:rPr>
        <w:t xml:space="preserve">Affairs v. Inclusive </w:t>
      </w:r>
      <w:proofErr w:type="spellStart"/>
      <w:r w:rsidR="00833539" w:rsidRPr="008C01A6">
        <w:rPr>
          <w:rFonts w:ascii="Times New Roman" w:hAnsi="Times New Roman" w:cs="Times New Roman"/>
          <w:i/>
          <w:sz w:val="24"/>
          <w:szCs w:val="24"/>
        </w:rPr>
        <w:t>Cmtys</w:t>
      </w:r>
      <w:proofErr w:type="spellEnd"/>
      <w:r w:rsidR="00833539" w:rsidRPr="008C01A6">
        <w:rPr>
          <w:rFonts w:ascii="Times New Roman" w:hAnsi="Times New Roman" w:cs="Times New Roman"/>
          <w:i/>
          <w:sz w:val="24"/>
          <w:szCs w:val="24"/>
        </w:rPr>
        <w:t>.</w:t>
      </w:r>
      <w:proofErr w:type="gramEnd"/>
      <w:r w:rsidR="00833539" w:rsidRPr="008C01A6">
        <w:rPr>
          <w:rFonts w:ascii="Times New Roman" w:hAnsi="Times New Roman" w:cs="Times New Roman"/>
          <w:i/>
          <w:sz w:val="24"/>
          <w:szCs w:val="24"/>
        </w:rPr>
        <w:t xml:space="preserve"> Project, Inc.</w:t>
      </w:r>
      <w:r w:rsidR="007822C4" w:rsidRPr="008C01A6">
        <w:rPr>
          <w:rFonts w:ascii="Times New Roman" w:hAnsi="Times New Roman" w:cs="Times New Roman"/>
          <w:sz w:val="24"/>
          <w:szCs w:val="24"/>
        </w:rPr>
        <w:t>, 135 S. Ct. 2507, 2520 (2015) (“If a word or phrase has been . . . given a uniform interpretation by inferior courts . . . , a later version of that act perpetuating the wording is presumed to carry forward that interpretation.”) (</w:t>
      </w:r>
      <w:proofErr w:type="gramStart"/>
      <w:r w:rsidR="007822C4" w:rsidRPr="008C01A6">
        <w:rPr>
          <w:rFonts w:ascii="Times New Roman" w:hAnsi="Times New Roman" w:cs="Times New Roman"/>
          <w:sz w:val="24"/>
          <w:szCs w:val="24"/>
        </w:rPr>
        <w:t>citation</w:t>
      </w:r>
      <w:proofErr w:type="gramEnd"/>
      <w:r w:rsidR="007822C4" w:rsidRPr="008C01A6">
        <w:rPr>
          <w:rFonts w:ascii="Times New Roman" w:hAnsi="Times New Roman" w:cs="Times New Roman"/>
          <w:sz w:val="24"/>
          <w:szCs w:val="24"/>
        </w:rPr>
        <w:t xml:space="preserve"> and internal quotation marks omitted).</w:t>
      </w:r>
      <w:r w:rsidR="009E3E91" w:rsidRPr="008C01A6">
        <w:rPr>
          <w:rFonts w:ascii="Times New Roman" w:hAnsi="Times New Roman" w:cs="Times New Roman"/>
          <w:sz w:val="24"/>
          <w:szCs w:val="24"/>
        </w:rPr>
        <w:t xml:space="preserve"> Indeed, Congress speci</w:t>
      </w:r>
      <w:r w:rsidR="00CC0918" w:rsidRPr="008C01A6">
        <w:rPr>
          <w:rFonts w:ascii="Times New Roman" w:hAnsi="Times New Roman" w:cs="Times New Roman"/>
          <w:sz w:val="24"/>
          <w:szCs w:val="24"/>
        </w:rPr>
        <w:t xml:space="preserve">fically provided in 42 U.S.C. § 12201 </w:t>
      </w:r>
      <w:r w:rsidR="009E3E91" w:rsidRPr="008C01A6">
        <w:rPr>
          <w:rFonts w:ascii="Times New Roman" w:hAnsi="Times New Roman" w:cs="Times New Roman"/>
          <w:sz w:val="24"/>
          <w:szCs w:val="24"/>
        </w:rPr>
        <w:t>that the ADA must</w:t>
      </w:r>
      <w:r w:rsidR="009E3E91" w:rsidRPr="008C01A6">
        <w:rPr>
          <w:rFonts w:ascii="Times New Roman" w:hAnsi="Times New Roman" w:cs="Times New Roman"/>
          <w:i/>
          <w:sz w:val="24"/>
          <w:szCs w:val="24"/>
        </w:rPr>
        <w:t xml:space="preserve"> not</w:t>
      </w:r>
      <w:r w:rsidR="009E3E91" w:rsidRPr="008C01A6">
        <w:rPr>
          <w:rFonts w:ascii="Times New Roman" w:hAnsi="Times New Roman" w:cs="Times New Roman"/>
          <w:sz w:val="24"/>
          <w:szCs w:val="24"/>
        </w:rPr>
        <w:t xml:space="preserve"> be construed to provide any lesser protection than the Rehabilitation Act, a prohibition that Harris County’s construction of Title II violates. </w:t>
      </w:r>
      <w:r w:rsidR="00C462A9" w:rsidRPr="008C01A6">
        <w:rPr>
          <w:rFonts w:ascii="Times New Roman" w:hAnsi="Times New Roman" w:cs="Times New Roman"/>
          <w:sz w:val="24"/>
          <w:szCs w:val="24"/>
        </w:rPr>
        <w:tab/>
      </w:r>
    </w:p>
    <w:p w:rsidR="00B52105" w:rsidRPr="008C01A6" w:rsidRDefault="00ED4734">
      <w:pPr>
        <w:pStyle w:val="Heading3"/>
        <w:keepNext w:val="0"/>
        <w:keepLines w:val="0"/>
        <w:widowControl w:val="0"/>
        <w:rPr>
          <w:rFonts w:cs="Times New Roman"/>
          <w:szCs w:val="24"/>
        </w:rPr>
      </w:pPr>
      <w:bookmarkStart w:id="9" w:name="_Toc465681939"/>
      <w:r w:rsidRPr="008C01A6">
        <w:rPr>
          <w:rFonts w:cs="Times New Roman"/>
          <w:szCs w:val="24"/>
        </w:rPr>
        <w:t xml:space="preserve">Title II Properly Incorporates the Attorney General’s Right of Action </w:t>
      </w:r>
      <w:r w:rsidR="00920628">
        <w:rPr>
          <w:rFonts w:cs="Times New Roman"/>
          <w:szCs w:val="24"/>
        </w:rPr>
        <w:t>b</w:t>
      </w:r>
      <w:r w:rsidRPr="008C01A6">
        <w:rPr>
          <w:rFonts w:cs="Times New Roman"/>
          <w:szCs w:val="24"/>
        </w:rPr>
        <w:t>y Reference Instead of Naming Her Specifically</w:t>
      </w:r>
      <w:bookmarkEnd w:id="9"/>
    </w:p>
    <w:p w:rsidR="00B52105" w:rsidRPr="008C01A6" w:rsidRDefault="00683E7E">
      <w:pPr>
        <w:widowControl w:val="0"/>
        <w:rPr>
          <w:rFonts w:ascii="Times New Roman" w:hAnsi="Times New Roman" w:cs="Times New Roman"/>
          <w:sz w:val="24"/>
          <w:szCs w:val="24"/>
        </w:rPr>
      </w:pPr>
      <w:r w:rsidRPr="008C01A6">
        <w:rPr>
          <w:rFonts w:ascii="Times New Roman" w:hAnsi="Times New Roman" w:cs="Times New Roman"/>
          <w:sz w:val="24"/>
          <w:szCs w:val="24"/>
        </w:rPr>
        <w:t xml:space="preserve"> </w:t>
      </w:r>
    </w:p>
    <w:p w:rsidR="00B52105" w:rsidRPr="008C01A6" w:rsidRDefault="00D35AF9">
      <w:pPr>
        <w:pStyle w:val="CommentText"/>
        <w:widowControl w:val="0"/>
        <w:spacing w:line="480" w:lineRule="auto"/>
        <w:rPr>
          <w:rFonts w:ascii="Times New Roman" w:hAnsi="Times New Roman" w:cs="Times New Roman"/>
          <w:sz w:val="24"/>
          <w:szCs w:val="24"/>
        </w:rPr>
      </w:pPr>
      <w:r w:rsidRPr="008C01A6">
        <w:rPr>
          <w:rFonts w:ascii="Times New Roman" w:hAnsi="Times New Roman" w:cs="Times New Roman"/>
          <w:sz w:val="24"/>
          <w:szCs w:val="24"/>
        </w:rPr>
        <w:tab/>
      </w:r>
      <w:r w:rsidR="001433BA" w:rsidRPr="008C01A6">
        <w:rPr>
          <w:rFonts w:ascii="Times New Roman" w:hAnsi="Times New Roman" w:cs="Times New Roman"/>
          <w:sz w:val="24"/>
          <w:szCs w:val="24"/>
        </w:rPr>
        <w:t xml:space="preserve">In support of its argument, Harris County cites </w:t>
      </w:r>
      <w:r w:rsidR="001433BA" w:rsidRPr="008C01A6">
        <w:rPr>
          <w:rFonts w:ascii="Times New Roman" w:hAnsi="Times New Roman" w:cs="Times New Roman"/>
          <w:i/>
          <w:sz w:val="24"/>
          <w:szCs w:val="24"/>
        </w:rPr>
        <w:t>Director v. Newport News Shipbuilding &amp; Dry Dock Co.</w:t>
      </w:r>
      <w:r w:rsidR="001433BA" w:rsidRPr="008C01A6">
        <w:rPr>
          <w:rFonts w:ascii="Times New Roman" w:hAnsi="Times New Roman" w:cs="Times New Roman"/>
          <w:sz w:val="24"/>
          <w:szCs w:val="24"/>
        </w:rPr>
        <w:t>, 514 U.S. 122, 129 (1995)</w:t>
      </w:r>
      <w:r w:rsidR="00AE2779" w:rsidRPr="008C01A6">
        <w:rPr>
          <w:rFonts w:ascii="Times New Roman" w:hAnsi="Times New Roman" w:cs="Times New Roman"/>
          <w:sz w:val="24"/>
          <w:szCs w:val="24"/>
        </w:rPr>
        <w:t>,</w:t>
      </w:r>
      <w:r w:rsidR="001433BA" w:rsidRPr="008C01A6">
        <w:rPr>
          <w:rFonts w:ascii="Times New Roman" w:hAnsi="Times New Roman" w:cs="Times New Roman"/>
          <w:sz w:val="24"/>
          <w:szCs w:val="24"/>
        </w:rPr>
        <w:t xml:space="preserve"> for the proposition that “when an agency in its governmental capacity is meant to have standing, Congress says so” by explicitly naming the agency in the enforcement statute. </w:t>
      </w:r>
      <w:proofErr w:type="gramStart"/>
      <w:r w:rsidR="001433BA" w:rsidRPr="008C01A6">
        <w:rPr>
          <w:rFonts w:ascii="Times New Roman" w:hAnsi="Times New Roman" w:cs="Times New Roman"/>
          <w:sz w:val="24"/>
          <w:szCs w:val="24"/>
        </w:rPr>
        <w:t>MTD at 4.</w:t>
      </w:r>
      <w:proofErr w:type="gramEnd"/>
      <w:r w:rsidR="001433BA" w:rsidRPr="008C01A6">
        <w:rPr>
          <w:rFonts w:ascii="Times New Roman" w:hAnsi="Times New Roman" w:cs="Times New Roman"/>
          <w:sz w:val="24"/>
          <w:szCs w:val="24"/>
        </w:rPr>
        <w:t xml:space="preserve"> </w:t>
      </w:r>
      <w:r w:rsidR="004E6928" w:rsidRPr="008C01A6">
        <w:rPr>
          <w:rFonts w:ascii="Times New Roman" w:hAnsi="Times New Roman" w:cs="Times New Roman"/>
          <w:sz w:val="24"/>
          <w:szCs w:val="24"/>
        </w:rPr>
        <w:t xml:space="preserve">The Court in </w:t>
      </w:r>
      <w:r w:rsidR="001433BA" w:rsidRPr="008C01A6">
        <w:rPr>
          <w:rFonts w:ascii="Times New Roman" w:hAnsi="Times New Roman" w:cs="Times New Roman"/>
          <w:i/>
          <w:sz w:val="24"/>
          <w:szCs w:val="24"/>
        </w:rPr>
        <w:t xml:space="preserve">Newport News </w:t>
      </w:r>
      <w:r w:rsidR="004E6928" w:rsidRPr="008C01A6">
        <w:rPr>
          <w:rFonts w:ascii="Times New Roman" w:hAnsi="Times New Roman" w:cs="Times New Roman"/>
          <w:sz w:val="24"/>
          <w:szCs w:val="24"/>
        </w:rPr>
        <w:t>was interpreting</w:t>
      </w:r>
      <w:r w:rsidR="001433BA" w:rsidRPr="008C01A6">
        <w:rPr>
          <w:rFonts w:ascii="Times New Roman" w:hAnsi="Times New Roman" w:cs="Times New Roman"/>
          <w:sz w:val="24"/>
          <w:szCs w:val="24"/>
        </w:rPr>
        <w:t xml:space="preserve"> a statute providing that “[a]</w:t>
      </w:r>
      <w:proofErr w:type="spellStart"/>
      <w:r w:rsidR="001433BA" w:rsidRPr="008C01A6">
        <w:rPr>
          <w:rFonts w:ascii="Times New Roman" w:hAnsi="Times New Roman" w:cs="Times New Roman"/>
          <w:sz w:val="24"/>
          <w:szCs w:val="24"/>
        </w:rPr>
        <w:t>ny</w:t>
      </w:r>
      <w:proofErr w:type="spellEnd"/>
      <w:r w:rsidR="001433BA" w:rsidRPr="008C01A6">
        <w:rPr>
          <w:rFonts w:ascii="Times New Roman" w:hAnsi="Times New Roman" w:cs="Times New Roman"/>
          <w:sz w:val="24"/>
          <w:szCs w:val="24"/>
        </w:rPr>
        <w:t xml:space="preserve"> person adversely affected or aggrieved by a final order . . . may obtain </w:t>
      </w:r>
      <w:r w:rsidR="00591615" w:rsidRPr="008C01A6">
        <w:rPr>
          <w:rFonts w:ascii="Times New Roman" w:hAnsi="Times New Roman" w:cs="Times New Roman"/>
          <w:sz w:val="24"/>
          <w:szCs w:val="24"/>
        </w:rPr>
        <w:t xml:space="preserve">a </w:t>
      </w:r>
      <w:r w:rsidR="001433BA" w:rsidRPr="008C01A6">
        <w:rPr>
          <w:rFonts w:ascii="Times New Roman" w:hAnsi="Times New Roman" w:cs="Times New Roman"/>
          <w:sz w:val="24"/>
          <w:szCs w:val="24"/>
        </w:rPr>
        <w:t>review of that order</w:t>
      </w:r>
      <w:r w:rsidR="008F1E3D" w:rsidRPr="008C01A6">
        <w:rPr>
          <w:rFonts w:ascii="Times New Roman" w:hAnsi="Times New Roman" w:cs="Times New Roman"/>
          <w:sz w:val="24"/>
          <w:szCs w:val="24"/>
        </w:rPr>
        <w:t>.</w:t>
      </w:r>
      <w:r w:rsidR="00D51E91" w:rsidRPr="008C01A6">
        <w:rPr>
          <w:rFonts w:ascii="Times New Roman" w:hAnsi="Times New Roman" w:cs="Times New Roman"/>
          <w:sz w:val="24"/>
          <w:szCs w:val="24"/>
        </w:rPr>
        <w:t xml:space="preserve">” </w:t>
      </w:r>
      <w:r w:rsidR="004E6928" w:rsidRPr="008C01A6">
        <w:rPr>
          <w:rFonts w:ascii="Times New Roman" w:hAnsi="Times New Roman" w:cs="Times New Roman"/>
          <w:sz w:val="24"/>
          <w:szCs w:val="24"/>
        </w:rPr>
        <w:t>514 U.S. at 125-126</w:t>
      </w:r>
      <w:r w:rsidR="001433BA" w:rsidRPr="008C01A6">
        <w:rPr>
          <w:rFonts w:ascii="Times New Roman" w:hAnsi="Times New Roman" w:cs="Times New Roman"/>
          <w:sz w:val="24"/>
          <w:szCs w:val="24"/>
        </w:rPr>
        <w:t xml:space="preserve"> (citing 33 U.S.C. </w:t>
      </w:r>
      <w:r w:rsidR="00013C87" w:rsidRPr="008C01A6">
        <w:rPr>
          <w:rFonts w:ascii="Times New Roman" w:hAnsi="Times New Roman" w:cs="Times New Roman"/>
          <w:sz w:val="24"/>
          <w:szCs w:val="24"/>
        </w:rPr>
        <w:t>§ </w:t>
      </w:r>
      <w:r w:rsidR="001433BA" w:rsidRPr="008C01A6">
        <w:rPr>
          <w:rFonts w:ascii="Times New Roman" w:hAnsi="Times New Roman" w:cs="Times New Roman"/>
          <w:sz w:val="24"/>
          <w:szCs w:val="24"/>
        </w:rPr>
        <w:t>921(c)).</w:t>
      </w:r>
      <w:r w:rsidR="009A3768" w:rsidRPr="008C01A6">
        <w:rPr>
          <w:rFonts w:ascii="Times New Roman" w:hAnsi="Times New Roman" w:cs="Times New Roman"/>
          <w:sz w:val="24"/>
          <w:szCs w:val="24"/>
        </w:rPr>
        <w:t xml:space="preserve"> </w:t>
      </w:r>
      <w:r w:rsidR="004E6928" w:rsidRPr="008C01A6">
        <w:rPr>
          <w:rFonts w:ascii="Times New Roman" w:hAnsi="Times New Roman" w:cs="Times New Roman"/>
          <w:sz w:val="24"/>
          <w:szCs w:val="24"/>
        </w:rPr>
        <w:t xml:space="preserve">The case </w:t>
      </w:r>
      <w:r w:rsidR="00424A9A" w:rsidRPr="008C01A6">
        <w:rPr>
          <w:rFonts w:ascii="Times New Roman" w:hAnsi="Times New Roman" w:cs="Times New Roman"/>
          <w:sz w:val="24"/>
          <w:szCs w:val="24"/>
        </w:rPr>
        <w:t>does not</w:t>
      </w:r>
      <w:r w:rsidR="009A3768" w:rsidRPr="008C01A6">
        <w:rPr>
          <w:rFonts w:ascii="Times New Roman" w:hAnsi="Times New Roman" w:cs="Times New Roman"/>
          <w:sz w:val="24"/>
          <w:szCs w:val="24"/>
        </w:rPr>
        <w:t xml:space="preserve"> </w:t>
      </w:r>
      <w:r w:rsidR="00424A9A" w:rsidRPr="008C01A6">
        <w:rPr>
          <w:rFonts w:ascii="Times New Roman" w:hAnsi="Times New Roman" w:cs="Times New Roman"/>
          <w:sz w:val="24"/>
          <w:szCs w:val="24"/>
        </w:rPr>
        <w:t xml:space="preserve">stand for the </w:t>
      </w:r>
      <w:r w:rsidR="001A254D" w:rsidRPr="008C01A6">
        <w:rPr>
          <w:rFonts w:ascii="Times New Roman" w:hAnsi="Times New Roman" w:cs="Times New Roman"/>
          <w:sz w:val="24"/>
          <w:szCs w:val="24"/>
        </w:rPr>
        <w:t xml:space="preserve">general </w:t>
      </w:r>
      <w:r w:rsidR="00424A9A" w:rsidRPr="008C01A6">
        <w:rPr>
          <w:rFonts w:ascii="Times New Roman" w:hAnsi="Times New Roman" w:cs="Times New Roman"/>
          <w:sz w:val="24"/>
          <w:szCs w:val="24"/>
        </w:rPr>
        <w:t xml:space="preserve">proposition that Congress </w:t>
      </w:r>
      <w:r w:rsidR="004E6928" w:rsidRPr="008C01A6">
        <w:rPr>
          <w:rFonts w:ascii="Times New Roman" w:hAnsi="Times New Roman" w:cs="Times New Roman"/>
          <w:sz w:val="24"/>
          <w:szCs w:val="24"/>
        </w:rPr>
        <w:t xml:space="preserve">must </w:t>
      </w:r>
      <w:r w:rsidR="00424A9A" w:rsidRPr="008C01A6">
        <w:rPr>
          <w:rFonts w:ascii="Times New Roman" w:hAnsi="Times New Roman" w:cs="Times New Roman"/>
          <w:sz w:val="24"/>
          <w:szCs w:val="24"/>
        </w:rPr>
        <w:t xml:space="preserve">identify the Attorney General by name in any enforcement provision. </w:t>
      </w:r>
      <w:r w:rsidR="004E6928" w:rsidRPr="008C01A6">
        <w:rPr>
          <w:rFonts w:ascii="Times New Roman" w:hAnsi="Times New Roman" w:cs="Times New Roman"/>
          <w:sz w:val="24"/>
          <w:szCs w:val="24"/>
        </w:rPr>
        <w:t>Instead, t</w:t>
      </w:r>
      <w:r w:rsidR="001A254D" w:rsidRPr="008C01A6">
        <w:rPr>
          <w:rFonts w:ascii="Times New Roman" w:hAnsi="Times New Roman" w:cs="Times New Roman"/>
          <w:sz w:val="24"/>
          <w:szCs w:val="24"/>
        </w:rPr>
        <w:t>he</w:t>
      </w:r>
      <w:r w:rsidR="00424A9A" w:rsidRPr="008C01A6">
        <w:rPr>
          <w:rFonts w:ascii="Times New Roman" w:hAnsi="Times New Roman" w:cs="Times New Roman"/>
          <w:sz w:val="24"/>
          <w:szCs w:val="24"/>
        </w:rPr>
        <w:t xml:space="preserve"> Court held that </w:t>
      </w:r>
      <w:r w:rsidR="004E6928" w:rsidRPr="008C01A6">
        <w:rPr>
          <w:rFonts w:ascii="Times New Roman" w:hAnsi="Times New Roman" w:cs="Times New Roman"/>
          <w:sz w:val="24"/>
          <w:szCs w:val="24"/>
        </w:rPr>
        <w:t xml:space="preserve">the </w:t>
      </w:r>
      <w:r w:rsidR="00424A9A" w:rsidRPr="008C01A6">
        <w:rPr>
          <w:rFonts w:ascii="Times New Roman" w:hAnsi="Times New Roman" w:cs="Times New Roman"/>
          <w:sz w:val="24"/>
          <w:szCs w:val="24"/>
        </w:rPr>
        <w:t>statute</w:t>
      </w:r>
      <w:r w:rsidR="006C1293" w:rsidRPr="008C01A6">
        <w:rPr>
          <w:rFonts w:ascii="Times New Roman" w:hAnsi="Times New Roman" w:cs="Times New Roman"/>
          <w:sz w:val="24"/>
          <w:szCs w:val="24"/>
        </w:rPr>
        <w:t xml:space="preserve"> </w:t>
      </w:r>
      <w:r w:rsidR="00424A9A" w:rsidRPr="008C01A6">
        <w:rPr>
          <w:rFonts w:ascii="Times New Roman" w:hAnsi="Times New Roman" w:cs="Times New Roman"/>
          <w:sz w:val="24"/>
          <w:szCs w:val="24"/>
        </w:rPr>
        <w:t>did not provide</w:t>
      </w:r>
      <w:r w:rsidR="00AE2779" w:rsidRPr="008C01A6">
        <w:rPr>
          <w:rFonts w:ascii="Times New Roman" w:hAnsi="Times New Roman" w:cs="Times New Roman"/>
          <w:sz w:val="24"/>
          <w:szCs w:val="24"/>
        </w:rPr>
        <w:t xml:space="preserve"> </w:t>
      </w:r>
      <w:r w:rsidR="00767AD9" w:rsidRPr="008C01A6">
        <w:rPr>
          <w:rFonts w:ascii="Times New Roman" w:hAnsi="Times New Roman" w:cs="Times New Roman"/>
          <w:sz w:val="24"/>
          <w:szCs w:val="24"/>
        </w:rPr>
        <w:t xml:space="preserve">appellate </w:t>
      </w:r>
      <w:r w:rsidR="00AE2779" w:rsidRPr="008C01A6">
        <w:rPr>
          <w:rFonts w:ascii="Times New Roman" w:hAnsi="Times New Roman" w:cs="Times New Roman"/>
          <w:sz w:val="24"/>
          <w:szCs w:val="24"/>
        </w:rPr>
        <w:t xml:space="preserve">authority for the agency director </w:t>
      </w:r>
      <w:r w:rsidR="009D3C57" w:rsidRPr="008C01A6">
        <w:rPr>
          <w:rFonts w:ascii="Times New Roman" w:hAnsi="Times New Roman" w:cs="Times New Roman"/>
          <w:sz w:val="24"/>
          <w:szCs w:val="24"/>
        </w:rPr>
        <w:t>in light of</w:t>
      </w:r>
      <w:r w:rsidR="00424A9A" w:rsidRPr="008C01A6">
        <w:rPr>
          <w:rFonts w:ascii="Times New Roman" w:hAnsi="Times New Roman" w:cs="Times New Roman"/>
          <w:sz w:val="24"/>
          <w:szCs w:val="24"/>
        </w:rPr>
        <w:t xml:space="preserve"> the </w:t>
      </w:r>
      <w:r w:rsidR="00EC6BC9" w:rsidRPr="008C01A6">
        <w:rPr>
          <w:rFonts w:ascii="Times New Roman" w:hAnsi="Times New Roman" w:cs="Times New Roman"/>
          <w:sz w:val="24"/>
          <w:szCs w:val="24"/>
        </w:rPr>
        <w:t xml:space="preserve">text and </w:t>
      </w:r>
      <w:r w:rsidR="00424A9A" w:rsidRPr="008C01A6">
        <w:rPr>
          <w:rFonts w:ascii="Times New Roman" w:hAnsi="Times New Roman" w:cs="Times New Roman"/>
          <w:sz w:val="24"/>
          <w:szCs w:val="24"/>
        </w:rPr>
        <w:t xml:space="preserve">statutory scheme as a whole. </w:t>
      </w:r>
      <w:r w:rsidR="00AE2779" w:rsidRPr="008C01A6">
        <w:rPr>
          <w:rFonts w:ascii="Times New Roman" w:hAnsi="Times New Roman" w:cs="Times New Roman"/>
          <w:i/>
          <w:sz w:val="24"/>
          <w:szCs w:val="24"/>
        </w:rPr>
        <w:t>Id.</w:t>
      </w:r>
      <w:r w:rsidR="00AE2779" w:rsidRPr="008C01A6">
        <w:rPr>
          <w:rFonts w:ascii="Times New Roman" w:hAnsi="Times New Roman" w:cs="Times New Roman"/>
          <w:sz w:val="24"/>
          <w:szCs w:val="24"/>
        </w:rPr>
        <w:t xml:space="preserve"> at 126-136</w:t>
      </w:r>
      <w:r w:rsidR="00FE1CAE" w:rsidRPr="008C01A6">
        <w:rPr>
          <w:rFonts w:ascii="Times New Roman" w:hAnsi="Times New Roman" w:cs="Times New Roman"/>
          <w:sz w:val="24"/>
          <w:szCs w:val="24"/>
        </w:rPr>
        <w:t xml:space="preserve">. </w:t>
      </w:r>
      <w:r w:rsidR="004E6928" w:rsidRPr="008C01A6">
        <w:rPr>
          <w:rFonts w:ascii="Times New Roman" w:hAnsi="Times New Roman" w:cs="Times New Roman"/>
          <w:sz w:val="24"/>
          <w:szCs w:val="24"/>
        </w:rPr>
        <w:t xml:space="preserve">Unlike Title II, </w:t>
      </w:r>
      <w:r w:rsidR="008F0645" w:rsidRPr="008C01A6">
        <w:rPr>
          <w:rFonts w:ascii="Times New Roman" w:hAnsi="Times New Roman" w:cs="Times New Roman"/>
          <w:sz w:val="24"/>
          <w:szCs w:val="24"/>
        </w:rPr>
        <w:t xml:space="preserve">the statute at issue in </w:t>
      </w:r>
      <w:r w:rsidR="008F0645" w:rsidRPr="008C01A6">
        <w:rPr>
          <w:rFonts w:ascii="Times New Roman" w:hAnsi="Times New Roman" w:cs="Times New Roman"/>
          <w:i/>
          <w:sz w:val="24"/>
          <w:szCs w:val="24"/>
        </w:rPr>
        <w:t>Newport News</w:t>
      </w:r>
      <w:r w:rsidR="00424A9A" w:rsidRPr="008C01A6">
        <w:rPr>
          <w:rFonts w:ascii="Times New Roman" w:hAnsi="Times New Roman" w:cs="Times New Roman"/>
          <w:sz w:val="24"/>
          <w:szCs w:val="24"/>
        </w:rPr>
        <w:t xml:space="preserve"> </w:t>
      </w:r>
      <w:r w:rsidR="00AE2779" w:rsidRPr="008C01A6">
        <w:rPr>
          <w:rFonts w:ascii="Times New Roman" w:hAnsi="Times New Roman" w:cs="Times New Roman"/>
          <w:sz w:val="24"/>
          <w:szCs w:val="24"/>
        </w:rPr>
        <w:t xml:space="preserve">used a term of art in identifying </w:t>
      </w:r>
      <w:r w:rsidR="00401CBD" w:rsidRPr="008C01A6">
        <w:rPr>
          <w:rFonts w:ascii="Times New Roman" w:hAnsi="Times New Roman" w:cs="Times New Roman"/>
          <w:sz w:val="24"/>
          <w:szCs w:val="24"/>
        </w:rPr>
        <w:t xml:space="preserve">who could “obtain </w:t>
      </w:r>
      <w:r w:rsidR="00591615" w:rsidRPr="008C01A6">
        <w:rPr>
          <w:rFonts w:ascii="Times New Roman" w:hAnsi="Times New Roman" w:cs="Times New Roman"/>
          <w:sz w:val="24"/>
          <w:szCs w:val="24"/>
        </w:rPr>
        <w:t xml:space="preserve">a </w:t>
      </w:r>
      <w:r w:rsidR="00401CBD" w:rsidRPr="008C01A6">
        <w:rPr>
          <w:rFonts w:ascii="Times New Roman" w:hAnsi="Times New Roman" w:cs="Times New Roman"/>
          <w:sz w:val="24"/>
          <w:szCs w:val="24"/>
        </w:rPr>
        <w:t>review” and, unlike Title II,</w:t>
      </w:r>
      <w:r w:rsidR="00013C87" w:rsidRPr="008C01A6">
        <w:rPr>
          <w:rFonts w:ascii="Times New Roman" w:hAnsi="Times New Roman" w:cs="Times New Roman"/>
          <w:sz w:val="24"/>
          <w:szCs w:val="24"/>
        </w:rPr>
        <w:t xml:space="preserve"> it</w:t>
      </w:r>
      <w:r w:rsidR="00401CBD" w:rsidRPr="008C01A6">
        <w:rPr>
          <w:rFonts w:ascii="Times New Roman" w:hAnsi="Times New Roman" w:cs="Times New Roman"/>
          <w:sz w:val="24"/>
          <w:szCs w:val="24"/>
        </w:rPr>
        <w:t xml:space="preserve"> </w:t>
      </w:r>
      <w:r w:rsidR="00424A9A" w:rsidRPr="008C01A6">
        <w:rPr>
          <w:rFonts w:ascii="Times New Roman" w:hAnsi="Times New Roman" w:cs="Times New Roman"/>
          <w:sz w:val="24"/>
          <w:szCs w:val="24"/>
        </w:rPr>
        <w:t xml:space="preserve">did not incorporate any other statutory enforcement scheme, </w:t>
      </w:r>
      <w:r w:rsidR="00401CBD" w:rsidRPr="008C01A6">
        <w:rPr>
          <w:rFonts w:ascii="Times New Roman" w:hAnsi="Times New Roman" w:cs="Times New Roman"/>
          <w:sz w:val="24"/>
          <w:szCs w:val="24"/>
        </w:rPr>
        <w:t xml:space="preserve">much less </w:t>
      </w:r>
      <w:r w:rsidR="00424A9A" w:rsidRPr="008C01A6">
        <w:rPr>
          <w:rFonts w:ascii="Times New Roman" w:hAnsi="Times New Roman" w:cs="Times New Roman"/>
          <w:sz w:val="24"/>
          <w:szCs w:val="24"/>
        </w:rPr>
        <w:t xml:space="preserve">a well-established enforcement structure </w:t>
      </w:r>
      <w:r w:rsidR="00401CBD" w:rsidRPr="008C01A6">
        <w:rPr>
          <w:rFonts w:ascii="Times New Roman" w:hAnsi="Times New Roman" w:cs="Times New Roman"/>
          <w:sz w:val="24"/>
          <w:szCs w:val="24"/>
        </w:rPr>
        <w:t xml:space="preserve">that for fifty years has relied </w:t>
      </w:r>
      <w:r w:rsidR="00424A9A" w:rsidRPr="008C01A6">
        <w:rPr>
          <w:rFonts w:ascii="Times New Roman" w:hAnsi="Times New Roman" w:cs="Times New Roman"/>
          <w:sz w:val="24"/>
          <w:szCs w:val="24"/>
        </w:rPr>
        <w:t xml:space="preserve">on federal government </w:t>
      </w:r>
      <w:r w:rsidR="008C1B0D" w:rsidRPr="008C01A6">
        <w:rPr>
          <w:rFonts w:ascii="Times New Roman" w:hAnsi="Times New Roman" w:cs="Times New Roman"/>
          <w:sz w:val="24"/>
          <w:szCs w:val="24"/>
        </w:rPr>
        <w:t xml:space="preserve">enforcement </w:t>
      </w:r>
      <w:r w:rsidR="00424A9A" w:rsidRPr="008C01A6">
        <w:rPr>
          <w:rFonts w:ascii="Times New Roman" w:hAnsi="Times New Roman" w:cs="Times New Roman"/>
          <w:sz w:val="24"/>
          <w:szCs w:val="24"/>
        </w:rPr>
        <w:t xml:space="preserve">action. Nothing in </w:t>
      </w:r>
      <w:r w:rsidR="00674790" w:rsidRPr="008C01A6">
        <w:rPr>
          <w:rFonts w:ascii="Times New Roman" w:hAnsi="Times New Roman" w:cs="Times New Roman"/>
          <w:i/>
          <w:sz w:val="24"/>
          <w:szCs w:val="24"/>
        </w:rPr>
        <w:t>Newport News</w:t>
      </w:r>
      <w:r w:rsidR="00424A9A" w:rsidRPr="008C01A6">
        <w:rPr>
          <w:rFonts w:ascii="Times New Roman" w:hAnsi="Times New Roman" w:cs="Times New Roman"/>
          <w:sz w:val="24"/>
          <w:szCs w:val="24"/>
        </w:rPr>
        <w:t xml:space="preserve"> bars Congress from incorporating the Attorney General’s enforcement authority by reference rather than by explicitl</w:t>
      </w:r>
      <w:r w:rsidR="0099367B" w:rsidRPr="008C01A6">
        <w:rPr>
          <w:rFonts w:ascii="Times New Roman" w:hAnsi="Times New Roman" w:cs="Times New Roman"/>
          <w:sz w:val="24"/>
          <w:szCs w:val="24"/>
        </w:rPr>
        <w:t xml:space="preserve">y naming the Attorney General. </w:t>
      </w:r>
      <w:r w:rsidR="00424A9A" w:rsidRPr="008C01A6">
        <w:rPr>
          <w:rFonts w:ascii="Times New Roman" w:hAnsi="Times New Roman" w:cs="Times New Roman"/>
          <w:sz w:val="24"/>
          <w:szCs w:val="24"/>
        </w:rPr>
        <w:t>That is what Congress did here.</w:t>
      </w:r>
    </w:p>
    <w:p w:rsidR="002D2C48" w:rsidRPr="008C01A6" w:rsidRDefault="00B32ACF" w:rsidP="00EB1505">
      <w:pPr>
        <w:pStyle w:val="Default"/>
        <w:spacing w:line="480" w:lineRule="auto"/>
        <w:contextualSpacing/>
        <w:mirrorIndents/>
      </w:pPr>
      <w:r w:rsidRPr="008C01A6">
        <w:tab/>
      </w:r>
      <w:r w:rsidR="009D3C57" w:rsidRPr="008C01A6">
        <w:t xml:space="preserve">Harris County also </w:t>
      </w:r>
      <w:r w:rsidR="003A1E97" w:rsidRPr="008C01A6">
        <w:t xml:space="preserve">relies on </w:t>
      </w:r>
      <w:r w:rsidR="003A1E97" w:rsidRPr="008C01A6">
        <w:rPr>
          <w:i/>
        </w:rPr>
        <w:t xml:space="preserve">Newport News </w:t>
      </w:r>
      <w:r w:rsidR="002D2C48" w:rsidRPr="008C01A6">
        <w:t xml:space="preserve">and canons of statutory construction </w:t>
      </w:r>
      <w:r w:rsidR="003A1E97" w:rsidRPr="008C01A6">
        <w:t xml:space="preserve">to </w:t>
      </w:r>
      <w:r w:rsidR="001A254D" w:rsidRPr="008C01A6">
        <w:t>argue that the Court should place dispositive weight on the fact that</w:t>
      </w:r>
      <w:r w:rsidR="009D3C57" w:rsidRPr="008C01A6">
        <w:t xml:space="preserve"> Titles I and III of the ADA name the Attorney General, while Title I</w:t>
      </w:r>
      <w:r w:rsidR="005D498C" w:rsidRPr="008C01A6">
        <w:t>I</w:t>
      </w:r>
      <w:r w:rsidR="009D3C57" w:rsidRPr="008C01A6">
        <w:t xml:space="preserve"> does not. </w:t>
      </w:r>
      <w:r w:rsidR="001A254D" w:rsidRPr="008C01A6">
        <w:t xml:space="preserve">MTD at 4-5. </w:t>
      </w:r>
      <w:r w:rsidR="002D2C48" w:rsidRPr="008C01A6">
        <w:t xml:space="preserve">Canons of construction are, of course, “not mandatory rules,” but “guides . . . designed to help judges determine the Legislature’s intent as embodied in particular statutory language.” </w:t>
      </w:r>
      <w:proofErr w:type="gramStart"/>
      <w:r w:rsidR="002D2C48" w:rsidRPr="008C01A6">
        <w:rPr>
          <w:i/>
        </w:rPr>
        <w:t>Chickasaw Nation v. United States</w:t>
      </w:r>
      <w:r w:rsidR="002D2C48" w:rsidRPr="008C01A6">
        <w:t>, 534 U.S. 84, 94 (2001).</w:t>
      </w:r>
      <w:proofErr w:type="gramEnd"/>
      <w:r w:rsidR="002D2C48" w:rsidRPr="008C01A6">
        <w:t xml:space="preserve"> Thus, “circumstances evidencing congressional intent can overcome their force.” </w:t>
      </w:r>
      <w:r w:rsidR="002D2C48" w:rsidRPr="008C01A6">
        <w:rPr>
          <w:i/>
        </w:rPr>
        <w:t>Id.</w:t>
      </w:r>
      <w:r w:rsidR="002D2C48" w:rsidRPr="008C01A6">
        <w:t xml:space="preserve"> Here, the</w:t>
      </w:r>
      <w:r w:rsidR="009D3C57" w:rsidRPr="008C01A6">
        <w:t xml:space="preserve"> statute’s structure makes clear that t</w:t>
      </w:r>
      <w:r w:rsidR="002D2C48" w:rsidRPr="008C01A6">
        <w:t>he difference between the Titles of the ADA</w:t>
      </w:r>
      <w:r w:rsidR="004519F3" w:rsidRPr="008C01A6">
        <w:t xml:space="preserve"> </w:t>
      </w:r>
      <w:r w:rsidRPr="008C01A6">
        <w:t>w</w:t>
      </w:r>
      <w:r w:rsidR="008F0645" w:rsidRPr="008C01A6">
        <w:t>as</w:t>
      </w:r>
      <w:r w:rsidRPr="008C01A6">
        <w:t xml:space="preserve"> not intended to limit </w:t>
      </w:r>
      <w:r w:rsidR="00853E4A" w:rsidRPr="008C01A6">
        <w:t>federal enforcement authority under</w:t>
      </w:r>
      <w:r w:rsidR="00EA4E1E" w:rsidRPr="008C01A6">
        <w:t xml:space="preserve"> </w:t>
      </w:r>
      <w:r w:rsidRPr="008C01A6">
        <w:t>Title II</w:t>
      </w:r>
      <w:r w:rsidR="00EB1505" w:rsidRPr="008C01A6">
        <w:t>. I</w:t>
      </w:r>
      <w:r w:rsidRPr="008C01A6">
        <w:t xml:space="preserve">nstead, </w:t>
      </w:r>
      <w:r w:rsidR="008F0645" w:rsidRPr="008C01A6">
        <w:t>that difference</w:t>
      </w:r>
      <w:r w:rsidRPr="008C01A6">
        <w:t xml:space="preserve"> </w:t>
      </w:r>
      <w:r w:rsidR="00853E4A" w:rsidRPr="008C01A6">
        <w:t>reflects</w:t>
      </w:r>
      <w:r w:rsidRPr="008C01A6">
        <w:t xml:space="preserve"> </w:t>
      </w:r>
      <w:r w:rsidR="00526BE7" w:rsidRPr="008C01A6">
        <w:t xml:space="preserve">the </w:t>
      </w:r>
      <w:r w:rsidR="003A1E97" w:rsidRPr="008C01A6">
        <w:t xml:space="preserve">fact </w:t>
      </w:r>
      <w:r w:rsidR="00526BE7" w:rsidRPr="008C01A6">
        <w:t>that</w:t>
      </w:r>
      <w:r w:rsidR="002D2C48" w:rsidRPr="008C01A6">
        <w:t xml:space="preserve"> in Titles I and III, </w:t>
      </w:r>
      <w:r w:rsidRPr="008C01A6">
        <w:t>the Attorney General</w:t>
      </w:r>
      <w:r w:rsidR="00EB1505" w:rsidRPr="008C01A6">
        <w:t>’s authority was either different than that of private li</w:t>
      </w:r>
      <w:r w:rsidR="00CC0918" w:rsidRPr="008C01A6">
        <w:t xml:space="preserve">tigants, or different than the authority </w:t>
      </w:r>
      <w:r w:rsidR="00EB1505" w:rsidRPr="008C01A6">
        <w:t>provided to her in the statutes incorporated by reference.</w:t>
      </w:r>
      <w:r w:rsidRPr="008C01A6">
        <w:t xml:space="preserve"> </w:t>
      </w:r>
      <w:r w:rsidR="00853E4A" w:rsidRPr="008C01A6">
        <w:t>Thus, it was necessary to name the Attorney General in Titles I and III</w:t>
      </w:r>
      <w:r w:rsidR="00EB1505" w:rsidRPr="008C01A6">
        <w:t xml:space="preserve"> so that her duties could be specified</w:t>
      </w:r>
      <w:r w:rsidR="00853E4A" w:rsidRPr="008C01A6">
        <w:t>, but</w:t>
      </w:r>
      <w:r w:rsidR="00EB1505" w:rsidRPr="008C01A6">
        <w:t xml:space="preserve"> it was</w:t>
      </w:r>
      <w:r w:rsidR="00853E4A" w:rsidRPr="008C01A6">
        <w:t xml:space="preserve"> not</w:t>
      </w:r>
      <w:r w:rsidR="00EB1505" w:rsidRPr="008C01A6">
        <w:t xml:space="preserve"> necessary in Title</w:t>
      </w:r>
      <w:r w:rsidR="00853E4A" w:rsidRPr="008C01A6">
        <w:t xml:space="preserve"> II</w:t>
      </w:r>
      <w:r w:rsidR="00F815E8" w:rsidRPr="008C01A6">
        <w:t xml:space="preserve">. </w:t>
      </w:r>
    </w:p>
    <w:p w:rsidR="00B52105" w:rsidRPr="008C01A6" w:rsidRDefault="00EB1505" w:rsidP="002D2C48">
      <w:pPr>
        <w:pStyle w:val="Default"/>
        <w:spacing w:line="480" w:lineRule="auto"/>
        <w:contextualSpacing/>
        <w:mirrorIndents/>
      </w:pPr>
      <w:r w:rsidRPr="008C01A6">
        <w:tab/>
        <w:t>In particular</w:t>
      </w:r>
      <w:r w:rsidR="002D2C48" w:rsidRPr="008C01A6">
        <w:t xml:space="preserve">, </w:t>
      </w:r>
      <w:r w:rsidR="00E90540" w:rsidRPr="008C01A6">
        <w:t>Title III of the ADA incorporates</w:t>
      </w:r>
      <w:r w:rsidR="002D2C48" w:rsidRPr="008C01A6">
        <w:t xml:space="preserve"> the enforcement provision of</w:t>
      </w:r>
      <w:r w:rsidR="00E90540" w:rsidRPr="008C01A6">
        <w:t xml:space="preserve"> Title II of the Civil Rights Act</w:t>
      </w:r>
      <w:r w:rsidR="002D2C48" w:rsidRPr="008C01A6">
        <w:t xml:space="preserve">, but </w:t>
      </w:r>
      <w:r w:rsidR="00AF7B5D" w:rsidRPr="008C01A6">
        <w:t>then</w:t>
      </w:r>
      <w:r w:rsidR="002D2C48" w:rsidRPr="008C01A6">
        <w:t xml:space="preserve"> gives the Attorney General broader powers than those provided in Title II of the Civil Rights Act</w:t>
      </w:r>
      <w:r w:rsidR="003A1E97" w:rsidRPr="008C01A6">
        <w:t xml:space="preserve">. </w:t>
      </w:r>
      <w:r w:rsidRPr="008C01A6">
        <w:t xml:space="preserve">For instance, </w:t>
      </w:r>
      <w:r w:rsidR="003A1E97" w:rsidRPr="008C01A6">
        <w:t xml:space="preserve">Title III of the ADA allows the Attorney General to seek damages, </w:t>
      </w:r>
      <w:r w:rsidR="005D498C" w:rsidRPr="008C01A6">
        <w:t>42 U.S.C. §</w:t>
      </w:r>
      <w:r w:rsidR="00526BE7" w:rsidRPr="008C01A6">
        <w:t> </w:t>
      </w:r>
      <w:r w:rsidR="005D498C" w:rsidRPr="008C01A6">
        <w:t>12188(b</w:t>
      </w:r>
      <w:proofErr w:type="gramStart"/>
      <w:r w:rsidR="005D498C" w:rsidRPr="008C01A6">
        <w:t>)</w:t>
      </w:r>
      <w:r w:rsidR="000A3ABB" w:rsidRPr="008C01A6">
        <w:t>(</w:t>
      </w:r>
      <w:proofErr w:type="gramEnd"/>
      <w:r w:rsidR="000A3ABB" w:rsidRPr="008C01A6">
        <w:t>2)</w:t>
      </w:r>
      <w:r w:rsidR="005D498C" w:rsidRPr="008C01A6">
        <w:t xml:space="preserve">, </w:t>
      </w:r>
      <w:r w:rsidR="003A1E97" w:rsidRPr="008C01A6">
        <w:t xml:space="preserve">whereas Title II of the Civil Rights Act </w:t>
      </w:r>
      <w:r w:rsidR="00E90540" w:rsidRPr="008C01A6">
        <w:t>does not</w:t>
      </w:r>
      <w:r w:rsidR="005D498C" w:rsidRPr="008C01A6">
        <w:t>,</w:t>
      </w:r>
      <w:r w:rsidR="000A3ABB" w:rsidRPr="008C01A6">
        <w:t xml:space="preserve"> 42 U.S.C. § 2000a-5</w:t>
      </w:r>
      <w:r w:rsidR="003A1E97" w:rsidRPr="008C01A6">
        <w:t xml:space="preserve">. The Attorney General also has rights </w:t>
      </w:r>
      <w:r w:rsidR="000A3ABB" w:rsidRPr="008C01A6">
        <w:t xml:space="preserve">in Title III </w:t>
      </w:r>
      <w:r w:rsidR="003A1E97" w:rsidRPr="008C01A6">
        <w:t xml:space="preserve">hat private parties do not, such as </w:t>
      </w:r>
      <w:r w:rsidRPr="008C01A6">
        <w:t xml:space="preserve">her </w:t>
      </w:r>
      <w:r w:rsidR="003A1E97" w:rsidRPr="008C01A6">
        <w:t xml:space="preserve">ability to </w:t>
      </w:r>
      <w:r w:rsidR="0096261C" w:rsidRPr="008C01A6">
        <w:t>seek damages and civil penalties</w:t>
      </w:r>
      <w:r w:rsidR="003A1E97" w:rsidRPr="008C01A6">
        <w:t>,</w:t>
      </w:r>
      <w:r w:rsidR="0096261C" w:rsidRPr="008C01A6">
        <w:t xml:space="preserve"> </w:t>
      </w:r>
      <w:r w:rsidR="005870AF" w:rsidRPr="008C01A6">
        <w:t xml:space="preserve">42 U.S.C. </w:t>
      </w:r>
      <w:r w:rsidR="00591615" w:rsidRPr="008C01A6">
        <w:t>§§ </w:t>
      </w:r>
      <w:r w:rsidR="005870AF" w:rsidRPr="008C01A6">
        <w:t>12188(b</w:t>
      </w:r>
      <w:proofErr w:type="gramStart"/>
      <w:r w:rsidR="005870AF" w:rsidRPr="008C01A6">
        <w:t>)(</w:t>
      </w:r>
      <w:proofErr w:type="gramEnd"/>
      <w:r w:rsidR="005870AF" w:rsidRPr="008C01A6">
        <w:t>2</w:t>
      </w:r>
      <w:r w:rsidR="000A3ABB" w:rsidRPr="008C01A6">
        <w:t>)</w:t>
      </w:r>
      <w:r w:rsidR="002D2C48" w:rsidRPr="008C01A6">
        <w:t>. Th</w:t>
      </w:r>
      <w:r w:rsidR="003A1E97" w:rsidRPr="008C01A6">
        <w:t xml:space="preserve">us, the Attorney General had to be named </w:t>
      </w:r>
      <w:r w:rsidR="00FE124E" w:rsidRPr="008C01A6">
        <w:t>so that these differences could be specified.</w:t>
      </w:r>
    </w:p>
    <w:p w:rsidR="00B52105" w:rsidRPr="008C01A6" w:rsidRDefault="004519F3">
      <w:pPr>
        <w:widowControl w:val="0"/>
        <w:spacing w:line="480" w:lineRule="auto"/>
        <w:ind w:firstLine="720"/>
        <w:contextualSpacing/>
        <w:rPr>
          <w:rFonts w:ascii="Times New Roman" w:hAnsi="Times New Roman" w:cs="Times New Roman"/>
          <w:sz w:val="24"/>
          <w:szCs w:val="24"/>
        </w:rPr>
      </w:pPr>
      <w:r w:rsidRPr="008C01A6">
        <w:rPr>
          <w:rFonts w:ascii="Times New Roman" w:hAnsi="Times New Roman" w:cs="Times New Roman"/>
          <w:sz w:val="24"/>
          <w:szCs w:val="24"/>
        </w:rPr>
        <w:t>Likewise</w:t>
      </w:r>
      <w:r w:rsidR="0096261C" w:rsidRPr="008C01A6">
        <w:rPr>
          <w:rFonts w:ascii="Times New Roman" w:hAnsi="Times New Roman" w:cs="Times New Roman"/>
          <w:sz w:val="24"/>
          <w:szCs w:val="24"/>
        </w:rPr>
        <w:t>, Title I of the ADA</w:t>
      </w:r>
      <w:r w:rsidR="006F1746" w:rsidRPr="008C01A6">
        <w:rPr>
          <w:rFonts w:ascii="Times New Roman" w:hAnsi="Times New Roman" w:cs="Times New Roman"/>
          <w:sz w:val="24"/>
          <w:szCs w:val="24"/>
        </w:rPr>
        <w:t>, regarding disability discrimination in employment,</w:t>
      </w:r>
      <w:r w:rsidR="0096261C" w:rsidRPr="008C01A6">
        <w:rPr>
          <w:rFonts w:ascii="Times New Roman" w:hAnsi="Times New Roman" w:cs="Times New Roman"/>
          <w:sz w:val="24"/>
          <w:szCs w:val="24"/>
        </w:rPr>
        <w:t xml:space="preserve"> </w:t>
      </w:r>
      <w:r w:rsidR="00EC6BC9" w:rsidRPr="008C01A6">
        <w:rPr>
          <w:rFonts w:ascii="Times New Roman" w:hAnsi="Times New Roman" w:cs="Times New Roman"/>
          <w:sz w:val="24"/>
          <w:szCs w:val="24"/>
        </w:rPr>
        <w:t>incorporate</w:t>
      </w:r>
      <w:r w:rsidR="008C1B0D" w:rsidRPr="008C01A6">
        <w:rPr>
          <w:rFonts w:ascii="Times New Roman" w:hAnsi="Times New Roman" w:cs="Times New Roman"/>
          <w:sz w:val="24"/>
          <w:szCs w:val="24"/>
        </w:rPr>
        <w:t>s</w:t>
      </w:r>
      <w:r w:rsidR="00EC6BC9" w:rsidRPr="008C01A6">
        <w:rPr>
          <w:rFonts w:ascii="Times New Roman" w:hAnsi="Times New Roman" w:cs="Times New Roman"/>
          <w:sz w:val="24"/>
          <w:szCs w:val="24"/>
        </w:rPr>
        <w:t xml:space="preserve"> </w:t>
      </w:r>
      <w:r w:rsidR="0096261C" w:rsidRPr="008C01A6">
        <w:rPr>
          <w:rFonts w:ascii="Times New Roman" w:hAnsi="Times New Roman" w:cs="Times New Roman"/>
          <w:sz w:val="24"/>
          <w:szCs w:val="24"/>
        </w:rPr>
        <w:t>a series of enforcement powers, remedies, and procedures from several sections of Title VII of the Ci</w:t>
      </w:r>
      <w:r w:rsidRPr="008C01A6">
        <w:rPr>
          <w:rFonts w:ascii="Times New Roman" w:hAnsi="Times New Roman" w:cs="Times New Roman"/>
          <w:sz w:val="24"/>
          <w:szCs w:val="24"/>
        </w:rPr>
        <w:t>vil Rights Act of 1964, which set</w:t>
      </w:r>
      <w:r w:rsidR="008C1B0D" w:rsidRPr="008C01A6">
        <w:rPr>
          <w:rFonts w:ascii="Times New Roman" w:hAnsi="Times New Roman" w:cs="Times New Roman"/>
          <w:sz w:val="24"/>
          <w:szCs w:val="24"/>
        </w:rPr>
        <w:t>s</w:t>
      </w:r>
      <w:r w:rsidRPr="008C01A6">
        <w:rPr>
          <w:rFonts w:ascii="Times New Roman" w:hAnsi="Times New Roman" w:cs="Times New Roman"/>
          <w:sz w:val="24"/>
          <w:szCs w:val="24"/>
        </w:rPr>
        <w:t xml:space="preserve"> up a complex administrative regime in which different actions </w:t>
      </w:r>
      <w:r w:rsidR="00E90540" w:rsidRPr="008C01A6">
        <w:rPr>
          <w:rFonts w:ascii="Times New Roman" w:hAnsi="Times New Roman" w:cs="Times New Roman"/>
          <w:sz w:val="24"/>
          <w:szCs w:val="24"/>
        </w:rPr>
        <w:t xml:space="preserve">may be </w:t>
      </w:r>
      <w:r w:rsidRPr="008C01A6">
        <w:rPr>
          <w:rFonts w:ascii="Times New Roman" w:hAnsi="Times New Roman" w:cs="Times New Roman"/>
          <w:sz w:val="24"/>
          <w:szCs w:val="24"/>
        </w:rPr>
        <w:t xml:space="preserve">taken by complainants, the </w:t>
      </w:r>
      <w:r w:rsidR="0077529B" w:rsidRPr="008C01A6">
        <w:rPr>
          <w:rFonts w:ascii="Times New Roman" w:hAnsi="Times New Roman" w:cs="Times New Roman"/>
          <w:sz w:val="24"/>
          <w:szCs w:val="24"/>
        </w:rPr>
        <w:t>Equal</w:t>
      </w:r>
      <w:r w:rsidR="00DD2D5A" w:rsidRPr="008C01A6">
        <w:rPr>
          <w:rFonts w:ascii="Times New Roman" w:hAnsi="Times New Roman" w:cs="Times New Roman"/>
          <w:sz w:val="24"/>
          <w:szCs w:val="24"/>
        </w:rPr>
        <w:t xml:space="preserve"> Employment</w:t>
      </w:r>
      <w:r w:rsidR="0077529B" w:rsidRPr="008C01A6">
        <w:rPr>
          <w:rFonts w:ascii="Times New Roman" w:hAnsi="Times New Roman" w:cs="Times New Roman"/>
          <w:sz w:val="24"/>
          <w:szCs w:val="24"/>
        </w:rPr>
        <w:t xml:space="preserve"> Opportunity Commission</w:t>
      </w:r>
      <w:r w:rsidR="00DD2D5A" w:rsidRPr="008C01A6">
        <w:rPr>
          <w:rFonts w:ascii="Times New Roman" w:hAnsi="Times New Roman" w:cs="Times New Roman"/>
          <w:sz w:val="24"/>
          <w:szCs w:val="24"/>
        </w:rPr>
        <w:t xml:space="preserve"> (“EEOC”)</w:t>
      </w:r>
      <w:r w:rsidR="0099367B" w:rsidRPr="008C01A6">
        <w:rPr>
          <w:rFonts w:ascii="Times New Roman" w:hAnsi="Times New Roman" w:cs="Times New Roman"/>
          <w:sz w:val="24"/>
          <w:szCs w:val="24"/>
        </w:rPr>
        <w:t>, and the Attorney General</w:t>
      </w:r>
      <w:r w:rsidR="00962BE3" w:rsidRPr="008C01A6">
        <w:rPr>
          <w:rFonts w:ascii="Times New Roman" w:hAnsi="Times New Roman" w:cs="Times New Roman"/>
          <w:sz w:val="24"/>
          <w:szCs w:val="24"/>
        </w:rPr>
        <w:t>.</w:t>
      </w:r>
      <w:r w:rsidR="00367D14" w:rsidRPr="008C01A6">
        <w:rPr>
          <w:rFonts w:ascii="Times New Roman" w:hAnsi="Times New Roman" w:cs="Times New Roman"/>
          <w:sz w:val="24"/>
          <w:szCs w:val="24"/>
        </w:rPr>
        <w:t xml:space="preserve"> Each of the provisions of Title VII of the Civil Rights Act cross-referenced in Title I of the ADA name different actors that can exercise particular enforcement powers, remedies, and procedures. For example, 42 U.S.C. § 2000e-5 describes the role of the EEOC, while § 2000e-6 describes the role of the Attorney General. “The Commission” and “the Attorney General” are, therefore, identified by necessity in Title I’s enforcement provision to clarify that the additional rights and responsibilities they held with respect to the Civil Rights Act, which are not shared with the general public, carry over to Title I of the ADA.</w:t>
      </w:r>
      <w:r w:rsidR="00367D14" w:rsidRPr="008C01A6">
        <w:rPr>
          <w:rStyle w:val="FootnoteReference"/>
          <w:rFonts w:ascii="Times New Roman" w:hAnsi="Times New Roman" w:cs="Times New Roman"/>
          <w:sz w:val="24"/>
          <w:szCs w:val="24"/>
        </w:rPr>
        <w:footnoteReference w:id="6"/>
      </w:r>
      <w:r w:rsidR="00367D14" w:rsidRPr="008C01A6" w:rsidDel="00367D14">
        <w:rPr>
          <w:rFonts w:ascii="Times New Roman" w:hAnsi="Times New Roman" w:cs="Times New Roman"/>
          <w:sz w:val="24"/>
          <w:szCs w:val="24"/>
        </w:rPr>
        <w:t xml:space="preserve"> </w:t>
      </w:r>
    </w:p>
    <w:p w:rsidR="00B52105" w:rsidRPr="008C01A6" w:rsidRDefault="003C4983">
      <w:pPr>
        <w:widowControl w:val="0"/>
        <w:spacing w:line="480" w:lineRule="auto"/>
        <w:ind w:firstLine="720"/>
        <w:contextualSpacing/>
        <w:rPr>
          <w:rFonts w:ascii="Times New Roman" w:hAnsi="Times New Roman" w:cs="Times New Roman"/>
          <w:sz w:val="24"/>
          <w:szCs w:val="24"/>
        </w:rPr>
      </w:pPr>
      <w:r w:rsidRPr="008C01A6">
        <w:rPr>
          <w:rFonts w:ascii="Times New Roman" w:hAnsi="Times New Roman" w:cs="Times New Roman"/>
          <w:sz w:val="24"/>
          <w:szCs w:val="24"/>
        </w:rPr>
        <w:t xml:space="preserve">Title II, by contrast, has no administrative process like that in Title I, and the Attorney General’s rights, remedies, and responsibilities are the same as those of private litigants. Thus, unlike in Titles I and III, it was unnecessary to </w:t>
      </w:r>
      <w:r w:rsidR="003F180B" w:rsidRPr="008C01A6">
        <w:rPr>
          <w:rFonts w:ascii="Times New Roman" w:hAnsi="Times New Roman" w:cs="Times New Roman"/>
          <w:sz w:val="24"/>
          <w:szCs w:val="24"/>
        </w:rPr>
        <w:t xml:space="preserve">specifically </w:t>
      </w:r>
      <w:r w:rsidRPr="008C01A6">
        <w:rPr>
          <w:rFonts w:ascii="Times New Roman" w:hAnsi="Times New Roman" w:cs="Times New Roman"/>
          <w:sz w:val="24"/>
          <w:szCs w:val="24"/>
        </w:rPr>
        <w:t>name the Attorney General</w:t>
      </w:r>
      <w:r w:rsidR="009E3E91" w:rsidRPr="008C01A6">
        <w:rPr>
          <w:rFonts w:ascii="Times New Roman" w:hAnsi="Times New Roman" w:cs="Times New Roman"/>
          <w:sz w:val="24"/>
          <w:szCs w:val="24"/>
        </w:rPr>
        <w:t xml:space="preserve">. </w:t>
      </w:r>
      <w:r w:rsidR="00E90540" w:rsidRPr="008C01A6">
        <w:rPr>
          <w:rFonts w:ascii="Times New Roman" w:hAnsi="Times New Roman" w:cs="Times New Roman"/>
          <w:sz w:val="24"/>
          <w:szCs w:val="24"/>
        </w:rPr>
        <w:t xml:space="preserve">Nor did Title II differentiate the Attorney General’s enforcement authority from that provided under </w:t>
      </w:r>
      <w:r w:rsidR="00367D14" w:rsidRPr="008C01A6">
        <w:rPr>
          <w:rFonts w:ascii="Times New Roman" w:hAnsi="Times New Roman" w:cs="Times New Roman"/>
          <w:sz w:val="24"/>
          <w:szCs w:val="24"/>
        </w:rPr>
        <w:t>the Rehabilitation Act</w:t>
      </w:r>
      <w:r w:rsidR="00E90540" w:rsidRPr="008C01A6">
        <w:rPr>
          <w:rFonts w:ascii="Times New Roman" w:hAnsi="Times New Roman" w:cs="Times New Roman"/>
          <w:sz w:val="24"/>
          <w:szCs w:val="24"/>
        </w:rPr>
        <w:t>, which authorized litigation, so there was no reason to mention her.</w:t>
      </w:r>
      <w:r w:rsidR="00ED4734" w:rsidRPr="008C01A6">
        <w:rPr>
          <w:rStyle w:val="FootnoteReference"/>
          <w:rFonts w:ascii="Times New Roman" w:hAnsi="Times New Roman" w:cs="Times New Roman"/>
          <w:sz w:val="24"/>
          <w:szCs w:val="24"/>
        </w:rPr>
        <w:footnoteReference w:id="7"/>
      </w:r>
    </w:p>
    <w:p w:rsidR="00B52105" w:rsidRPr="008C01A6" w:rsidRDefault="00ED4734">
      <w:pPr>
        <w:pStyle w:val="Heading3"/>
        <w:keepNext w:val="0"/>
        <w:keepLines w:val="0"/>
        <w:widowControl w:val="0"/>
        <w:rPr>
          <w:rFonts w:cs="Times New Roman"/>
          <w:szCs w:val="24"/>
        </w:rPr>
      </w:pPr>
      <w:bookmarkStart w:id="10" w:name="_Toc465681940"/>
      <w:r w:rsidRPr="008C01A6">
        <w:rPr>
          <w:rFonts w:cs="Times New Roman"/>
          <w:szCs w:val="24"/>
        </w:rPr>
        <w:t xml:space="preserve">Courts Have Consistently Concluded That the Attorney General Can Enforce Title II </w:t>
      </w:r>
      <w:proofErr w:type="gramStart"/>
      <w:r w:rsidRPr="008C01A6">
        <w:rPr>
          <w:rFonts w:cs="Times New Roman"/>
          <w:szCs w:val="24"/>
        </w:rPr>
        <w:t>Through</w:t>
      </w:r>
      <w:proofErr w:type="gramEnd"/>
      <w:r w:rsidRPr="008C01A6">
        <w:rPr>
          <w:rFonts w:cs="Times New Roman"/>
          <w:szCs w:val="24"/>
        </w:rPr>
        <w:t xml:space="preserve"> Litigation</w:t>
      </w:r>
      <w:bookmarkEnd w:id="10"/>
    </w:p>
    <w:p w:rsidR="00B52105" w:rsidRPr="008C01A6" w:rsidRDefault="00ED4734">
      <w:pPr>
        <w:widowControl w:val="0"/>
        <w:tabs>
          <w:tab w:val="left" w:pos="1260"/>
        </w:tabs>
        <w:rPr>
          <w:rFonts w:ascii="Times New Roman" w:hAnsi="Times New Roman" w:cs="Times New Roman"/>
          <w:sz w:val="24"/>
          <w:szCs w:val="24"/>
        </w:rPr>
      </w:pPr>
      <w:r w:rsidRPr="008C01A6">
        <w:rPr>
          <w:rFonts w:ascii="Times New Roman" w:hAnsi="Times New Roman" w:cs="Times New Roman"/>
          <w:sz w:val="24"/>
          <w:szCs w:val="24"/>
        </w:rPr>
        <w:tab/>
      </w:r>
    </w:p>
    <w:p w:rsidR="00B52105" w:rsidRPr="008C01A6" w:rsidRDefault="00ED4734">
      <w:pPr>
        <w:pStyle w:val="Default"/>
        <w:spacing w:line="480" w:lineRule="auto"/>
        <w:contextualSpacing/>
        <w:mirrorIndents/>
        <w:rPr>
          <w:b/>
        </w:rPr>
      </w:pPr>
      <w:r w:rsidRPr="008C01A6">
        <w:tab/>
        <w:t xml:space="preserve">As Congress intended, the Department of Justice has actively enforced Title II through litigation and court-enforceable settlement agreements since it was enacted. Every court </w:t>
      </w:r>
      <w:r w:rsidR="00AF7B5D" w:rsidRPr="008C01A6">
        <w:t xml:space="preserve">to address the question </w:t>
      </w:r>
      <w:r w:rsidRPr="008C01A6">
        <w:t xml:space="preserve">except </w:t>
      </w:r>
      <w:r w:rsidRPr="008C01A6">
        <w:rPr>
          <w:i/>
        </w:rPr>
        <w:t xml:space="preserve">C.V. v. </w:t>
      </w:r>
      <w:proofErr w:type="spellStart"/>
      <w:r w:rsidRPr="008C01A6">
        <w:rPr>
          <w:i/>
        </w:rPr>
        <w:t>Dudek</w:t>
      </w:r>
      <w:proofErr w:type="spellEnd"/>
      <w:r w:rsidRPr="008C01A6">
        <w:t xml:space="preserve"> has recognized the Department’s authority under Title II to bring suit. </w:t>
      </w:r>
      <w:r w:rsidRPr="008C01A6">
        <w:rPr>
          <w:i/>
          <w:iCs/>
        </w:rPr>
        <w:t>See</w:t>
      </w:r>
      <w:r w:rsidRPr="008C01A6">
        <w:t xml:space="preserve"> </w:t>
      </w:r>
      <w:r w:rsidRPr="008C01A6">
        <w:rPr>
          <w:i/>
          <w:iCs/>
        </w:rPr>
        <w:t>United States v. Virginia</w:t>
      </w:r>
      <w:r w:rsidRPr="008C01A6">
        <w:t>, No. 12-cv</w:t>
      </w:r>
      <w:r w:rsidR="00591615" w:rsidRPr="008C01A6">
        <w:t>-</w:t>
      </w:r>
      <w:r w:rsidRPr="008C01A6">
        <w:t xml:space="preserve">59, ECF 90 (E.D. Va. June 5, 2012) (rejecting argument that United States must rely on other statutory authority to bring enforcement action under ADA and stating that “the United States has the authority to initiate legal action to enforce Title II of the ADA”); </w:t>
      </w:r>
      <w:r w:rsidRPr="008C01A6">
        <w:rPr>
          <w:i/>
          <w:iCs/>
        </w:rPr>
        <w:t>Disability Advocates, Inc. v. Paterson</w:t>
      </w:r>
      <w:r w:rsidRPr="008C01A6">
        <w:t xml:space="preserve">, No. 03-cv-3209, 2009 WL 4506301, at *2 (E.D.N.Y. Nov. 23, 2009) (granting permissive intervention to Department of Justice, which is required “to promulgate regulations to implement and enforce Title II”); </w:t>
      </w:r>
      <w:r w:rsidRPr="008C01A6">
        <w:rPr>
          <w:i/>
          <w:iCs/>
        </w:rPr>
        <w:t xml:space="preserve">United States v. City &amp; </w:t>
      </w:r>
      <w:proofErr w:type="spellStart"/>
      <w:r w:rsidRPr="008C01A6">
        <w:rPr>
          <w:i/>
          <w:iCs/>
        </w:rPr>
        <w:t>Cnty</w:t>
      </w:r>
      <w:proofErr w:type="spellEnd"/>
      <w:r w:rsidRPr="008C01A6">
        <w:rPr>
          <w:i/>
          <w:iCs/>
        </w:rPr>
        <w:t>. of Denver</w:t>
      </w:r>
      <w:r w:rsidRPr="008C01A6">
        <w:t xml:space="preserve">, 927 F. Supp. 1396, 1399-1400 (D. Colo. 1996) (finding that the Department of Justice had met the requirements necessary to bring a Title II claim); </w:t>
      </w:r>
      <w:r w:rsidRPr="008C01A6">
        <w:rPr>
          <w:i/>
          <w:iCs/>
        </w:rPr>
        <w:t>Smith v. City of Phila</w:t>
      </w:r>
      <w:r w:rsidR="00591615" w:rsidRPr="008C01A6">
        <w:rPr>
          <w:i/>
          <w:iCs/>
        </w:rPr>
        <w:t>delphia</w:t>
      </w:r>
      <w:r w:rsidRPr="008C01A6">
        <w:t xml:space="preserve">, 345 F. Supp. 2d 482, 489-90 (E.D. Pa. 2004) (dismissing private individual’s Title II claim but retaining jurisdiction over United States’ Title II claim because United States has “separate and independent basis for jurisdiction under Title II of the ADA and Section 504 of the Rehabilitation Act”); </w:t>
      </w:r>
      <w:r w:rsidRPr="008C01A6">
        <w:rPr>
          <w:i/>
        </w:rPr>
        <w:t>see also, e.g.</w:t>
      </w:r>
      <w:r w:rsidRPr="008C01A6">
        <w:t>,</w:t>
      </w:r>
      <w:r w:rsidRPr="008C01A6">
        <w:rPr>
          <w:i/>
        </w:rPr>
        <w:t xml:space="preserve"> </w:t>
      </w:r>
      <w:r w:rsidRPr="008C01A6">
        <w:rPr>
          <w:i/>
          <w:iCs/>
        </w:rPr>
        <w:t>United States v. N. Ill. Special Recreation Ass’n</w:t>
      </w:r>
      <w:r w:rsidRPr="008C01A6">
        <w:t>, No. 12-</w:t>
      </w:r>
      <w:r w:rsidR="00591615" w:rsidRPr="008C01A6">
        <w:t>cv-</w:t>
      </w:r>
      <w:r w:rsidRPr="008C01A6">
        <w:t xml:space="preserve">7613, 2013 WL 1499034, at *5 (N.D. Ill. Apr. 11, 2013) (denying motion to dismiss United States’ Title II complaint alleging that public athletic association discriminates against individuals with epilepsy); </w:t>
      </w:r>
      <w:r w:rsidRPr="008C01A6">
        <w:rPr>
          <w:i/>
          <w:iCs/>
        </w:rPr>
        <w:t>United States v. City of Balt</w:t>
      </w:r>
      <w:r w:rsidR="00591615" w:rsidRPr="008C01A6">
        <w:rPr>
          <w:i/>
          <w:iCs/>
        </w:rPr>
        <w:t>imore</w:t>
      </w:r>
      <w:r w:rsidRPr="008C01A6">
        <w:t xml:space="preserve">, </w:t>
      </w:r>
      <w:r w:rsidR="00591615" w:rsidRPr="008C01A6">
        <w:t>845 F. Supp. 2d 640 (D. Md. 2012)</w:t>
      </w:r>
      <w:r w:rsidR="00591615" w:rsidRPr="008C01A6" w:rsidDel="00266E97">
        <w:t xml:space="preserve"> </w:t>
      </w:r>
      <w:r w:rsidRPr="008C01A6">
        <w:t>(granting Department of Justice’s motion for summary judgment in Title II claim).</w:t>
      </w:r>
    </w:p>
    <w:p w:rsidR="00B52105" w:rsidRPr="008C01A6" w:rsidRDefault="00ED4734">
      <w:pPr>
        <w:pStyle w:val="Default"/>
        <w:spacing w:line="480" w:lineRule="auto"/>
        <w:contextualSpacing/>
        <w:mirrorIndents/>
      </w:pPr>
      <w:r w:rsidRPr="008C01A6">
        <w:tab/>
        <w:t>In addition, the Department has entered into numerous court-enforceable consent decrees.</w:t>
      </w:r>
      <w:r w:rsidRPr="008C01A6">
        <w:tab/>
      </w:r>
    </w:p>
    <w:p w:rsidR="00B52105" w:rsidRPr="008C01A6" w:rsidRDefault="00ED4734">
      <w:pPr>
        <w:pStyle w:val="Default"/>
        <w:spacing w:line="480" w:lineRule="auto"/>
        <w:contextualSpacing/>
        <w:mirrorIndents/>
      </w:pPr>
      <w:r w:rsidRPr="008C01A6">
        <w:t>The district courts that have approved these decrees, of necessity, have determined that the United States had a right of action to initiate these complaints under Title II of the ADA.</w:t>
      </w:r>
      <w:r w:rsidR="00FE124E" w:rsidRPr="008C01A6">
        <w:t xml:space="preserve"> </w:t>
      </w:r>
      <w:r w:rsidR="00FE124E" w:rsidRPr="008C01A6">
        <w:rPr>
          <w:i/>
        </w:rPr>
        <w:t xml:space="preserve">See, e.g., </w:t>
      </w:r>
      <w:r w:rsidR="00591615" w:rsidRPr="008C01A6">
        <w:t>U.S. Dep’t of Justice,</w:t>
      </w:r>
      <w:r w:rsidR="00591615" w:rsidRPr="008C01A6">
        <w:rPr>
          <w:i/>
        </w:rPr>
        <w:t xml:space="preserve"> ADA Enforcement</w:t>
      </w:r>
      <w:r w:rsidR="00591615" w:rsidRPr="008C01A6">
        <w:t xml:space="preserve">, </w:t>
      </w:r>
      <w:r w:rsidR="00FE124E" w:rsidRPr="008C01A6">
        <w:t>https://www.ada.gov/enforce_current.htm#TitleII</w:t>
      </w:r>
      <w:r w:rsidR="00FE124E" w:rsidRPr="008C01A6">
        <w:rPr>
          <w:i/>
        </w:rPr>
        <w:t xml:space="preserve"> </w:t>
      </w:r>
      <w:r w:rsidR="00FE124E" w:rsidRPr="008C01A6">
        <w:t xml:space="preserve">(detailing consent agreements); </w:t>
      </w:r>
      <w:r w:rsidR="00591615" w:rsidRPr="008C01A6">
        <w:t xml:space="preserve">U.S. Dep’t of Justice, </w:t>
      </w:r>
      <w:r w:rsidR="00591615" w:rsidRPr="008C01A6">
        <w:rPr>
          <w:i/>
        </w:rPr>
        <w:t>Housing Case Summary Page</w:t>
      </w:r>
      <w:r w:rsidR="00591615" w:rsidRPr="008C01A6">
        <w:t>, https://www.justice.gov/crt/housing-cases-summary-page (Beaumont, Ft. Worth)</w:t>
      </w:r>
      <w:r w:rsidR="00FE124E" w:rsidRPr="008C01A6">
        <w:t>.</w:t>
      </w:r>
    </w:p>
    <w:p w:rsidR="00B52105" w:rsidRPr="008C01A6" w:rsidRDefault="00094D6E">
      <w:pPr>
        <w:pStyle w:val="Heading3"/>
        <w:keepNext w:val="0"/>
        <w:keepLines w:val="0"/>
        <w:widowControl w:val="0"/>
        <w:rPr>
          <w:rFonts w:cs="Times New Roman"/>
          <w:szCs w:val="24"/>
        </w:rPr>
      </w:pPr>
      <w:bookmarkStart w:id="11" w:name="_Toc465681941"/>
      <w:r w:rsidRPr="008C01A6">
        <w:rPr>
          <w:rFonts w:cs="Times New Roman"/>
          <w:szCs w:val="24"/>
        </w:rPr>
        <w:t xml:space="preserve">There Is No Indication That Congress Was Motivated </w:t>
      </w:r>
      <w:r w:rsidR="000A3ABB" w:rsidRPr="008C01A6">
        <w:rPr>
          <w:rFonts w:cs="Times New Roman"/>
          <w:szCs w:val="24"/>
        </w:rPr>
        <w:t>b</w:t>
      </w:r>
      <w:r w:rsidRPr="008C01A6">
        <w:rPr>
          <w:rFonts w:cs="Times New Roman"/>
          <w:szCs w:val="24"/>
        </w:rPr>
        <w:t>y Federalism Concerns</w:t>
      </w:r>
      <w:bookmarkEnd w:id="11"/>
    </w:p>
    <w:p w:rsidR="00B52105" w:rsidRPr="008C01A6" w:rsidRDefault="00B52105">
      <w:pPr>
        <w:widowControl w:val="0"/>
        <w:rPr>
          <w:rFonts w:ascii="Times New Roman" w:hAnsi="Times New Roman" w:cs="Times New Roman"/>
          <w:sz w:val="24"/>
          <w:szCs w:val="24"/>
        </w:rPr>
      </w:pPr>
    </w:p>
    <w:p w:rsidR="00EB1505" w:rsidRPr="008C01A6" w:rsidRDefault="00ED4734">
      <w:pPr>
        <w:widowControl w:val="0"/>
        <w:spacing w:line="480" w:lineRule="auto"/>
        <w:ind w:firstLine="720"/>
        <w:contextualSpacing/>
        <w:rPr>
          <w:rFonts w:ascii="Times New Roman" w:hAnsi="Times New Roman" w:cs="Times New Roman"/>
          <w:sz w:val="24"/>
          <w:szCs w:val="24"/>
        </w:rPr>
      </w:pPr>
      <w:r w:rsidRPr="008C01A6">
        <w:rPr>
          <w:rFonts w:ascii="Times New Roman" w:hAnsi="Times New Roman" w:cs="Times New Roman"/>
          <w:sz w:val="24"/>
          <w:szCs w:val="24"/>
        </w:rPr>
        <w:t>Harris Co</w:t>
      </w:r>
      <w:r w:rsidR="00591615" w:rsidRPr="008C01A6">
        <w:rPr>
          <w:rFonts w:ascii="Times New Roman" w:hAnsi="Times New Roman" w:cs="Times New Roman"/>
          <w:sz w:val="24"/>
          <w:szCs w:val="24"/>
        </w:rPr>
        <w:t xml:space="preserve">unty’s final </w:t>
      </w:r>
      <w:r w:rsidR="00FE124E" w:rsidRPr="008C01A6">
        <w:rPr>
          <w:rFonts w:ascii="Times New Roman" w:hAnsi="Times New Roman" w:cs="Times New Roman"/>
          <w:sz w:val="24"/>
          <w:szCs w:val="24"/>
        </w:rPr>
        <w:t>argument</w:t>
      </w:r>
      <w:r w:rsidRPr="008C01A6">
        <w:rPr>
          <w:rFonts w:ascii="Times New Roman" w:hAnsi="Times New Roman" w:cs="Times New Roman"/>
          <w:sz w:val="24"/>
          <w:szCs w:val="24"/>
        </w:rPr>
        <w:t xml:space="preserve"> </w:t>
      </w:r>
      <w:r w:rsidR="00591615" w:rsidRPr="008C01A6">
        <w:rPr>
          <w:rFonts w:ascii="Times New Roman" w:hAnsi="Times New Roman" w:cs="Times New Roman"/>
          <w:sz w:val="24"/>
          <w:szCs w:val="24"/>
        </w:rPr>
        <w:t xml:space="preserve">is </w:t>
      </w:r>
      <w:r w:rsidRPr="008C01A6">
        <w:rPr>
          <w:rFonts w:ascii="Times New Roman" w:hAnsi="Times New Roman" w:cs="Times New Roman"/>
          <w:sz w:val="24"/>
          <w:szCs w:val="24"/>
        </w:rPr>
        <w:t xml:space="preserve">that Congress precluded the Attorney General from enforcing Title II to avoid federal intrusion on the states. </w:t>
      </w:r>
      <w:proofErr w:type="gramStart"/>
      <w:r w:rsidRPr="008C01A6">
        <w:rPr>
          <w:rFonts w:ascii="Times New Roman" w:hAnsi="Times New Roman" w:cs="Times New Roman"/>
          <w:sz w:val="24"/>
          <w:szCs w:val="24"/>
        </w:rPr>
        <w:t>MTD at 7</w:t>
      </w:r>
      <w:r w:rsidR="009E3E91" w:rsidRPr="008C01A6">
        <w:rPr>
          <w:rFonts w:ascii="Times New Roman" w:hAnsi="Times New Roman" w:cs="Times New Roman"/>
          <w:sz w:val="24"/>
          <w:szCs w:val="24"/>
        </w:rPr>
        <w:t>.</w:t>
      </w:r>
      <w:proofErr w:type="gramEnd"/>
      <w:r w:rsidR="009E3E91" w:rsidRPr="008C01A6">
        <w:rPr>
          <w:rFonts w:ascii="Times New Roman" w:hAnsi="Times New Roman" w:cs="Times New Roman"/>
          <w:sz w:val="24"/>
          <w:szCs w:val="24"/>
        </w:rPr>
        <w:t xml:space="preserve"> </w:t>
      </w:r>
      <w:r w:rsidRPr="008C01A6">
        <w:rPr>
          <w:rFonts w:ascii="Times New Roman" w:hAnsi="Times New Roman" w:cs="Times New Roman"/>
          <w:sz w:val="24"/>
          <w:szCs w:val="24"/>
        </w:rPr>
        <w:t>But Harris County does not cite a single sente</w:t>
      </w:r>
      <w:r w:rsidR="00920628">
        <w:rPr>
          <w:rFonts w:ascii="Times New Roman" w:hAnsi="Times New Roman" w:cs="Times New Roman"/>
          <w:sz w:val="24"/>
          <w:szCs w:val="24"/>
        </w:rPr>
        <w:t xml:space="preserve">nce from either the ADA’s text </w:t>
      </w:r>
      <w:r w:rsidRPr="008C01A6">
        <w:rPr>
          <w:rFonts w:ascii="Times New Roman" w:hAnsi="Times New Roman" w:cs="Times New Roman"/>
          <w:sz w:val="24"/>
          <w:szCs w:val="24"/>
        </w:rPr>
        <w:t xml:space="preserve">or its legislative history suggesting that Congress had such a concern. To the contrary, the legislative history reveals Congress’ overwhelming concern with expanding the reach of the Rehabilitation Act to all programs, activities, or services provided by state and local governments. </w:t>
      </w:r>
      <w:proofErr w:type="gramStart"/>
      <w:r w:rsidRPr="008C01A6">
        <w:rPr>
          <w:rFonts w:ascii="Times New Roman" w:hAnsi="Times New Roman" w:cs="Times New Roman"/>
          <w:i/>
          <w:sz w:val="24"/>
          <w:szCs w:val="24"/>
        </w:rPr>
        <w:t>See, e.g</w:t>
      </w:r>
      <w:r w:rsidRPr="008C01A6">
        <w:rPr>
          <w:rFonts w:ascii="Times New Roman" w:hAnsi="Times New Roman" w:cs="Times New Roman"/>
          <w:sz w:val="24"/>
          <w:szCs w:val="24"/>
        </w:rPr>
        <w:t>., H.R. Rep. No. 101-485(II)</w:t>
      </w:r>
      <w:r w:rsidR="00591615" w:rsidRPr="008C01A6">
        <w:rPr>
          <w:rFonts w:ascii="Times New Roman" w:hAnsi="Times New Roman" w:cs="Times New Roman"/>
          <w:sz w:val="24"/>
          <w:szCs w:val="24"/>
        </w:rPr>
        <w:t>,</w:t>
      </w:r>
      <w:r w:rsidRPr="008C01A6">
        <w:rPr>
          <w:rFonts w:ascii="Times New Roman" w:hAnsi="Times New Roman" w:cs="Times New Roman"/>
          <w:sz w:val="24"/>
          <w:szCs w:val="24"/>
        </w:rPr>
        <w:t xml:space="preserve"> at 84 (1990).</w:t>
      </w:r>
      <w:proofErr w:type="gramEnd"/>
      <w:r w:rsidRPr="008C01A6">
        <w:rPr>
          <w:rFonts w:ascii="Times New Roman" w:hAnsi="Times New Roman" w:cs="Times New Roman"/>
          <w:sz w:val="24"/>
          <w:szCs w:val="24"/>
        </w:rPr>
        <w:t xml:space="preserve"> </w:t>
      </w:r>
    </w:p>
    <w:p w:rsidR="00FE124E" w:rsidRPr="008C01A6" w:rsidRDefault="00ED4734">
      <w:pPr>
        <w:widowControl w:val="0"/>
        <w:spacing w:line="480" w:lineRule="auto"/>
        <w:ind w:firstLine="720"/>
        <w:contextualSpacing/>
        <w:rPr>
          <w:rFonts w:ascii="Times New Roman" w:hAnsi="Times New Roman" w:cs="Times New Roman"/>
          <w:sz w:val="24"/>
          <w:szCs w:val="24"/>
        </w:rPr>
      </w:pPr>
      <w:r w:rsidRPr="008C01A6">
        <w:rPr>
          <w:rFonts w:ascii="Times New Roman" w:hAnsi="Times New Roman" w:cs="Times New Roman"/>
          <w:sz w:val="24"/>
          <w:szCs w:val="24"/>
        </w:rPr>
        <w:t>Thus, Harris County’s argument would mean that although Congress’ chief goal was to eliminate disability-based discrimination in public services, and Congress incorporated two well-known federal enforcement schemes to achieve that end, Congress nonetheless silently withdrew the Attorney General’s enforcement power with respect to Title</w:t>
      </w:r>
      <w:r w:rsidR="003A04C8" w:rsidRPr="008C01A6">
        <w:rPr>
          <w:rFonts w:ascii="Times New Roman" w:hAnsi="Times New Roman" w:cs="Times New Roman"/>
          <w:sz w:val="24"/>
          <w:szCs w:val="24"/>
        </w:rPr>
        <w:t xml:space="preserve"> II. This is not credible; Congress does not “hide elephants in </w:t>
      </w:r>
      <w:proofErr w:type="spellStart"/>
      <w:r w:rsidR="003A04C8" w:rsidRPr="008C01A6">
        <w:rPr>
          <w:rFonts w:ascii="Times New Roman" w:hAnsi="Times New Roman" w:cs="Times New Roman"/>
          <w:sz w:val="24"/>
          <w:szCs w:val="24"/>
        </w:rPr>
        <w:t>mouseholes</w:t>
      </w:r>
      <w:proofErr w:type="spellEnd"/>
      <w:r w:rsidR="003A04C8" w:rsidRPr="008C01A6">
        <w:rPr>
          <w:rFonts w:ascii="Times New Roman" w:hAnsi="Times New Roman" w:cs="Times New Roman"/>
          <w:sz w:val="24"/>
          <w:szCs w:val="24"/>
        </w:rPr>
        <w:t xml:space="preserve">.” </w:t>
      </w:r>
      <w:r w:rsidR="00094D6E" w:rsidRPr="008C01A6">
        <w:rPr>
          <w:rFonts w:ascii="Times New Roman" w:hAnsi="Times New Roman" w:cs="Times New Roman"/>
          <w:i/>
          <w:sz w:val="24"/>
          <w:szCs w:val="24"/>
        </w:rPr>
        <w:t xml:space="preserve">Whitman v. Am. Trucking </w:t>
      </w:r>
      <w:proofErr w:type="spellStart"/>
      <w:r w:rsidR="00094D6E" w:rsidRPr="008C01A6">
        <w:rPr>
          <w:rFonts w:ascii="Times New Roman" w:hAnsi="Times New Roman" w:cs="Times New Roman"/>
          <w:i/>
          <w:sz w:val="24"/>
          <w:szCs w:val="24"/>
        </w:rPr>
        <w:t>Ass’ns</w:t>
      </w:r>
      <w:proofErr w:type="spellEnd"/>
      <w:r w:rsidR="00094D6E" w:rsidRPr="008C01A6">
        <w:rPr>
          <w:rFonts w:ascii="Times New Roman" w:hAnsi="Times New Roman" w:cs="Times New Roman"/>
          <w:i/>
          <w:sz w:val="24"/>
          <w:szCs w:val="24"/>
        </w:rPr>
        <w:t>, Inc</w:t>
      </w:r>
      <w:r w:rsidR="003A04C8" w:rsidRPr="008C01A6">
        <w:rPr>
          <w:rFonts w:ascii="Times New Roman" w:hAnsi="Times New Roman" w:cs="Times New Roman"/>
          <w:sz w:val="24"/>
          <w:szCs w:val="24"/>
        </w:rPr>
        <w:t xml:space="preserve">., 531 U.S. 457, 468 (2001); </w:t>
      </w:r>
      <w:r w:rsidR="003A04C8" w:rsidRPr="008C01A6">
        <w:rPr>
          <w:rFonts w:ascii="Times New Roman" w:hAnsi="Times New Roman" w:cs="Times New Roman"/>
          <w:i/>
          <w:sz w:val="24"/>
          <w:szCs w:val="24"/>
        </w:rPr>
        <w:t>see also</w:t>
      </w:r>
      <w:r w:rsidR="00094D6E" w:rsidRPr="008C01A6">
        <w:rPr>
          <w:rFonts w:ascii="Times New Roman" w:hAnsi="Times New Roman" w:cs="Times New Roman"/>
          <w:i/>
          <w:sz w:val="24"/>
          <w:szCs w:val="24"/>
        </w:rPr>
        <w:t xml:space="preserve"> </w:t>
      </w:r>
      <w:proofErr w:type="spellStart"/>
      <w:r w:rsidR="00094D6E" w:rsidRPr="008C01A6">
        <w:rPr>
          <w:rFonts w:ascii="Times New Roman" w:hAnsi="Times New Roman" w:cs="Times New Roman"/>
          <w:i/>
          <w:sz w:val="24"/>
          <w:szCs w:val="24"/>
        </w:rPr>
        <w:t>Shotz</w:t>
      </w:r>
      <w:proofErr w:type="spellEnd"/>
      <w:r w:rsidR="00094D6E" w:rsidRPr="008C01A6">
        <w:rPr>
          <w:rFonts w:ascii="Times New Roman" w:hAnsi="Times New Roman" w:cs="Times New Roman"/>
          <w:i/>
          <w:sz w:val="24"/>
          <w:szCs w:val="24"/>
        </w:rPr>
        <w:t xml:space="preserve"> v. City of Plantation</w:t>
      </w:r>
      <w:r w:rsidRPr="008C01A6">
        <w:rPr>
          <w:rFonts w:ascii="Times New Roman" w:hAnsi="Times New Roman" w:cs="Times New Roman"/>
          <w:sz w:val="24"/>
          <w:szCs w:val="24"/>
        </w:rPr>
        <w:t>, 344 F.3d 1161, 117</w:t>
      </w:r>
      <w:r w:rsidR="00591615" w:rsidRPr="008C01A6">
        <w:rPr>
          <w:rFonts w:ascii="Times New Roman" w:hAnsi="Times New Roman" w:cs="Times New Roman"/>
          <w:sz w:val="24"/>
          <w:szCs w:val="24"/>
        </w:rPr>
        <w:t>5-7</w:t>
      </w:r>
      <w:r w:rsidRPr="008C01A6">
        <w:rPr>
          <w:rFonts w:ascii="Times New Roman" w:hAnsi="Times New Roman" w:cs="Times New Roman"/>
          <w:sz w:val="24"/>
          <w:szCs w:val="24"/>
        </w:rPr>
        <w:t>7 (11th Cir. 2003) (concluding that Congress’ chief goal in Title II was to expand the reach of the Rehabilitation Act and refusing to accept an “overly literal” reading that would frustrate that goal).</w:t>
      </w:r>
      <w:r w:rsidR="00FE124E" w:rsidRPr="008C01A6">
        <w:rPr>
          <w:rFonts w:ascii="Times New Roman" w:hAnsi="Times New Roman" w:cs="Times New Roman"/>
          <w:sz w:val="24"/>
          <w:szCs w:val="24"/>
        </w:rPr>
        <w:t xml:space="preserve"> This r</w:t>
      </w:r>
      <w:r w:rsidR="00EB1505" w:rsidRPr="008C01A6">
        <w:rPr>
          <w:rFonts w:ascii="Times New Roman" w:hAnsi="Times New Roman" w:cs="Times New Roman"/>
          <w:sz w:val="24"/>
          <w:szCs w:val="24"/>
        </w:rPr>
        <w:t>eading is particularly implausible</w:t>
      </w:r>
      <w:r w:rsidR="00FE124E" w:rsidRPr="008C01A6">
        <w:rPr>
          <w:rFonts w:ascii="Times New Roman" w:hAnsi="Times New Roman" w:cs="Times New Roman"/>
          <w:sz w:val="24"/>
          <w:szCs w:val="24"/>
        </w:rPr>
        <w:t xml:space="preserve"> given that Congress </w:t>
      </w:r>
      <w:r w:rsidR="00EB1505" w:rsidRPr="008C01A6">
        <w:rPr>
          <w:rFonts w:ascii="Times New Roman" w:hAnsi="Times New Roman" w:cs="Times New Roman"/>
          <w:sz w:val="24"/>
          <w:szCs w:val="24"/>
        </w:rPr>
        <w:t>stated within the statute that its</w:t>
      </w:r>
      <w:r w:rsidR="00FE124E" w:rsidRPr="008C01A6">
        <w:rPr>
          <w:rFonts w:ascii="Times New Roman" w:hAnsi="Times New Roman" w:cs="Times New Roman"/>
          <w:sz w:val="24"/>
          <w:szCs w:val="24"/>
        </w:rPr>
        <w:t xml:space="preserve"> key goal was “to ensure that the Federal Government plays a central role in enforcing” the prohibition against disability-based discrimination “on behalf of individuals with disabilities,” 42 U.S.C. § 12101(b</w:t>
      </w:r>
      <w:proofErr w:type="gramStart"/>
      <w:r w:rsidR="00FE124E" w:rsidRPr="008C01A6">
        <w:rPr>
          <w:rFonts w:ascii="Times New Roman" w:hAnsi="Times New Roman" w:cs="Times New Roman"/>
          <w:sz w:val="24"/>
          <w:szCs w:val="24"/>
        </w:rPr>
        <w:t>)(</w:t>
      </w:r>
      <w:proofErr w:type="gramEnd"/>
      <w:r w:rsidR="00FE124E" w:rsidRPr="008C01A6">
        <w:rPr>
          <w:rFonts w:ascii="Times New Roman" w:hAnsi="Times New Roman" w:cs="Times New Roman"/>
          <w:sz w:val="24"/>
          <w:szCs w:val="24"/>
        </w:rPr>
        <w:t xml:space="preserve">3), and that the ADA could not be construed to provide any “lesser standard” of protection than that provided by the Rehabilitation Act and its regulations, </w:t>
      </w:r>
      <w:r w:rsidR="00FE124E" w:rsidRPr="008C01A6">
        <w:rPr>
          <w:rFonts w:ascii="Times New Roman" w:hAnsi="Times New Roman" w:cs="Times New Roman"/>
          <w:i/>
          <w:sz w:val="24"/>
          <w:szCs w:val="24"/>
        </w:rPr>
        <w:t xml:space="preserve">id. </w:t>
      </w:r>
      <w:r w:rsidR="00FE124E" w:rsidRPr="008C01A6">
        <w:rPr>
          <w:rFonts w:ascii="Times New Roman" w:hAnsi="Times New Roman" w:cs="Times New Roman"/>
          <w:sz w:val="24"/>
          <w:szCs w:val="24"/>
        </w:rPr>
        <w:t>§ 12201.</w:t>
      </w:r>
    </w:p>
    <w:p w:rsidR="00B52105" w:rsidRPr="008C01A6" w:rsidRDefault="000A3ABB">
      <w:pPr>
        <w:pStyle w:val="Heading2"/>
        <w:keepNext w:val="0"/>
        <w:keepLines w:val="0"/>
        <w:widowControl w:val="0"/>
        <w:rPr>
          <w:rFonts w:cs="Times New Roman"/>
          <w:szCs w:val="24"/>
        </w:rPr>
      </w:pPr>
      <w:bookmarkStart w:id="12" w:name="_Toc465681942"/>
      <w:r w:rsidRPr="008C01A6">
        <w:rPr>
          <w:rFonts w:cs="Times New Roman"/>
          <w:szCs w:val="24"/>
        </w:rPr>
        <w:t>To the Extent T</w:t>
      </w:r>
      <w:r w:rsidR="00C93E4D" w:rsidRPr="008C01A6">
        <w:rPr>
          <w:rFonts w:cs="Times New Roman"/>
          <w:szCs w:val="24"/>
        </w:rPr>
        <w:t xml:space="preserve">hat Title II </w:t>
      </w:r>
      <w:r w:rsidRPr="008C01A6">
        <w:rPr>
          <w:rFonts w:cs="Times New Roman"/>
          <w:szCs w:val="24"/>
        </w:rPr>
        <w:t>Is</w:t>
      </w:r>
      <w:r w:rsidR="00C93E4D" w:rsidRPr="008C01A6">
        <w:rPr>
          <w:rFonts w:cs="Times New Roman"/>
          <w:szCs w:val="24"/>
        </w:rPr>
        <w:t xml:space="preserve"> Ambiguous, </w:t>
      </w:r>
      <w:r w:rsidR="00F92AF0" w:rsidRPr="008C01A6">
        <w:rPr>
          <w:rFonts w:cs="Times New Roman"/>
          <w:szCs w:val="24"/>
        </w:rPr>
        <w:t>T</w:t>
      </w:r>
      <w:r w:rsidR="00C93E4D" w:rsidRPr="008C01A6">
        <w:rPr>
          <w:rFonts w:cs="Times New Roman"/>
          <w:szCs w:val="24"/>
        </w:rPr>
        <w:t>his Court Must Defer to the Department of Justice’s Regulations</w:t>
      </w:r>
      <w:bookmarkEnd w:id="12"/>
    </w:p>
    <w:p w:rsidR="00B52105" w:rsidRPr="008C01A6" w:rsidRDefault="00B52105">
      <w:pPr>
        <w:pStyle w:val="Default"/>
        <w:contextualSpacing/>
        <w:mirrorIndents/>
      </w:pPr>
    </w:p>
    <w:p w:rsidR="00B52105" w:rsidRPr="008C01A6" w:rsidRDefault="00C6104A">
      <w:pPr>
        <w:pStyle w:val="Default"/>
        <w:spacing w:line="480" w:lineRule="auto"/>
        <w:contextualSpacing/>
        <w:mirrorIndents/>
      </w:pPr>
      <w:r w:rsidRPr="008C01A6">
        <w:tab/>
      </w:r>
      <w:r w:rsidR="00E90540" w:rsidRPr="008C01A6">
        <w:t>Even assuming</w:t>
      </w:r>
      <w:r w:rsidR="00A27557" w:rsidRPr="008C01A6">
        <w:t xml:space="preserve"> </w:t>
      </w:r>
      <w:r w:rsidR="00AF370C" w:rsidRPr="008C01A6">
        <w:t xml:space="preserve">arguendo </w:t>
      </w:r>
      <w:r w:rsidR="00A27557" w:rsidRPr="008C01A6">
        <w:t xml:space="preserve">Title II </w:t>
      </w:r>
      <w:r w:rsidR="00E90540" w:rsidRPr="008C01A6">
        <w:t xml:space="preserve">were </w:t>
      </w:r>
      <w:r w:rsidR="00A27557" w:rsidRPr="008C01A6">
        <w:t xml:space="preserve">ambiguous, this Court must defer to the </w:t>
      </w:r>
      <w:r w:rsidR="00842C0E" w:rsidRPr="008C01A6">
        <w:t xml:space="preserve">Title II </w:t>
      </w:r>
      <w:r w:rsidR="00A27557" w:rsidRPr="008C01A6">
        <w:t>regulations promulgated by the Department of Justice that allow for court enforcement</w:t>
      </w:r>
      <w:r w:rsidR="00DB0950" w:rsidRPr="008C01A6">
        <w:t xml:space="preserve"> by the Attorney General</w:t>
      </w:r>
      <w:r w:rsidR="00A27557" w:rsidRPr="008C01A6">
        <w:t xml:space="preserve">. </w:t>
      </w:r>
      <w:r w:rsidR="000B23F3" w:rsidRPr="008C01A6">
        <w:t xml:space="preserve">Congress directed the Attorney General to promulgate regulations implementing Title II that </w:t>
      </w:r>
      <w:r w:rsidR="00836919" w:rsidRPr="008C01A6">
        <w:t xml:space="preserve">are </w:t>
      </w:r>
      <w:r w:rsidR="000B23F3" w:rsidRPr="008C01A6">
        <w:t>“consistent with” the Rehabilitation Act</w:t>
      </w:r>
      <w:r w:rsidR="00842C0E" w:rsidRPr="008C01A6">
        <w:t xml:space="preserve"> coordination</w:t>
      </w:r>
      <w:r w:rsidR="000B23F3" w:rsidRPr="008C01A6">
        <w:t xml:space="preserve"> regulations. </w:t>
      </w:r>
      <w:proofErr w:type="gramStart"/>
      <w:r w:rsidR="000B23F3" w:rsidRPr="008C01A6">
        <w:t>42 U.S.C. § 12134</w:t>
      </w:r>
      <w:r w:rsidR="00842C0E" w:rsidRPr="008C01A6">
        <w:t xml:space="preserve"> (citing 28 C.F.R. pt. 41)</w:t>
      </w:r>
      <w:r w:rsidR="000B23F3" w:rsidRPr="008C01A6">
        <w:t>.</w:t>
      </w:r>
      <w:proofErr w:type="gramEnd"/>
      <w:r w:rsidR="000B23F3" w:rsidRPr="008C01A6">
        <w:t xml:space="preserve"> </w:t>
      </w:r>
      <w:r w:rsidR="001012FA" w:rsidRPr="008C01A6">
        <w:t xml:space="preserve">The Attorney General did so, providing in </w:t>
      </w:r>
      <w:r w:rsidR="001012FA" w:rsidRPr="008C01A6">
        <w:rPr>
          <w:iCs/>
        </w:rPr>
        <w:t>2</w:t>
      </w:r>
      <w:r w:rsidR="001012FA" w:rsidRPr="008C01A6">
        <w:t>8 C.F.R. § 35.174</w:t>
      </w:r>
      <w:r w:rsidR="00EF64D3" w:rsidRPr="008C01A6">
        <w:t xml:space="preserve"> </w:t>
      </w:r>
      <w:r w:rsidR="000B23F3" w:rsidRPr="008C01A6">
        <w:t>that if voluntary compliance cannot be achieved, the agency “</w:t>
      </w:r>
      <w:r w:rsidR="00591615" w:rsidRPr="008C01A6">
        <w:t>shall</w:t>
      </w:r>
      <w:r w:rsidR="000B23F3" w:rsidRPr="008C01A6">
        <w:t xml:space="preserve"> refer the matter to the Attorney General with a recommendation for appropriate action</w:t>
      </w:r>
      <w:r w:rsidR="00DF2478" w:rsidRPr="008C01A6">
        <w:t>.”</w:t>
      </w:r>
      <w:r w:rsidR="000B23F3" w:rsidRPr="008C01A6">
        <w:t xml:space="preserve"> </w:t>
      </w:r>
    </w:p>
    <w:p w:rsidR="00B52105" w:rsidRPr="008C01A6" w:rsidRDefault="000B23F3">
      <w:pPr>
        <w:pStyle w:val="Default"/>
        <w:spacing w:line="480" w:lineRule="auto"/>
        <w:contextualSpacing/>
        <w:mirrorIndents/>
        <w:rPr>
          <w:color w:val="auto"/>
        </w:rPr>
      </w:pPr>
      <w:r w:rsidRPr="008C01A6">
        <w:rPr>
          <w:color w:val="auto"/>
        </w:rPr>
        <w:tab/>
      </w:r>
      <w:r w:rsidR="00A27557" w:rsidRPr="008C01A6">
        <w:rPr>
          <w:color w:val="auto"/>
        </w:rPr>
        <w:t xml:space="preserve">If the Court finds </w:t>
      </w:r>
      <w:r w:rsidR="001C4961" w:rsidRPr="008C01A6">
        <w:rPr>
          <w:color w:val="auto"/>
        </w:rPr>
        <w:t xml:space="preserve">Title II </w:t>
      </w:r>
      <w:r w:rsidR="00A27557" w:rsidRPr="008C01A6">
        <w:rPr>
          <w:color w:val="auto"/>
        </w:rPr>
        <w:t>to be</w:t>
      </w:r>
      <w:r w:rsidR="001C4961" w:rsidRPr="008C01A6">
        <w:rPr>
          <w:color w:val="auto"/>
        </w:rPr>
        <w:t xml:space="preserve"> ambiguous</w:t>
      </w:r>
      <w:r w:rsidR="006218A6" w:rsidRPr="008C01A6">
        <w:rPr>
          <w:color w:val="auto"/>
        </w:rPr>
        <w:t xml:space="preserve">, the Court must accept </w:t>
      </w:r>
      <w:r w:rsidR="00F92AF0" w:rsidRPr="008C01A6">
        <w:rPr>
          <w:color w:val="auto"/>
        </w:rPr>
        <w:t xml:space="preserve">the Attorney General’s </w:t>
      </w:r>
      <w:r w:rsidR="006218A6" w:rsidRPr="008C01A6">
        <w:rPr>
          <w:color w:val="auto"/>
        </w:rPr>
        <w:t xml:space="preserve">reasonable </w:t>
      </w:r>
      <w:r w:rsidR="00F92AF0" w:rsidRPr="008C01A6">
        <w:rPr>
          <w:color w:val="auto"/>
        </w:rPr>
        <w:t xml:space="preserve">construction of </w:t>
      </w:r>
      <w:r w:rsidR="001C4961" w:rsidRPr="008C01A6">
        <w:rPr>
          <w:color w:val="auto"/>
        </w:rPr>
        <w:t xml:space="preserve">its </w:t>
      </w:r>
      <w:r w:rsidR="00AC181D" w:rsidRPr="008C01A6">
        <w:rPr>
          <w:color w:val="auto"/>
        </w:rPr>
        <w:t>authority under the statute</w:t>
      </w:r>
      <w:r w:rsidR="00F815E8" w:rsidRPr="008C01A6">
        <w:rPr>
          <w:color w:val="auto"/>
        </w:rPr>
        <w:t xml:space="preserve">. </w:t>
      </w:r>
      <w:r w:rsidR="00C93E4D" w:rsidRPr="008C01A6">
        <w:rPr>
          <w:i/>
          <w:iCs/>
          <w:color w:val="auto"/>
        </w:rPr>
        <w:t>See City of Arlington v. FCC</w:t>
      </w:r>
      <w:r w:rsidR="00C93E4D" w:rsidRPr="008C01A6">
        <w:rPr>
          <w:color w:val="auto"/>
        </w:rPr>
        <w:t xml:space="preserve">, 133 S. Ct. 1863, 1868-69 (2013) (applying </w:t>
      </w:r>
      <w:r w:rsidR="00C93E4D" w:rsidRPr="008C01A6">
        <w:rPr>
          <w:i/>
          <w:iCs/>
          <w:color w:val="auto"/>
        </w:rPr>
        <w:t xml:space="preserve">Chevron </w:t>
      </w:r>
      <w:r w:rsidR="00C93E4D" w:rsidRPr="008C01A6">
        <w:rPr>
          <w:color w:val="auto"/>
        </w:rPr>
        <w:t>deference to agency interpretation of statutory ambiguity that concerns the scope of agency’s statutory authority)</w:t>
      </w:r>
      <w:r w:rsidR="00630526" w:rsidRPr="008C01A6">
        <w:t>.</w:t>
      </w:r>
      <w:r w:rsidR="00630526" w:rsidRPr="008C01A6">
        <w:rPr>
          <w:color w:val="auto"/>
        </w:rPr>
        <w:t xml:space="preserve"> </w:t>
      </w:r>
      <w:r w:rsidR="007752A4" w:rsidRPr="008C01A6">
        <w:rPr>
          <w:color w:val="auto"/>
        </w:rPr>
        <w:t xml:space="preserve">The district court in </w:t>
      </w:r>
      <w:r w:rsidR="007752A4" w:rsidRPr="008C01A6">
        <w:rPr>
          <w:i/>
          <w:color w:val="auto"/>
        </w:rPr>
        <w:t xml:space="preserve">C.V. v. </w:t>
      </w:r>
      <w:proofErr w:type="spellStart"/>
      <w:r w:rsidR="007752A4" w:rsidRPr="008C01A6">
        <w:rPr>
          <w:i/>
          <w:color w:val="auto"/>
        </w:rPr>
        <w:t>Dudek</w:t>
      </w:r>
      <w:proofErr w:type="spellEnd"/>
      <w:r w:rsidR="007752A4" w:rsidRPr="008C01A6">
        <w:rPr>
          <w:color w:val="auto"/>
        </w:rPr>
        <w:t>, 2016 WL 5220059</w:t>
      </w:r>
      <w:r w:rsidR="00DE0154" w:rsidRPr="008C01A6">
        <w:rPr>
          <w:color w:val="auto"/>
        </w:rPr>
        <w:t>, at *9</w:t>
      </w:r>
      <w:r w:rsidR="00742825" w:rsidRPr="008C01A6">
        <w:rPr>
          <w:color w:val="auto"/>
        </w:rPr>
        <w:t xml:space="preserve">, </w:t>
      </w:r>
      <w:r w:rsidR="007752A4" w:rsidRPr="008C01A6">
        <w:rPr>
          <w:color w:val="auto"/>
        </w:rPr>
        <w:t xml:space="preserve">was mistaken in holding that </w:t>
      </w:r>
      <w:r w:rsidR="006218A6" w:rsidRPr="008C01A6">
        <w:rPr>
          <w:i/>
          <w:color w:val="auto"/>
        </w:rPr>
        <w:t xml:space="preserve">Chevron </w:t>
      </w:r>
      <w:r w:rsidR="006218A6" w:rsidRPr="008C01A6">
        <w:rPr>
          <w:color w:val="auto"/>
        </w:rPr>
        <w:t>deference was inapplicable</w:t>
      </w:r>
      <w:r w:rsidR="00175172" w:rsidRPr="008C01A6">
        <w:rPr>
          <w:color w:val="auto"/>
        </w:rPr>
        <w:t xml:space="preserve">. </w:t>
      </w:r>
      <w:r w:rsidR="007752A4" w:rsidRPr="008C01A6">
        <w:rPr>
          <w:color w:val="auto"/>
        </w:rPr>
        <w:t xml:space="preserve">The </w:t>
      </w:r>
      <w:proofErr w:type="spellStart"/>
      <w:r w:rsidR="007752A4" w:rsidRPr="008C01A6">
        <w:rPr>
          <w:i/>
          <w:color w:val="auto"/>
        </w:rPr>
        <w:t>Dudek</w:t>
      </w:r>
      <w:proofErr w:type="spellEnd"/>
      <w:r w:rsidR="007752A4" w:rsidRPr="008C01A6">
        <w:rPr>
          <w:i/>
          <w:color w:val="auto"/>
        </w:rPr>
        <w:t xml:space="preserve"> </w:t>
      </w:r>
      <w:r w:rsidR="007752A4" w:rsidRPr="008C01A6">
        <w:rPr>
          <w:color w:val="auto"/>
        </w:rPr>
        <w:t>court reasoned that courts must defer “</w:t>
      </w:r>
      <w:r w:rsidR="007752A4" w:rsidRPr="008C01A6">
        <w:t>to an agency</w:t>
      </w:r>
      <w:r w:rsidR="00340484" w:rsidRPr="008C01A6">
        <w:t>’</w:t>
      </w:r>
      <w:r w:rsidR="007752A4" w:rsidRPr="008C01A6">
        <w:t>s interpretation of a statutory ambiguity that concerns the scope of the agency’s statutory authority,”</w:t>
      </w:r>
      <w:r w:rsidR="00C155C9" w:rsidRPr="008C01A6">
        <w:rPr>
          <w:color w:val="auto"/>
        </w:rPr>
        <w:t xml:space="preserve"> but not to “the agency’s understanding of the court’</w:t>
      </w:r>
      <w:r w:rsidR="007752A4" w:rsidRPr="008C01A6">
        <w:rPr>
          <w:color w:val="auto"/>
        </w:rPr>
        <w:t>s</w:t>
      </w:r>
      <w:r w:rsidR="00C155C9" w:rsidRPr="008C01A6">
        <w:rPr>
          <w:color w:val="auto"/>
        </w:rPr>
        <w:t xml:space="preserve"> </w:t>
      </w:r>
      <w:r w:rsidR="007752A4" w:rsidRPr="008C01A6">
        <w:rPr>
          <w:color w:val="auto"/>
        </w:rPr>
        <w:t>jurisdiction.</w:t>
      </w:r>
      <w:r w:rsidR="00C155C9" w:rsidRPr="008C01A6">
        <w:rPr>
          <w:color w:val="auto"/>
        </w:rPr>
        <w:t xml:space="preserve">” </w:t>
      </w:r>
      <w:r w:rsidR="00DE0154" w:rsidRPr="008C01A6">
        <w:rPr>
          <w:i/>
          <w:color w:val="auto"/>
        </w:rPr>
        <w:t>Id</w:t>
      </w:r>
      <w:r w:rsidR="00175172" w:rsidRPr="008C01A6">
        <w:rPr>
          <w:i/>
          <w:color w:val="auto"/>
        </w:rPr>
        <w:t xml:space="preserve">. </w:t>
      </w:r>
      <w:r w:rsidR="005301D2" w:rsidRPr="008C01A6">
        <w:rPr>
          <w:color w:val="auto"/>
        </w:rPr>
        <w:t>But</w:t>
      </w:r>
      <w:r w:rsidR="007C26A9" w:rsidRPr="008C01A6">
        <w:rPr>
          <w:color w:val="auto"/>
        </w:rPr>
        <w:t xml:space="preserve"> the issue of the Attorney General’s authority to sue does not implicate t</w:t>
      </w:r>
      <w:r w:rsidR="005301D2" w:rsidRPr="008C01A6">
        <w:rPr>
          <w:color w:val="auto"/>
        </w:rPr>
        <w:t>his court’s own jurisdiction: t</w:t>
      </w:r>
      <w:r w:rsidR="007C26A9" w:rsidRPr="008C01A6">
        <w:rPr>
          <w:color w:val="auto"/>
        </w:rPr>
        <w:t xml:space="preserve">he absence of a valid “cause of action under the statute,” or “statutory standing,” does “not implicate subject-matter jurisdiction.”  </w:t>
      </w:r>
      <w:proofErr w:type="gramStart"/>
      <w:r w:rsidR="00C462A9" w:rsidRPr="008C01A6">
        <w:rPr>
          <w:i/>
          <w:color w:val="auto"/>
        </w:rPr>
        <w:t>Lexmark Int’l, Inc. v. Static Control Components, Inc</w:t>
      </w:r>
      <w:r w:rsidR="007C26A9" w:rsidRPr="008C01A6">
        <w:rPr>
          <w:color w:val="auto"/>
        </w:rPr>
        <w:t>., 134 S. Ct. 1377, 1387 &amp; n.4 (2014)</w:t>
      </w:r>
      <w:r w:rsidR="00FE1CAE" w:rsidRPr="008C01A6">
        <w:rPr>
          <w:color w:val="auto"/>
        </w:rPr>
        <w:t>.</w:t>
      </w:r>
      <w:proofErr w:type="gramEnd"/>
      <w:r w:rsidR="00FE1CAE" w:rsidRPr="008C01A6">
        <w:rPr>
          <w:color w:val="auto"/>
        </w:rPr>
        <w:t xml:space="preserve"> </w:t>
      </w:r>
      <w:r w:rsidR="005301D2" w:rsidRPr="008C01A6">
        <w:rPr>
          <w:color w:val="auto"/>
        </w:rPr>
        <w:t>Moreover</w:t>
      </w:r>
      <w:r w:rsidR="007C26A9" w:rsidRPr="008C01A6">
        <w:rPr>
          <w:color w:val="auto"/>
        </w:rPr>
        <w:t xml:space="preserve">, the </w:t>
      </w:r>
      <w:r w:rsidR="000A5CBE" w:rsidRPr="008C01A6">
        <w:rPr>
          <w:color w:val="auto"/>
        </w:rPr>
        <w:t>C</w:t>
      </w:r>
      <w:r w:rsidR="00340484" w:rsidRPr="008C01A6">
        <w:rPr>
          <w:color w:val="auto"/>
        </w:rPr>
        <w:t xml:space="preserve">ourt </w:t>
      </w:r>
      <w:r w:rsidR="009A3768" w:rsidRPr="008C01A6">
        <w:rPr>
          <w:color w:val="auto"/>
        </w:rPr>
        <w:t xml:space="preserve">in </w:t>
      </w:r>
      <w:r w:rsidR="009A3768" w:rsidRPr="008C01A6">
        <w:rPr>
          <w:i/>
          <w:color w:val="auto"/>
        </w:rPr>
        <w:t xml:space="preserve">Arlington </w:t>
      </w:r>
      <w:r w:rsidR="00340484" w:rsidRPr="008C01A6">
        <w:rPr>
          <w:color w:val="auto"/>
        </w:rPr>
        <w:t xml:space="preserve">specifically rejected any attempt </w:t>
      </w:r>
      <w:r w:rsidR="00DE0154" w:rsidRPr="008C01A6">
        <w:rPr>
          <w:color w:val="auto"/>
        </w:rPr>
        <w:t xml:space="preserve">at such </w:t>
      </w:r>
      <w:r w:rsidR="006218A6" w:rsidRPr="008C01A6">
        <w:rPr>
          <w:color w:val="auto"/>
        </w:rPr>
        <w:t xml:space="preserve">artificial </w:t>
      </w:r>
      <w:r w:rsidR="00DE0154" w:rsidRPr="008C01A6">
        <w:rPr>
          <w:color w:val="auto"/>
        </w:rPr>
        <w:t>line-drawing</w:t>
      </w:r>
      <w:r w:rsidR="006218A6" w:rsidRPr="008C01A6">
        <w:rPr>
          <w:color w:val="auto"/>
        </w:rPr>
        <w:t xml:space="preserve">, </w:t>
      </w:r>
      <w:r w:rsidR="00F56B28" w:rsidRPr="008C01A6">
        <w:rPr>
          <w:color w:val="auto"/>
        </w:rPr>
        <w:t xml:space="preserve">calling the distinction between </w:t>
      </w:r>
      <w:r w:rsidR="006218A6" w:rsidRPr="008C01A6">
        <w:rPr>
          <w:color w:val="auto"/>
        </w:rPr>
        <w:t>“jurisdictional”</w:t>
      </w:r>
      <w:r w:rsidR="00F56B28" w:rsidRPr="008C01A6">
        <w:rPr>
          <w:color w:val="auto"/>
        </w:rPr>
        <w:t xml:space="preserve"> and “</w:t>
      </w:r>
      <w:proofErr w:type="spellStart"/>
      <w:r w:rsidR="00F56B28" w:rsidRPr="008C01A6">
        <w:rPr>
          <w:color w:val="auto"/>
        </w:rPr>
        <w:t>nonjurisdictional</w:t>
      </w:r>
      <w:proofErr w:type="spellEnd"/>
      <w:r w:rsidR="00F56B28" w:rsidRPr="008C01A6">
        <w:rPr>
          <w:color w:val="auto"/>
        </w:rPr>
        <w:t>”</w:t>
      </w:r>
      <w:r w:rsidR="006218A6" w:rsidRPr="008C01A6">
        <w:rPr>
          <w:color w:val="auto"/>
        </w:rPr>
        <w:t xml:space="preserve"> interpretations </w:t>
      </w:r>
      <w:r w:rsidR="00F56B28" w:rsidRPr="008C01A6">
        <w:rPr>
          <w:color w:val="auto"/>
        </w:rPr>
        <w:t>“a mirage</w:t>
      </w:r>
      <w:r w:rsidR="008F1E3D" w:rsidRPr="008C01A6">
        <w:rPr>
          <w:color w:val="auto"/>
        </w:rPr>
        <w:t>.</w:t>
      </w:r>
      <w:r w:rsidR="00D51E91" w:rsidRPr="008C01A6">
        <w:rPr>
          <w:color w:val="auto"/>
        </w:rPr>
        <w:t xml:space="preserve">” </w:t>
      </w:r>
      <w:proofErr w:type="gramStart"/>
      <w:r w:rsidR="00F56B28" w:rsidRPr="008C01A6">
        <w:rPr>
          <w:color w:val="auto"/>
        </w:rPr>
        <w:t>133 S. Ct. at 1868.</w:t>
      </w:r>
      <w:proofErr w:type="gramEnd"/>
      <w:r w:rsidR="00F56B28" w:rsidRPr="008C01A6">
        <w:rPr>
          <w:color w:val="auto"/>
        </w:rPr>
        <w:t xml:space="preserve"> </w:t>
      </w:r>
      <w:r w:rsidR="006218A6" w:rsidRPr="008C01A6">
        <w:rPr>
          <w:color w:val="auto"/>
        </w:rPr>
        <w:t>As the</w:t>
      </w:r>
      <w:r w:rsidR="00340484" w:rsidRPr="008C01A6">
        <w:rPr>
          <w:color w:val="auto"/>
        </w:rPr>
        <w:t xml:space="preserve"> Court explained, “we have consistently held that</w:t>
      </w:r>
      <w:r w:rsidR="00340484" w:rsidRPr="008C01A6">
        <w:rPr>
          <w:i/>
          <w:color w:val="auto"/>
        </w:rPr>
        <w:t xml:space="preserve"> Chevron</w:t>
      </w:r>
      <w:r w:rsidR="00340484" w:rsidRPr="008C01A6">
        <w:rPr>
          <w:color w:val="auto"/>
        </w:rPr>
        <w:t xml:space="preserve"> applies to cases in which an agency adopts a construction of a jurisdictional provision of </w:t>
      </w:r>
      <w:r w:rsidR="00EF64D3" w:rsidRPr="008C01A6">
        <w:rPr>
          <w:color w:val="auto"/>
        </w:rPr>
        <w:t>a statute it administers. . . .</w:t>
      </w:r>
      <w:r w:rsidR="00340484" w:rsidRPr="008C01A6">
        <w:rPr>
          <w:color w:val="auto"/>
        </w:rPr>
        <w:t xml:space="preserve"> </w:t>
      </w:r>
      <w:proofErr w:type="gramStart"/>
      <w:r w:rsidR="00340484" w:rsidRPr="008C01A6">
        <w:rPr>
          <w:color w:val="auto"/>
        </w:rPr>
        <w:t>no</w:t>
      </w:r>
      <w:proofErr w:type="gramEnd"/>
      <w:r w:rsidR="00340484" w:rsidRPr="008C01A6">
        <w:rPr>
          <w:color w:val="auto"/>
        </w:rPr>
        <w:t xml:space="preserve"> exception exists to the normal deferential standard of review for jurisdictional or legal questions concerning the coverage of an Act</w:t>
      </w:r>
      <w:r w:rsidR="008F1E3D" w:rsidRPr="008C01A6">
        <w:rPr>
          <w:color w:val="auto"/>
        </w:rPr>
        <w:t>.</w:t>
      </w:r>
      <w:r w:rsidR="00D51E91" w:rsidRPr="008C01A6">
        <w:rPr>
          <w:color w:val="auto"/>
        </w:rPr>
        <w:t xml:space="preserve">” </w:t>
      </w:r>
      <w:proofErr w:type="gramStart"/>
      <w:r w:rsidR="001433BA" w:rsidRPr="008C01A6">
        <w:rPr>
          <w:i/>
          <w:color w:val="auto"/>
        </w:rPr>
        <w:t>Id.</w:t>
      </w:r>
      <w:r w:rsidR="00340484" w:rsidRPr="008C01A6">
        <w:rPr>
          <w:color w:val="auto"/>
        </w:rPr>
        <w:t xml:space="preserve"> at 1871 (internal quotation marks, citation, and alteration omitted)</w:t>
      </w:r>
      <w:r w:rsidR="00175172" w:rsidRPr="008C01A6">
        <w:rPr>
          <w:color w:val="auto"/>
        </w:rPr>
        <w:t>.</w:t>
      </w:r>
      <w:proofErr w:type="gramEnd"/>
      <w:r w:rsidR="00175172" w:rsidRPr="008C01A6">
        <w:rPr>
          <w:color w:val="auto"/>
        </w:rPr>
        <w:t xml:space="preserve"> </w:t>
      </w:r>
      <w:r w:rsidR="00DE0154" w:rsidRPr="008C01A6">
        <w:rPr>
          <w:color w:val="auto"/>
        </w:rPr>
        <w:t xml:space="preserve">In response to the claim that this would give rise to a “fox-in-the-henhouse syndrome,” where agencies determined the scope of their own authority, the Court explained that this was to be avoided </w:t>
      </w:r>
      <w:r w:rsidR="003A04C8" w:rsidRPr="008C01A6">
        <w:rPr>
          <w:rStyle w:val="cosearchdetaillevel1"/>
        </w:rPr>
        <w:t xml:space="preserve">by ensuring that regulations were in fact a reasonable construction of the statute. </w:t>
      </w:r>
      <w:proofErr w:type="gramStart"/>
      <w:r w:rsidR="001433BA" w:rsidRPr="008C01A6">
        <w:rPr>
          <w:i/>
          <w:color w:val="auto"/>
        </w:rPr>
        <w:t>Id.</w:t>
      </w:r>
      <w:r w:rsidR="005817F8" w:rsidRPr="008C01A6">
        <w:rPr>
          <w:color w:val="auto"/>
        </w:rPr>
        <w:t xml:space="preserve"> </w:t>
      </w:r>
      <w:r w:rsidR="00216634" w:rsidRPr="008C01A6">
        <w:rPr>
          <w:color w:val="auto"/>
        </w:rPr>
        <w:t>at 1874</w:t>
      </w:r>
      <w:r w:rsidR="00175172" w:rsidRPr="008C01A6">
        <w:rPr>
          <w:color w:val="auto"/>
        </w:rPr>
        <w:t>.</w:t>
      </w:r>
      <w:proofErr w:type="gramEnd"/>
      <w:r w:rsidR="00175172" w:rsidRPr="008C01A6">
        <w:rPr>
          <w:color w:val="auto"/>
        </w:rPr>
        <w:t xml:space="preserve"> </w:t>
      </w:r>
    </w:p>
    <w:p w:rsidR="00B52105" w:rsidRPr="008C01A6" w:rsidRDefault="00DE0154">
      <w:pPr>
        <w:pStyle w:val="Default"/>
        <w:spacing w:line="480" w:lineRule="auto"/>
        <w:contextualSpacing/>
        <w:mirrorIndents/>
        <w:rPr>
          <w:color w:val="auto"/>
        </w:rPr>
      </w:pPr>
      <w:r w:rsidRPr="008C01A6">
        <w:rPr>
          <w:color w:val="auto"/>
        </w:rPr>
        <w:tab/>
      </w:r>
      <w:r w:rsidR="00216634" w:rsidRPr="008C01A6">
        <w:rPr>
          <w:color w:val="auto"/>
        </w:rPr>
        <w:t xml:space="preserve">The </w:t>
      </w:r>
      <w:r w:rsidR="00986711" w:rsidRPr="008C01A6">
        <w:rPr>
          <w:color w:val="auto"/>
        </w:rPr>
        <w:t xml:space="preserve">Supreme </w:t>
      </w:r>
      <w:r w:rsidR="00216634" w:rsidRPr="008C01A6">
        <w:rPr>
          <w:color w:val="auto"/>
        </w:rPr>
        <w:t>Court n</w:t>
      </w:r>
      <w:r w:rsidRPr="008C01A6">
        <w:rPr>
          <w:color w:val="auto"/>
        </w:rPr>
        <w:t xml:space="preserve">owhere suggested that </w:t>
      </w:r>
      <w:r w:rsidRPr="008C01A6">
        <w:rPr>
          <w:i/>
          <w:color w:val="auto"/>
        </w:rPr>
        <w:t xml:space="preserve">Chevron </w:t>
      </w:r>
      <w:r w:rsidRPr="008C01A6">
        <w:rPr>
          <w:color w:val="auto"/>
        </w:rPr>
        <w:t xml:space="preserve">deference did not apply to an </w:t>
      </w:r>
      <w:r w:rsidR="00216634" w:rsidRPr="008C01A6">
        <w:rPr>
          <w:color w:val="auto"/>
        </w:rPr>
        <w:t>agency interpretation of an ambiguous statut</w:t>
      </w:r>
      <w:r w:rsidR="006218A6" w:rsidRPr="008C01A6">
        <w:rPr>
          <w:color w:val="auto"/>
        </w:rPr>
        <w:t xml:space="preserve">ory provision regarding whether, or </w:t>
      </w:r>
      <w:r w:rsidR="001C4961" w:rsidRPr="008C01A6">
        <w:rPr>
          <w:color w:val="auto"/>
        </w:rPr>
        <w:t xml:space="preserve">under </w:t>
      </w:r>
      <w:r w:rsidR="006218A6" w:rsidRPr="008C01A6">
        <w:rPr>
          <w:color w:val="auto"/>
        </w:rPr>
        <w:t>what circumstances, the agency had a right of action in court</w:t>
      </w:r>
      <w:r w:rsidR="00175172" w:rsidRPr="008C01A6">
        <w:rPr>
          <w:color w:val="auto"/>
        </w:rPr>
        <w:t xml:space="preserve">. </w:t>
      </w:r>
      <w:r w:rsidR="00216634" w:rsidRPr="008C01A6">
        <w:rPr>
          <w:color w:val="auto"/>
        </w:rPr>
        <w:t>To the contrary, the Court cited prior cases in which it had deferred to precisely such determinations</w:t>
      </w:r>
      <w:r w:rsidR="00175172" w:rsidRPr="008C01A6">
        <w:rPr>
          <w:color w:val="auto"/>
        </w:rPr>
        <w:t xml:space="preserve">. </w:t>
      </w:r>
      <w:r w:rsidR="00275AB2" w:rsidRPr="008C01A6">
        <w:rPr>
          <w:color w:val="auto"/>
        </w:rPr>
        <w:t xml:space="preserve">For instance, in </w:t>
      </w:r>
      <w:r w:rsidR="00275AB2" w:rsidRPr="008C01A6">
        <w:rPr>
          <w:i/>
          <w:color w:val="auto"/>
        </w:rPr>
        <w:t>Reiter v. Cooper</w:t>
      </w:r>
      <w:r w:rsidR="00275AB2" w:rsidRPr="008C01A6">
        <w:rPr>
          <w:color w:val="auto"/>
        </w:rPr>
        <w:t xml:space="preserve">, 507 U.S. 258 (1993), the Court deferred </w:t>
      </w:r>
      <w:r w:rsidR="00CA1B9C" w:rsidRPr="008C01A6">
        <w:rPr>
          <w:color w:val="auto"/>
        </w:rPr>
        <w:t xml:space="preserve">to </w:t>
      </w:r>
      <w:r w:rsidR="00275AB2" w:rsidRPr="008C01A6">
        <w:rPr>
          <w:color w:val="auto"/>
        </w:rPr>
        <w:t>“the Interstate Commerce Commission</w:t>
      </w:r>
      <w:r w:rsidRPr="008C01A6">
        <w:rPr>
          <w:color w:val="auto"/>
        </w:rPr>
        <w:t>’s</w:t>
      </w:r>
      <w:r w:rsidR="00275AB2" w:rsidRPr="008C01A6">
        <w:rPr>
          <w:color w:val="auto"/>
        </w:rPr>
        <w:t xml:space="preserve"> view that courts, not the Commission, possessed initial jurisdiction with respect to the award of reparations for unreasonable shipping charges.” </w:t>
      </w:r>
      <w:proofErr w:type="gramStart"/>
      <w:r w:rsidR="00275AB2" w:rsidRPr="008C01A6">
        <w:rPr>
          <w:i/>
          <w:color w:val="auto"/>
        </w:rPr>
        <w:t xml:space="preserve">Arlington, </w:t>
      </w:r>
      <w:r w:rsidR="00275AB2" w:rsidRPr="008C01A6">
        <w:rPr>
          <w:color w:val="auto"/>
        </w:rPr>
        <w:t>133 S. Ct. at 187</w:t>
      </w:r>
      <w:r w:rsidR="00F56B28" w:rsidRPr="008C01A6">
        <w:rPr>
          <w:color w:val="auto"/>
        </w:rPr>
        <w:t>1</w:t>
      </w:r>
      <w:r w:rsidR="00275AB2" w:rsidRPr="008C01A6">
        <w:rPr>
          <w:color w:val="auto"/>
        </w:rPr>
        <w:t xml:space="preserve"> (citing </w:t>
      </w:r>
      <w:r w:rsidR="00275AB2" w:rsidRPr="008C01A6">
        <w:rPr>
          <w:i/>
          <w:color w:val="auto"/>
        </w:rPr>
        <w:t>Reiter</w:t>
      </w:r>
      <w:r w:rsidR="00275AB2" w:rsidRPr="008C01A6">
        <w:rPr>
          <w:color w:val="auto"/>
        </w:rPr>
        <w:t>, 507 U.S. at 269) (internal quotation marks omitted</w:t>
      </w:r>
      <w:r w:rsidR="00F56B28" w:rsidRPr="008C01A6">
        <w:rPr>
          <w:color w:val="auto"/>
        </w:rPr>
        <w:t>)</w:t>
      </w:r>
      <w:r w:rsidR="00175172" w:rsidRPr="008C01A6">
        <w:rPr>
          <w:color w:val="auto"/>
        </w:rPr>
        <w:t>.</w:t>
      </w:r>
      <w:proofErr w:type="gramEnd"/>
      <w:r w:rsidR="00175172" w:rsidRPr="008C01A6">
        <w:rPr>
          <w:color w:val="auto"/>
        </w:rPr>
        <w:t xml:space="preserve"> </w:t>
      </w:r>
      <w:r w:rsidRPr="008C01A6">
        <w:rPr>
          <w:color w:val="auto"/>
        </w:rPr>
        <w:t>And</w:t>
      </w:r>
      <w:r w:rsidR="00275AB2" w:rsidRPr="008C01A6">
        <w:rPr>
          <w:color w:val="auto"/>
        </w:rPr>
        <w:t xml:space="preserve"> i</w:t>
      </w:r>
      <w:r w:rsidR="00216634" w:rsidRPr="008C01A6">
        <w:rPr>
          <w:color w:val="auto"/>
        </w:rPr>
        <w:t xml:space="preserve">n </w:t>
      </w:r>
      <w:r w:rsidR="00216634" w:rsidRPr="008C01A6">
        <w:rPr>
          <w:i/>
          <w:color w:val="auto"/>
        </w:rPr>
        <w:t xml:space="preserve">Commodity Futures Trading </w:t>
      </w:r>
      <w:r w:rsidR="005301D2" w:rsidRPr="008C01A6">
        <w:rPr>
          <w:i/>
          <w:color w:val="auto"/>
        </w:rPr>
        <w:t>Comm</w:t>
      </w:r>
      <w:r w:rsidR="00591615" w:rsidRPr="008C01A6">
        <w:rPr>
          <w:i/>
          <w:color w:val="auto"/>
        </w:rPr>
        <w:t>issio</w:t>
      </w:r>
      <w:r w:rsidR="005301D2" w:rsidRPr="008C01A6">
        <w:rPr>
          <w:i/>
          <w:color w:val="auto"/>
        </w:rPr>
        <w:t xml:space="preserve">n </w:t>
      </w:r>
      <w:r w:rsidR="00216634" w:rsidRPr="008C01A6">
        <w:rPr>
          <w:i/>
          <w:color w:val="auto"/>
        </w:rPr>
        <w:t xml:space="preserve">v. </w:t>
      </w:r>
      <w:proofErr w:type="spellStart"/>
      <w:r w:rsidR="00216634" w:rsidRPr="008C01A6">
        <w:rPr>
          <w:i/>
          <w:color w:val="auto"/>
        </w:rPr>
        <w:t>Schor</w:t>
      </w:r>
      <w:proofErr w:type="spellEnd"/>
      <w:r w:rsidR="006218A6" w:rsidRPr="008C01A6">
        <w:rPr>
          <w:color w:val="auto"/>
        </w:rPr>
        <w:t>, 478 U.S. 833 (1986), the Court deferred to an agency interpretation that</w:t>
      </w:r>
      <w:r w:rsidR="00216634" w:rsidRPr="008C01A6">
        <w:rPr>
          <w:color w:val="auto"/>
        </w:rPr>
        <w:t xml:space="preserve"> allow</w:t>
      </w:r>
      <w:r w:rsidR="006218A6" w:rsidRPr="008C01A6">
        <w:rPr>
          <w:color w:val="auto"/>
        </w:rPr>
        <w:t>ed</w:t>
      </w:r>
      <w:r w:rsidR="000A5CBE" w:rsidRPr="008C01A6">
        <w:rPr>
          <w:color w:val="auto"/>
        </w:rPr>
        <w:t xml:space="preserve"> the agency</w:t>
      </w:r>
      <w:r w:rsidR="00216634" w:rsidRPr="008C01A6">
        <w:rPr>
          <w:color w:val="auto"/>
        </w:rPr>
        <w:t xml:space="preserve"> to</w:t>
      </w:r>
      <w:r w:rsidR="007C26A9" w:rsidRPr="008C01A6">
        <w:rPr>
          <w:color w:val="auto"/>
        </w:rPr>
        <w:t xml:space="preserve"> consider both</w:t>
      </w:r>
      <w:r w:rsidR="00216634" w:rsidRPr="008C01A6">
        <w:rPr>
          <w:color w:val="auto"/>
        </w:rPr>
        <w:t xml:space="preserve"> federal-law an</w:t>
      </w:r>
      <w:r w:rsidR="006218A6" w:rsidRPr="008C01A6">
        <w:rPr>
          <w:color w:val="auto"/>
        </w:rPr>
        <w:t>d state-law counterclaims in an</w:t>
      </w:r>
      <w:r w:rsidR="00216634" w:rsidRPr="008C01A6">
        <w:rPr>
          <w:color w:val="auto"/>
        </w:rPr>
        <w:t xml:space="preserve"> administrative process</w:t>
      </w:r>
      <w:r w:rsidR="005815E5" w:rsidRPr="008C01A6">
        <w:rPr>
          <w:color w:val="auto"/>
        </w:rPr>
        <w:t>, even though d</w:t>
      </w:r>
      <w:r w:rsidR="00216634" w:rsidRPr="008C01A6">
        <w:rPr>
          <w:color w:val="auto"/>
        </w:rPr>
        <w:t>oing so</w:t>
      </w:r>
      <w:r w:rsidR="00EF64D3" w:rsidRPr="008C01A6">
        <w:rPr>
          <w:color w:val="auto"/>
        </w:rPr>
        <w:t xml:space="preserve"> </w:t>
      </w:r>
      <w:r w:rsidR="00216634" w:rsidRPr="008C01A6">
        <w:rPr>
          <w:color w:val="auto"/>
        </w:rPr>
        <w:t>removed those claims from Article III courts</w:t>
      </w:r>
      <w:r w:rsidR="00175172" w:rsidRPr="008C01A6">
        <w:rPr>
          <w:color w:val="auto"/>
        </w:rPr>
        <w:t xml:space="preserve">. </w:t>
      </w:r>
      <w:proofErr w:type="gramStart"/>
      <w:r w:rsidR="00216634" w:rsidRPr="008C01A6">
        <w:rPr>
          <w:i/>
          <w:color w:val="auto"/>
        </w:rPr>
        <w:t xml:space="preserve">Id. </w:t>
      </w:r>
      <w:r w:rsidRPr="008C01A6">
        <w:rPr>
          <w:color w:val="auto"/>
        </w:rPr>
        <w:t>at 851</w:t>
      </w:r>
      <w:r w:rsidR="00175172" w:rsidRPr="008C01A6">
        <w:rPr>
          <w:color w:val="auto"/>
        </w:rPr>
        <w:t>.</w:t>
      </w:r>
      <w:proofErr w:type="gramEnd"/>
      <w:r w:rsidR="00175172" w:rsidRPr="008C01A6">
        <w:rPr>
          <w:color w:val="auto"/>
        </w:rPr>
        <w:t xml:space="preserve"> </w:t>
      </w:r>
      <w:r w:rsidR="00216634" w:rsidRPr="008C01A6">
        <w:rPr>
          <w:color w:val="auto"/>
        </w:rPr>
        <w:t>Nonetheles</w:t>
      </w:r>
      <w:r w:rsidR="00FB2896" w:rsidRPr="008C01A6">
        <w:rPr>
          <w:color w:val="auto"/>
        </w:rPr>
        <w:t>s, the Court credited</w:t>
      </w:r>
      <w:r w:rsidR="00216634" w:rsidRPr="008C01A6">
        <w:rPr>
          <w:color w:val="auto"/>
        </w:rPr>
        <w:t xml:space="preserve"> </w:t>
      </w:r>
      <w:r w:rsidR="00275AB2" w:rsidRPr="008C01A6">
        <w:rPr>
          <w:color w:val="auto"/>
        </w:rPr>
        <w:t xml:space="preserve">the agency’s interpretive view that Congress had in fact intended to authorize litigation </w:t>
      </w:r>
      <w:r w:rsidR="00F56B28" w:rsidRPr="008C01A6">
        <w:rPr>
          <w:color w:val="auto"/>
        </w:rPr>
        <w:t xml:space="preserve">in </w:t>
      </w:r>
      <w:r w:rsidR="00275AB2" w:rsidRPr="008C01A6">
        <w:rPr>
          <w:color w:val="auto"/>
        </w:rPr>
        <w:t>the admini</w:t>
      </w:r>
      <w:r w:rsidRPr="008C01A6">
        <w:rPr>
          <w:color w:val="auto"/>
        </w:rPr>
        <w:t>strative court instead of Articl</w:t>
      </w:r>
      <w:r w:rsidR="00275AB2" w:rsidRPr="008C01A6">
        <w:rPr>
          <w:color w:val="auto"/>
        </w:rPr>
        <w:t>e III courts</w:t>
      </w:r>
      <w:r w:rsidR="00175172" w:rsidRPr="008C01A6">
        <w:rPr>
          <w:color w:val="auto"/>
        </w:rPr>
        <w:t xml:space="preserve">. </w:t>
      </w:r>
      <w:r w:rsidR="00275AB2" w:rsidRPr="008C01A6">
        <w:rPr>
          <w:i/>
          <w:color w:val="auto"/>
        </w:rPr>
        <w:t>Id</w:t>
      </w:r>
      <w:r w:rsidR="00175172" w:rsidRPr="008C01A6">
        <w:rPr>
          <w:i/>
          <w:color w:val="auto"/>
        </w:rPr>
        <w:t>.</w:t>
      </w:r>
      <w:r w:rsidR="00DB0950" w:rsidRPr="008C01A6">
        <w:rPr>
          <w:i/>
          <w:color w:val="auto"/>
        </w:rPr>
        <w:t xml:space="preserve"> </w:t>
      </w:r>
      <w:r w:rsidR="00DB0950" w:rsidRPr="008C01A6">
        <w:rPr>
          <w:color w:val="auto"/>
        </w:rPr>
        <w:t>at 84</w:t>
      </w:r>
      <w:r w:rsidR="004F3448">
        <w:rPr>
          <w:color w:val="auto"/>
        </w:rPr>
        <w:t>4</w:t>
      </w:r>
      <w:r w:rsidR="00DB0950" w:rsidRPr="008C01A6">
        <w:rPr>
          <w:color w:val="auto"/>
        </w:rPr>
        <w:t>-847</w:t>
      </w:r>
      <w:r w:rsidR="004F3448">
        <w:rPr>
          <w:color w:val="auto"/>
        </w:rPr>
        <w:t xml:space="preserve">; </w:t>
      </w:r>
      <w:r w:rsidR="004F3448">
        <w:rPr>
          <w:i/>
          <w:color w:val="auto"/>
        </w:rPr>
        <w:t xml:space="preserve">see also City of </w:t>
      </w:r>
      <w:r w:rsidR="004F3448" w:rsidRPr="004F3448">
        <w:rPr>
          <w:i/>
          <w:color w:val="auto"/>
        </w:rPr>
        <w:t>Arlington</w:t>
      </w:r>
      <w:r w:rsidR="004F3448">
        <w:rPr>
          <w:color w:val="auto"/>
        </w:rPr>
        <w:t xml:space="preserve">, </w:t>
      </w:r>
      <w:r w:rsidR="004F3448" w:rsidRPr="004F3448">
        <w:rPr>
          <w:color w:val="auto"/>
        </w:rPr>
        <w:t>133</w:t>
      </w:r>
      <w:r w:rsidR="004F3448">
        <w:rPr>
          <w:color w:val="auto"/>
        </w:rPr>
        <w:t xml:space="preserve">. S. Ct. at 1871 (discussing </w:t>
      </w:r>
      <w:proofErr w:type="spellStart"/>
      <w:r w:rsidR="004F3448">
        <w:rPr>
          <w:i/>
          <w:color w:val="auto"/>
        </w:rPr>
        <w:t>Schor</w:t>
      </w:r>
      <w:proofErr w:type="spellEnd"/>
      <w:r w:rsidR="004F3448">
        <w:rPr>
          <w:color w:val="auto"/>
        </w:rPr>
        <w:t>)</w:t>
      </w:r>
      <w:r w:rsidR="00DB0950" w:rsidRPr="008C01A6">
        <w:rPr>
          <w:color w:val="auto"/>
        </w:rPr>
        <w:t>.</w:t>
      </w:r>
      <w:r w:rsidR="00833539" w:rsidRPr="008C01A6">
        <w:rPr>
          <w:color w:val="auto"/>
        </w:rPr>
        <w:t xml:space="preserve"> </w:t>
      </w:r>
      <w:r w:rsidR="00275AB2" w:rsidRPr="008C01A6">
        <w:rPr>
          <w:color w:val="auto"/>
        </w:rPr>
        <w:t xml:space="preserve">Neither the </w:t>
      </w:r>
      <w:r w:rsidR="00275AB2" w:rsidRPr="008C01A6">
        <w:rPr>
          <w:i/>
          <w:color w:val="auto"/>
        </w:rPr>
        <w:t xml:space="preserve">Reiter </w:t>
      </w:r>
      <w:r w:rsidR="00AB0DDB" w:rsidRPr="008C01A6">
        <w:rPr>
          <w:color w:val="auto"/>
        </w:rPr>
        <w:t xml:space="preserve">nor the </w:t>
      </w:r>
      <w:proofErr w:type="spellStart"/>
      <w:r w:rsidR="00AB0DDB" w:rsidRPr="008C01A6">
        <w:rPr>
          <w:i/>
          <w:color w:val="auto"/>
        </w:rPr>
        <w:t>Schor</w:t>
      </w:r>
      <w:proofErr w:type="spellEnd"/>
      <w:r w:rsidR="00AB0DDB" w:rsidRPr="008C01A6">
        <w:rPr>
          <w:i/>
          <w:color w:val="auto"/>
        </w:rPr>
        <w:t xml:space="preserve"> </w:t>
      </w:r>
      <w:r w:rsidR="00AB0DDB" w:rsidRPr="008C01A6">
        <w:rPr>
          <w:color w:val="auto"/>
        </w:rPr>
        <w:t xml:space="preserve">decision would make sense if it were true that courts owe no deference to an agency’s statutory interpretation that </w:t>
      </w:r>
      <w:r w:rsidR="00FB2896" w:rsidRPr="008C01A6">
        <w:rPr>
          <w:color w:val="auto"/>
        </w:rPr>
        <w:t>involves whether (and where) a right of action exists.</w:t>
      </w:r>
      <w:r w:rsidR="00175172" w:rsidRPr="008C01A6">
        <w:rPr>
          <w:color w:val="auto"/>
        </w:rPr>
        <w:t xml:space="preserve"> </w:t>
      </w:r>
    </w:p>
    <w:p w:rsidR="00B52105" w:rsidRPr="008C01A6" w:rsidRDefault="00AB0DDB">
      <w:pPr>
        <w:pStyle w:val="Default"/>
        <w:spacing w:line="480" w:lineRule="auto"/>
        <w:contextualSpacing/>
        <w:mirrorIndents/>
        <w:rPr>
          <w:color w:val="auto"/>
        </w:rPr>
      </w:pPr>
      <w:r w:rsidRPr="008C01A6">
        <w:rPr>
          <w:color w:val="auto"/>
        </w:rPr>
        <w:tab/>
      </w:r>
      <w:r w:rsidR="00DE0154" w:rsidRPr="008C01A6">
        <w:rPr>
          <w:color w:val="auto"/>
        </w:rPr>
        <w:t>T</w:t>
      </w:r>
      <w:r w:rsidRPr="008C01A6">
        <w:rPr>
          <w:color w:val="auto"/>
        </w:rPr>
        <w:t xml:space="preserve">he </w:t>
      </w:r>
      <w:r w:rsidRPr="008C01A6">
        <w:rPr>
          <w:i/>
          <w:color w:val="auto"/>
        </w:rPr>
        <w:t xml:space="preserve">C.V. v. </w:t>
      </w:r>
      <w:proofErr w:type="spellStart"/>
      <w:r w:rsidRPr="008C01A6">
        <w:rPr>
          <w:i/>
          <w:color w:val="auto"/>
        </w:rPr>
        <w:t>Dudek</w:t>
      </w:r>
      <w:proofErr w:type="spellEnd"/>
      <w:r w:rsidRPr="008C01A6">
        <w:rPr>
          <w:i/>
          <w:color w:val="auto"/>
        </w:rPr>
        <w:t xml:space="preserve"> </w:t>
      </w:r>
      <w:r w:rsidRPr="008C01A6">
        <w:rPr>
          <w:color w:val="auto"/>
        </w:rPr>
        <w:t>court cited no authority for the</w:t>
      </w:r>
      <w:r w:rsidR="007752A4" w:rsidRPr="008C01A6">
        <w:rPr>
          <w:color w:val="auto"/>
        </w:rPr>
        <w:t xml:space="preserve"> proposition</w:t>
      </w:r>
      <w:r w:rsidRPr="008C01A6">
        <w:rPr>
          <w:color w:val="auto"/>
        </w:rPr>
        <w:t xml:space="preserve"> that it did not owe </w:t>
      </w:r>
      <w:r w:rsidRPr="008C01A6">
        <w:rPr>
          <w:i/>
          <w:color w:val="auto"/>
        </w:rPr>
        <w:t xml:space="preserve">Chevron </w:t>
      </w:r>
      <w:r w:rsidRPr="008C01A6">
        <w:rPr>
          <w:color w:val="auto"/>
        </w:rPr>
        <w:t xml:space="preserve">deference to the </w:t>
      </w:r>
      <w:r w:rsidR="00DE0154" w:rsidRPr="008C01A6">
        <w:rPr>
          <w:color w:val="auto"/>
        </w:rPr>
        <w:t>Department of Justice’s interpretation of the meaning of the relevant enforcement provisions</w:t>
      </w:r>
      <w:r w:rsidR="00175172" w:rsidRPr="008C01A6">
        <w:rPr>
          <w:color w:val="auto"/>
        </w:rPr>
        <w:t xml:space="preserve">. </w:t>
      </w:r>
      <w:r w:rsidR="007752A4" w:rsidRPr="008C01A6">
        <w:rPr>
          <w:color w:val="auto"/>
        </w:rPr>
        <w:t xml:space="preserve">Moreover, the court’s decision was diametrically opposed to a prior decision in the same case, in which the previous judge upheld the Attorney General’s authority to enforce Title II primarily on the ground that </w:t>
      </w:r>
      <w:r w:rsidR="00390CB3" w:rsidRPr="008C01A6">
        <w:rPr>
          <w:color w:val="auto"/>
        </w:rPr>
        <w:t>“DOJ</w:t>
      </w:r>
      <w:r w:rsidR="00DE0154" w:rsidRPr="008C01A6">
        <w:rPr>
          <w:color w:val="auto"/>
        </w:rPr>
        <w:t>’</w:t>
      </w:r>
      <w:r w:rsidR="00390CB3" w:rsidRPr="008C01A6">
        <w:rPr>
          <w:color w:val="auto"/>
        </w:rPr>
        <w:t>s interpretation of Title II [is] a reasonable construction of the statute.”</w:t>
      </w:r>
      <w:r w:rsidR="00DE0154" w:rsidRPr="008C01A6">
        <w:rPr>
          <w:rStyle w:val="FootnoteReference"/>
          <w:color w:val="auto"/>
        </w:rPr>
        <w:footnoteReference w:id="8"/>
      </w:r>
      <w:r w:rsidR="00390CB3" w:rsidRPr="008C01A6">
        <w:rPr>
          <w:color w:val="auto"/>
        </w:rPr>
        <w:t xml:space="preserve"> </w:t>
      </w:r>
      <w:proofErr w:type="gramStart"/>
      <w:r w:rsidR="00390CB3" w:rsidRPr="008C01A6">
        <w:rPr>
          <w:i/>
          <w:color w:val="auto"/>
        </w:rPr>
        <w:t xml:space="preserve">A.R. ex rel. Root v. </w:t>
      </w:r>
      <w:proofErr w:type="spellStart"/>
      <w:r w:rsidR="00390CB3" w:rsidRPr="008C01A6">
        <w:rPr>
          <w:i/>
          <w:color w:val="auto"/>
        </w:rPr>
        <w:t>Dudek</w:t>
      </w:r>
      <w:proofErr w:type="spellEnd"/>
      <w:r w:rsidR="00390CB3" w:rsidRPr="008C01A6">
        <w:rPr>
          <w:color w:val="auto"/>
        </w:rPr>
        <w:t xml:space="preserve">, 31 F. Supp. 3d 1363, 1367 (S.D. Fla. 2014) (citing </w:t>
      </w:r>
      <w:r w:rsidR="00390CB3" w:rsidRPr="008C01A6">
        <w:rPr>
          <w:i/>
          <w:color w:val="auto"/>
        </w:rPr>
        <w:t>City of Arlington</w:t>
      </w:r>
      <w:r w:rsidR="00390CB3" w:rsidRPr="008C01A6">
        <w:rPr>
          <w:color w:val="auto"/>
        </w:rPr>
        <w:t xml:space="preserve">, 133 </w:t>
      </w:r>
      <w:proofErr w:type="spellStart"/>
      <w:r w:rsidR="00390CB3" w:rsidRPr="008C01A6">
        <w:rPr>
          <w:color w:val="auto"/>
        </w:rPr>
        <w:t>S.Ct</w:t>
      </w:r>
      <w:proofErr w:type="spellEnd"/>
      <w:r w:rsidR="00390CB3" w:rsidRPr="008C01A6">
        <w:rPr>
          <w:color w:val="auto"/>
        </w:rPr>
        <w:t xml:space="preserve">. at 1868; </w:t>
      </w:r>
      <w:r w:rsidR="00390CB3" w:rsidRPr="008C01A6">
        <w:rPr>
          <w:i/>
          <w:color w:val="auto"/>
        </w:rPr>
        <w:t>Chevron</w:t>
      </w:r>
      <w:r w:rsidR="00390CB3" w:rsidRPr="008C01A6">
        <w:rPr>
          <w:color w:val="auto"/>
        </w:rPr>
        <w:t xml:space="preserve">, 467 U.S. </w:t>
      </w:r>
      <w:r w:rsidR="00711D45" w:rsidRPr="008C01A6">
        <w:rPr>
          <w:color w:val="auto"/>
        </w:rPr>
        <w:t>at</w:t>
      </w:r>
      <w:r w:rsidR="00390CB3" w:rsidRPr="008C01A6">
        <w:rPr>
          <w:color w:val="auto"/>
        </w:rPr>
        <w:t xml:space="preserve"> 842)</w:t>
      </w:r>
      <w:r w:rsidR="00175172" w:rsidRPr="008C01A6">
        <w:rPr>
          <w:color w:val="auto"/>
        </w:rPr>
        <w:t>.</w:t>
      </w:r>
      <w:proofErr w:type="gramEnd"/>
      <w:r w:rsidR="00175172" w:rsidRPr="008C01A6">
        <w:rPr>
          <w:color w:val="auto"/>
        </w:rPr>
        <w:t xml:space="preserve"> </w:t>
      </w:r>
    </w:p>
    <w:p w:rsidR="00B52105" w:rsidRPr="008C01A6" w:rsidRDefault="00D34AE3">
      <w:pPr>
        <w:pStyle w:val="Default"/>
        <w:spacing w:line="480" w:lineRule="auto"/>
        <w:contextualSpacing/>
        <w:mirrorIndents/>
        <w:rPr>
          <w:color w:val="auto"/>
        </w:rPr>
      </w:pPr>
      <w:r w:rsidRPr="008C01A6">
        <w:rPr>
          <w:color w:val="auto"/>
        </w:rPr>
        <w:tab/>
      </w:r>
      <w:r w:rsidR="00C93E4D" w:rsidRPr="008C01A6">
        <w:rPr>
          <w:color w:val="auto"/>
        </w:rPr>
        <w:t xml:space="preserve">Congress instructed the Attorney General to promulgate regulations </w:t>
      </w:r>
      <w:r w:rsidR="00DE0154" w:rsidRPr="008C01A6">
        <w:rPr>
          <w:color w:val="auto"/>
        </w:rPr>
        <w:t xml:space="preserve">for Title II that were </w:t>
      </w:r>
      <w:r w:rsidR="00C93E4D" w:rsidRPr="008C01A6">
        <w:rPr>
          <w:color w:val="auto"/>
        </w:rPr>
        <w:t>“consistent with” the regulations implementing the Rehabil</w:t>
      </w:r>
      <w:r w:rsidR="00AB0DDB" w:rsidRPr="008C01A6">
        <w:rPr>
          <w:color w:val="auto"/>
        </w:rPr>
        <w:t>itation Act</w:t>
      </w:r>
      <w:r w:rsidR="00175172" w:rsidRPr="008C01A6">
        <w:rPr>
          <w:color w:val="auto"/>
        </w:rPr>
        <w:t xml:space="preserve">. </w:t>
      </w:r>
      <w:proofErr w:type="gramStart"/>
      <w:r w:rsidR="00AB0DDB" w:rsidRPr="008C01A6">
        <w:rPr>
          <w:color w:val="auto"/>
        </w:rPr>
        <w:t>42 U.S.C. § 12134</w:t>
      </w:r>
      <w:r w:rsidR="00175172" w:rsidRPr="008C01A6">
        <w:rPr>
          <w:color w:val="auto"/>
        </w:rPr>
        <w:t>.</w:t>
      </w:r>
      <w:proofErr w:type="gramEnd"/>
      <w:r w:rsidR="00175172" w:rsidRPr="008C01A6">
        <w:rPr>
          <w:color w:val="auto"/>
        </w:rPr>
        <w:t xml:space="preserve"> </w:t>
      </w:r>
      <w:r w:rsidR="00DE0154" w:rsidRPr="008C01A6">
        <w:rPr>
          <w:color w:val="auto"/>
        </w:rPr>
        <w:t xml:space="preserve">The Attorney General did so, including promulgating a regulation allowing </w:t>
      </w:r>
      <w:r w:rsidR="00AB0DDB" w:rsidRPr="008C01A6">
        <w:rPr>
          <w:color w:val="auto"/>
        </w:rPr>
        <w:t xml:space="preserve">enforcement by the Attorney General </w:t>
      </w:r>
      <w:r w:rsidR="003A04C8" w:rsidRPr="008C01A6">
        <w:rPr>
          <w:color w:val="auto"/>
        </w:rPr>
        <w:t>through</w:t>
      </w:r>
      <w:r w:rsidR="00AB0DDB" w:rsidRPr="008C01A6">
        <w:rPr>
          <w:color w:val="auto"/>
        </w:rPr>
        <w:t xml:space="preserve"> litigation.</w:t>
      </w:r>
      <w:r w:rsidR="00C93E4D" w:rsidRPr="008C01A6">
        <w:rPr>
          <w:color w:val="auto"/>
        </w:rPr>
        <w:t xml:space="preserve"> </w:t>
      </w:r>
      <w:r w:rsidR="00C93E4D" w:rsidRPr="008C01A6">
        <w:rPr>
          <w:i/>
          <w:iCs/>
          <w:color w:val="auto"/>
        </w:rPr>
        <w:t xml:space="preserve">See </w:t>
      </w:r>
      <w:r w:rsidR="00DE0154" w:rsidRPr="008C01A6">
        <w:rPr>
          <w:color w:val="auto"/>
        </w:rPr>
        <w:t>28 C.F.R. § 35.</w:t>
      </w:r>
      <w:r w:rsidR="00AB0DDB" w:rsidRPr="008C01A6">
        <w:rPr>
          <w:color w:val="auto"/>
        </w:rPr>
        <w:t>174</w:t>
      </w:r>
      <w:r w:rsidR="00175172" w:rsidRPr="008C01A6">
        <w:rPr>
          <w:color w:val="auto"/>
        </w:rPr>
        <w:t xml:space="preserve">. </w:t>
      </w:r>
      <w:r w:rsidR="00C93E4D" w:rsidRPr="008C01A6">
        <w:rPr>
          <w:color w:val="auto"/>
        </w:rPr>
        <w:t>The Department of Justice’s Title II regulations are</w:t>
      </w:r>
      <w:r w:rsidR="00AB0DDB" w:rsidRPr="008C01A6">
        <w:rPr>
          <w:color w:val="auto"/>
        </w:rPr>
        <w:t xml:space="preserve"> thus</w:t>
      </w:r>
      <w:r w:rsidR="00C93E4D" w:rsidRPr="008C01A6">
        <w:rPr>
          <w:color w:val="auto"/>
        </w:rPr>
        <w:t xml:space="preserve"> “</w:t>
      </w:r>
      <w:r w:rsidR="00C93E4D" w:rsidRPr="008C01A6">
        <w:rPr>
          <w:iCs/>
          <w:color w:val="auto"/>
        </w:rPr>
        <w:t>within the bounds of its statutory authority</w:t>
      </w:r>
      <w:r w:rsidR="00C93E4D" w:rsidRPr="008C01A6">
        <w:rPr>
          <w:color w:val="auto"/>
        </w:rPr>
        <w:t>” and are certainly “a permissible construction of the statute</w:t>
      </w:r>
      <w:r w:rsidR="008F1E3D" w:rsidRPr="008C01A6">
        <w:rPr>
          <w:color w:val="auto"/>
        </w:rPr>
        <w:t>.</w:t>
      </w:r>
      <w:r w:rsidR="00D51E91" w:rsidRPr="008C01A6">
        <w:rPr>
          <w:color w:val="auto"/>
        </w:rPr>
        <w:t xml:space="preserve">” </w:t>
      </w:r>
      <w:proofErr w:type="gramStart"/>
      <w:r w:rsidR="00C93E4D" w:rsidRPr="008C01A6">
        <w:rPr>
          <w:i/>
          <w:iCs/>
          <w:color w:val="auto"/>
        </w:rPr>
        <w:t>City of Arlington</w:t>
      </w:r>
      <w:r w:rsidR="00C93E4D" w:rsidRPr="008C01A6">
        <w:rPr>
          <w:color w:val="auto"/>
        </w:rPr>
        <w:t>, 133 S. Ct. at 1868, 1874-75 (</w:t>
      </w:r>
      <w:r w:rsidR="00DE0154" w:rsidRPr="008C01A6">
        <w:rPr>
          <w:color w:val="auto"/>
        </w:rPr>
        <w:t>emphasis omitted</w:t>
      </w:r>
      <w:r w:rsidR="00C93E4D" w:rsidRPr="008C01A6">
        <w:rPr>
          <w:color w:val="auto"/>
        </w:rPr>
        <w:t>)</w:t>
      </w:r>
      <w:r w:rsidR="00175172" w:rsidRPr="008C01A6">
        <w:rPr>
          <w:color w:val="auto"/>
        </w:rPr>
        <w:t>.</w:t>
      </w:r>
      <w:proofErr w:type="gramEnd"/>
      <w:r w:rsidR="00175172" w:rsidRPr="008C01A6">
        <w:rPr>
          <w:color w:val="auto"/>
        </w:rPr>
        <w:t xml:space="preserve"> </w:t>
      </w:r>
      <w:r w:rsidR="00C93E4D" w:rsidRPr="008C01A6">
        <w:rPr>
          <w:color w:val="auto"/>
        </w:rPr>
        <w:t>Thus, “that is the end of the matter</w:t>
      </w:r>
      <w:r w:rsidR="008F1E3D" w:rsidRPr="008C01A6">
        <w:rPr>
          <w:color w:val="auto"/>
        </w:rPr>
        <w:t>.</w:t>
      </w:r>
      <w:r w:rsidR="00D51E91" w:rsidRPr="008C01A6">
        <w:rPr>
          <w:color w:val="auto"/>
        </w:rPr>
        <w:t xml:space="preserve">” </w:t>
      </w:r>
      <w:proofErr w:type="gramStart"/>
      <w:r w:rsidR="00C93E4D" w:rsidRPr="008C01A6">
        <w:rPr>
          <w:i/>
          <w:iCs/>
          <w:color w:val="auto"/>
        </w:rPr>
        <w:t xml:space="preserve">Id. </w:t>
      </w:r>
      <w:r w:rsidR="00C93E4D" w:rsidRPr="008C01A6">
        <w:rPr>
          <w:color w:val="auto"/>
        </w:rPr>
        <w:t xml:space="preserve">at 1874-75 (citing </w:t>
      </w:r>
      <w:r w:rsidR="00C93E4D" w:rsidRPr="008C01A6">
        <w:rPr>
          <w:i/>
          <w:iCs/>
          <w:color w:val="auto"/>
        </w:rPr>
        <w:t>Chevron</w:t>
      </w:r>
      <w:r w:rsidR="00AB0DDB" w:rsidRPr="008C01A6">
        <w:rPr>
          <w:color w:val="auto"/>
        </w:rPr>
        <w:t xml:space="preserve">, 467 U.S. at 842); </w:t>
      </w:r>
      <w:r w:rsidR="00AB0DDB" w:rsidRPr="008C01A6">
        <w:rPr>
          <w:i/>
          <w:color w:val="auto"/>
        </w:rPr>
        <w:t xml:space="preserve">see also A.R. ex rel. Root v. </w:t>
      </w:r>
      <w:proofErr w:type="spellStart"/>
      <w:r w:rsidR="00AB0DDB" w:rsidRPr="008C01A6">
        <w:rPr>
          <w:i/>
          <w:color w:val="auto"/>
        </w:rPr>
        <w:t>Dudek</w:t>
      </w:r>
      <w:proofErr w:type="spellEnd"/>
      <w:r w:rsidR="00AB0DDB" w:rsidRPr="008C01A6">
        <w:rPr>
          <w:color w:val="auto"/>
        </w:rPr>
        <w:t>, 31 F. Supp. 3d at 1367</w:t>
      </w:r>
      <w:r w:rsidR="004F3448">
        <w:rPr>
          <w:color w:val="auto"/>
        </w:rPr>
        <w:t>-68</w:t>
      </w:r>
      <w:r w:rsidR="00AB0DDB" w:rsidRPr="008C01A6">
        <w:rPr>
          <w:color w:val="auto"/>
        </w:rPr>
        <w:t>.</w:t>
      </w:r>
      <w:proofErr w:type="gramEnd"/>
    </w:p>
    <w:p w:rsidR="00B52105" w:rsidRPr="008C01A6" w:rsidRDefault="00D34AE3">
      <w:pPr>
        <w:pStyle w:val="Heading1"/>
        <w:keepNext w:val="0"/>
        <w:keepLines w:val="0"/>
        <w:widowControl w:val="0"/>
        <w:rPr>
          <w:rFonts w:eastAsia="Calibri" w:cs="Times New Roman"/>
          <w:szCs w:val="24"/>
        </w:rPr>
      </w:pPr>
      <w:bookmarkStart w:id="13" w:name="_Toc465681943"/>
      <w:r w:rsidRPr="008C01A6">
        <w:rPr>
          <w:rFonts w:eastAsia="Calibri" w:cs="Times New Roman"/>
          <w:szCs w:val="24"/>
        </w:rPr>
        <w:t xml:space="preserve">The United States Has Complied With All </w:t>
      </w:r>
      <w:proofErr w:type="gramStart"/>
      <w:r w:rsidR="003865FA" w:rsidRPr="008C01A6">
        <w:rPr>
          <w:rFonts w:eastAsia="Calibri" w:cs="Times New Roman"/>
          <w:szCs w:val="24"/>
        </w:rPr>
        <w:t>Of</w:t>
      </w:r>
      <w:proofErr w:type="gramEnd"/>
      <w:r w:rsidR="003865FA" w:rsidRPr="008C01A6">
        <w:rPr>
          <w:rFonts w:eastAsia="Calibri" w:cs="Times New Roman"/>
          <w:szCs w:val="24"/>
        </w:rPr>
        <w:t xml:space="preserve"> </w:t>
      </w:r>
      <w:r w:rsidRPr="008C01A6">
        <w:rPr>
          <w:rFonts w:eastAsia="Calibri" w:cs="Times New Roman"/>
          <w:szCs w:val="24"/>
        </w:rPr>
        <w:t>The Adm</w:t>
      </w:r>
      <w:r w:rsidR="008577E2" w:rsidRPr="008C01A6">
        <w:rPr>
          <w:rFonts w:eastAsia="Calibri" w:cs="Times New Roman"/>
          <w:szCs w:val="24"/>
        </w:rPr>
        <w:t>inistrative Prerequisites For Filing A Suit</w:t>
      </w:r>
      <w:bookmarkEnd w:id="13"/>
      <w:r w:rsidR="008577E2" w:rsidRPr="008C01A6">
        <w:rPr>
          <w:rFonts w:eastAsia="Calibri" w:cs="Times New Roman"/>
          <w:szCs w:val="24"/>
        </w:rPr>
        <w:t xml:space="preserve"> </w:t>
      </w:r>
      <w:r w:rsidRPr="008C01A6">
        <w:rPr>
          <w:rFonts w:eastAsia="Calibri" w:cs="Times New Roman"/>
          <w:szCs w:val="24"/>
        </w:rPr>
        <w:br/>
      </w:r>
    </w:p>
    <w:p w:rsidR="00B52105" w:rsidRPr="008C01A6" w:rsidRDefault="002900C7">
      <w:pPr>
        <w:widowControl w:val="0"/>
        <w:autoSpaceDE w:val="0"/>
        <w:autoSpaceDN w:val="0"/>
        <w:adjustRightInd w:val="0"/>
        <w:spacing w:line="480" w:lineRule="auto"/>
        <w:rPr>
          <w:rFonts w:ascii="Times New Roman" w:eastAsia="Calibri" w:hAnsi="Times New Roman" w:cs="Times New Roman"/>
          <w:sz w:val="24"/>
          <w:szCs w:val="24"/>
        </w:rPr>
      </w:pPr>
      <w:r w:rsidRPr="008C01A6">
        <w:rPr>
          <w:rFonts w:ascii="Times New Roman" w:eastAsia="Calibri" w:hAnsi="Times New Roman" w:cs="Times New Roman"/>
          <w:sz w:val="24"/>
          <w:szCs w:val="24"/>
        </w:rPr>
        <w:tab/>
        <w:t xml:space="preserve">Harris County next claims that the United States has </w:t>
      </w:r>
      <w:r w:rsidR="003865FA" w:rsidRPr="008C01A6">
        <w:rPr>
          <w:rFonts w:ascii="Times New Roman" w:eastAsia="Calibri" w:hAnsi="Times New Roman" w:cs="Times New Roman"/>
          <w:sz w:val="24"/>
          <w:szCs w:val="24"/>
        </w:rPr>
        <w:t>not complied with the regulatory procedures for bringing a lawsuit</w:t>
      </w:r>
      <w:r w:rsidR="0077674F" w:rsidRPr="008C01A6">
        <w:rPr>
          <w:rFonts w:ascii="Times New Roman" w:eastAsia="Calibri" w:hAnsi="Times New Roman" w:cs="Times New Roman"/>
          <w:sz w:val="24"/>
          <w:szCs w:val="24"/>
        </w:rPr>
        <w:t xml:space="preserve"> because it has not alleged that </w:t>
      </w:r>
      <w:r w:rsidR="003A04C8" w:rsidRPr="008C01A6">
        <w:rPr>
          <w:rFonts w:ascii="Times New Roman" w:eastAsia="Calibri" w:hAnsi="Times New Roman" w:cs="Times New Roman"/>
          <w:sz w:val="24"/>
          <w:szCs w:val="24"/>
        </w:rPr>
        <w:t xml:space="preserve">the investigation was prompted by a </w:t>
      </w:r>
      <w:r w:rsidR="0077674F" w:rsidRPr="008C01A6">
        <w:rPr>
          <w:rFonts w:ascii="Times New Roman" w:eastAsia="Calibri" w:hAnsi="Times New Roman" w:cs="Times New Roman"/>
          <w:sz w:val="24"/>
          <w:szCs w:val="24"/>
        </w:rPr>
        <w:t xml:space="preserve">complaint from an individual with a disability, and because it did not issue a separate Letter of Findings </w:t>
      </w:r>
      <w:r w:rsidR="005301D2" w:rsidRPr="008C01A6">
        <w:rPr>
          <w:rFonts w:ascii="Times New Roman" w:eastAsia="Calibri" w:hAnsi="Times New Roman" w:cs="Times New Roman"/>
          <w:sz w:val="24"/>
          <w:szCs w:val="24"/>
        </w:rPr>
        <w:t xml:space="preserve">after </w:t>
      </w:r>
      <w:r w:rsidR="0077674F" w:rsidRPr="008C01A6">
        <w:rPr>
          <w:rFonts w:ascii="Times New Roman" w:eastAsia="Calibri" w:hAnsi="Times New Roman" w:cs="Times New Roman"/>
          <w:sz w:val="24"/>
          <w:szCs w:val="24"/>
        </w:rPr>
        <w:t>the</w:t>
      </w:r>
      <w:r w:rsidR="00836919" w:rsidRPr="008C01A6">
        <w:rPr>
          <w:rFonts w:ascii="Times New Roman" w:eastAsia="Calibri" w:hAnsi="Times New Roman" w:cs="Times New Roman"/>
          <w:sz w:val="24"/>
          <w:szCs w:val="24"/>
        </w:rPr>
        <w:t xml:space="preserve"> Department’s survey during the</w:t>
      </w:r>
      <w:r w:rsidR="0077674F" w:rsidRPr="008C01A6">
        <w:rPr>
          <w:rFonts w:ascii="Times New Roman" w:eastAsia="Calibri" w:hAnsi="Times New Roman" w:cs="Times New Roman"/>
          <w:sz w:val="24"/>
          <w:szCs w:val="24"/>
        </w:rPr>
        <w:t xml:space="preserve"> 2016 election</w:t>
      </w:r>
      <w:r w:rsidR="00175172" w:rsidRPr="008C01A6">
        <w:rPr>
          <w:rFonts w:ascii="Times New Roman" w:eastAsia="Calibri" w:hAnsi="Times New Roman" w:cs="Times New Roman"/>
          <w:sz w:val="24"/>
          <w:szCs w:val="24"/>
        </w:rPr>
        <w:t xml:space="preserve">. </w:t>
      </w:r>
      <w:r w:rsidR="003865FA" w:rsidRPr="008C01A6">
        <w:rPr>
          <w:rFonts w:ascii="Times New Roman" w:eastAsia="Calibri" w:hAnsi="Times New Roman" w:cs="Times New Roman"/>
          <w:sz w:val="24"/>
          <w:szCs w:val="24"/>
        </w:rPr>
        <w:t>MTD at 8-10</w:t>
      </w:r>
      <w:r w:rsidRPr="008C01A6">
        <w:rPr>
          <w:rFonts w:ascii="Times New Roman" w:eastAsia="Calibri" w:hAnsi="Times New Roman" w:cs="Times New Roman"/>
          <w:sz w:val="24"/>
          <w:szCs w:val="24"/>
        </w:rPr>
        <w:t>.</w:t>
      </w:r>
      <w:r w:rsidR="00C93E4D" w:rsidRPr="008C01A6">
        <w:rPr>
          <w:rFonts w:ascii="Times New Roman" w:eastAsia="Calibri" w:hAnsi="Times New Roman" w:cs="Times New Roman"/>
          <w:sz w:val="24"/>
          <w:szCs w:val="24"/>
        </w:rPr>
        <w:t xml:space="preserve"> </w:t>
      </w:r>
      <w:r w:rsidR="008E6D83" w:rsidRPr="008C01A6">
        <w:rPr>
          <w:rFonts w:ascii="Times New Roman" w:eastAsia="Calibri" w:hAnsi="Times New Roman" w:cs="Times New Roman"/>
          <w:sz w:val="24"/>
          <w:szCs w:val="24"/>
        </w:rPr>
        <w:t xml:space="preserve">Neither claim is meritorious. </w:t>
      </w:r>
    </w:p>
    <w:p w:rsidR="00B52105" w:rsidRPr="008C01A6" w:rsidRDefault="00CC4886">
      <w:pPr>
        <w:widowControl w:val="0"/>
        <w:autoSpaceDE w:val="0"/>
        <w:autoSpaceDN w:val="0"/>
        <w:adjustRightInd w:val="0"/>
        <w:spacing w:line="480" w:lineRule="auto"/>
        <w:rPr>
          <w:rFonts w:ascii="Times New Roman" w:eastAsia="Calibri" w:hAnsi="Times New Roman" w:cs="Times New Roman"/>
          <w:sz w:val="24"/>
          <w:szCs w:val="24"/>
        </w:rPr>
      </w:pPr>
      <w:r w:rsidRPr="008C01A6">
        <w:rPr>
          <w:rFonts w:ascii="Times New Roman" w:eastAsia="Calibri" w:hAnsi="Times New Roman" w:cs="Times New Roman"/>
          <w:sz w:val="24"/>
          <w:szCs w:val="24"/>
        </w:rPr>
        <w:tab/>
        <w:t xml:space="preserve">First, </w:t>
      </w:r>
      <w:r w:rsidRPr="008C01A6">
        <w:rPr>
          <w:rStyle w:val="cosearchdetaillevel1"/>
          <w:rFonts w:ascii="Times New Roman" w:hAnsi="Times New Roman" w:cs="Times New Roman"/>
          <w:sz w:val="24"/>
          <w:szCs w:val="24"/>
        </w:rPr>
        <w:t xml:space="preserve">the investigation was properly begun as a compliance review. Although some Title II investigations are initiated after complaints are filed, </w:t>
      </w:r>
      <w:r w:rsidRPr="008C01A6">
        <w:rPr>
          <w:rStyle w:val="cosearchdetaillevel1"/>
          <w:rFonts w:ascii="Times New Roman" w:hAnsi="Times New Roman" w:cs="Times New Roman"/>
          <w:i/>
          <w:sz w:val="24"/>
          <w:szCs w:val="24"/>
        </w:rPr>
        <w:t xml:space="preserve">see </w:t>
      </w:r>
      <w:r w:rsidRPr="008C01A6">
        <w:rPr>
          <w:rStyle w:val="cosearchdetaillevel1"/>
          <w:rFonts w:ascii="Times New Roman" w:hAnsi="Times New Roman" w:cs="Times New Roman"/>
          <w:sz w:val="24"/>
          <w:szCs w:val="24"/>
        </w:rPr>
        <w:t>28 C.F.R. § 35.172(a), the regulation also states that</w:t>
      </w:r>
      <w:r w:rsidRPr="008C01A6">
        <w:rPr>
          <w:rFonts w:ascii="Times New Roman" w:eastAsia="Calibri" w:hAnsi="Times New Roman" w:cs="Times New Roman"/>
          <w:sz w:val="24"/>
          <w:szCs w:val="24"/>
        </w:rPr>
        <w:t xml:space="preserve"> “</w:t>
      </w:r>
      <w:r w:rsidR="000A3ABB" w:rsidRPr="008C01A6">
        <w:rPr>
          <w:rFonts w:ascii="Times New Roman" w:eastAsia="Calibri" w:hAnsi="Times New Roman" w:cs="Times New Roman"/>
          <w:sz w:val="24"/>
          <w:szCs w:val="24"/>
        </w:rPr>
        <w:t>[</w:t>
      </w:r>
      <w:r w:rsidR="000A3ABB" w:rsidRPr="008C01A6">
        <w:rPr>
          <w:rFonts w:ascii="Times New Roman" w:eastAsia="Calibri" w:hAnsi="Times New Roman" w:cs="Times New Roman"/>
          <w:color w:val="000000"/>
          <w:sz w:val="24"/>
          <w:szCs w:val="24"/>
        </w:rPr>
        <w:t>t]h</w:t>
      </w:r>
      <w:r w:rsidR="00094D6E" w:rsidRPr="008C01A6">
        <w:rPr>
          <w:rFonts w:ascii="Times New Roman" w:eastAsia="Calibri" w:hAnsi="Times New Roman" w:cs="Times New Roman"/>
          <w:color w:val="000000"/>
          <w:sz w:val="24"/>
          <w:szCs w:val="24"/>
        </w:rPr>
        <w:t>e designated agency may conduct compliance reviews of public entities</w:t>
      </w:r>
      <w:r w:rsidR="00C93E4D" w:rsidRPr="008C01A6">
        <w:rPr>
          <w:rFonts w:ascii="Times New Roman" w:eastAsia="Calibri" w:hAnsi="Times New Roman" w:cs="Times New Roman"/>
          <w:color w:val="000000"/>
          <w:sz w:val="24"/>
          <w:szCs w:val="24"/>
        </w:rPr>
        <w:t xml:space="preserve"> in order to ascertain whether there has been a failure to comply with the nondiscrimination requirements of this part.</w:t>
      </w:r>
      <w:r w:rsidRPr="008C01A6">
        <w:rPr>
          <w:rFonts w:ascii="Times New Roman" w:eastAsia="Calibri" w:hAnsi="Times New Roman" w:cs="Times New Roman"/>
          <w:color w:val="000000"/>
          <w:sz w:val="24"/>
          <w:szCs w:val="24"/>
        </w:rPr>
        <w:t>”</w:t>
      </w:r>
      <w:r w:rsidRPr="008C01A6">
        <w:rPr>
          <w:rFonts w:ascii="Times New Roman" w:eastAsia="Calibri" w:hAnsi="Times New Roman" w:cs="Times New Roman"/>
          <w:sz w:val="24"/>
          <w:szCs w:val="24"/>
        </w:rPr>
        <w:t xml:space="preserve"> </w:t>
      </w:r>
      <w:proofErr w:type="gramStart"/>
      <w:r w:rsidR="002900C7" w:rsidRPr="008C01A6">
        <w:rPr>
          <w:rFonts w:ascii="Times New Roman" w:eastAsia="Calibri" w:hAnsi="Times New Roman" w:cs="Times New Roman"/>
          <w:sz w:val="24"/>
          <w:szCs w:val="24"/>
        </w:rPr>
        <w:t xml:space="preserve">28 C.F.R. </w:t>
      </w:r>
      <w:r w:rsidR="005301D2" w:rsidRPr="008C01A6">
        <w:rPr>
          <w:rFonts w:ascii="Times New Roman" w:eastAsia="Calibri" w:hAnsi="Times New Roman" w:cs="Times New Roman"/>
          <w:sz w:val="24"/>
          <w:szCs w:val="24"/>
        </w:rPr>
        <w:t>§ </w:t>
      </w:r>
      <w:r w:rsidR="002900C7" w:rsidRPr="008C01A6">
        <w:rPr>
          <w:rFonts w:ascii="Times New Roman" w:eastAsia="Calibri" w:hAnsi="Times New Roman" w:cs="Times New Roman"/>
          <w:sz w:val="24"/>
          <w:szCs w:val="24"/>
        </w:rPr>
        <w:t>35.172</w:t>
      </w:r>
      <w:r w:rsidR="000A3ABB" w:rsidRPr="008C01A6">
        <w:rPr>
          <w:rFonts w:ascii="Times New Roman" w:eastAsia="Calibri" w:hAnsi="Times New Roman" w:cs="Times New Roman"/>
          <w:sz w:val="24"/>
          <w:szCs w:val="24"/>
        </w:rPr>
        <w:t>(b)</w:t>
      </w:r>
      <w:r w:rsidRPr="008C01A6">
        <w:rPr>
          <w:rFonts w:ascii="Times New Roman" w:eastAsia="Calibri" w:hAnsi="Times New Roman" w:cs="Times New Roman"/>
          <w:sz w:val="24"/>
          <w:szCs w:val="24"/>
        </w:rPr>
        <w:t>.</w:t>
      </w:r>
      <w:proofErr w:type="gramEnd"/>
      <w:r w:rsidRPr="008C01A6">
        <w:rPr>
          <w:rFonts w:ascii="Times New Roman" w:eastAsia="Calibri" w:hAnsi="Times New Roman" w:cs="Times New Roman"/>
          <w:sz w:val="24"/>
          <w:szCs w:val="24"/>
        </w:rPr>
        <w:t xml:space="preserve"> </w:t>
      </w:r>
      <w:r w:rsidR="00C93E4D" w:rsidRPr="008C01A6">
        <w:rPr>
          <w:rFonts w:ascii="Times New Roman" w:eastAsia="Calibri" w:hAnsi="Times New Roman" w:cs="Times New Roman"/>
          <w:sz w:val="24"/>
          <w:szCs w:val="24"/>
        </w:rPr>
        <w:t>The term “compliance review” is widely understood to mean an investigation that need not be prompted by an individual complaint</w:t>
      </w:r>
      <w:r w:rsidR="00175172" w:rsidRPr="008C01A6">
        <w:rPr>
          <w:rFonts w:ascii="Times New Roman" w:eastAsia="Calibri" w:hAnsi="Times New Roman" w:cs="Times New Roman"/>
          <w:sz w:val="24"/>
          <w:szCs w:val="24"/>
        </w:rPr>
        <w:t xml:space="preserve">. </w:t>
      </w:r>
      <w:proofErr w:type="gramStart"/>
      <w:r w:rsidR="008645C9">
        <w:rPr>
          <w:rFonts w:ascii="Times New Roman" w:eastAsia="Calibri" w:hAnsi="Times New Roman" w:cs="Times New Roman"/>
          <w:i/>
          <w:color w:val="000000"/>
          <w:sz w:val="24"/>
          <w:szCs w:val="24"/>
        </w:rPr>
        <w:t>See, e.g.</w:t>
      </w:r>
      <w:r w:rsidR="008645C9">
        <w:rPr>
          <w:rFonts w:ascii="Times New Roman" w:eastAsia="Calibri" w:hAnsi="Times New Roman" w:cs="Times New Roman"/>
          <w:color w:val="000000"/>
          <w:sz w:val="24"/>
          <w:szCs w:val="24"/>
        </w:rPr>
        <w:t xml:space="preserve">, </w:t>
      </w:r>
      <w:r w:rsidR="000A5CBE" w:rsidRPr="008C01A6">
        <w:rPr>
          <w:rFonts w:ascii="Times New Roman" w:eastAsia="Calibri" w:hAnsi="Times New Roman" w:cs="Times New Roman"/>
          <w:sz w:val="24"/>
          <w:szCs w:val="24"/>
        </w:rPr>
        <w:t>28 C.F.R. § 42.107 (</w:t>
      </w:r>
      <w:r w:rsidR="008E4201" w:rsidRPr="008C01A6">
        <w:rPr>
          <w:rFonts w:ascii="Times New Roman" w:eastAsia="Calibri" w:hAnsi="Times New Roman" w:cs="Times New Roman"/>
          <w:sz w:val="24"/>
          <w:szCs w:val="24"/>
        </w:rPr>
        <w:t>Title VI regulations, providing that the Department</w:t>
      </w:r>
      <w:r w:rsidR="000A5CBE" w:rsidRPr="008C01A6">
        <w:rPr>
          <w:rFonts w:ascii="Times New Roman" w:eastAsia="Calibri" w:hAnsi="Times New Roman" w:cs="Times New Roman"/>
          <w:sz w:val="24"/>
          <w:szCs w:val="24"/>
        </w:rPr>
        <w:t xml:space="preserve"> of Justice</w:t>
      </w:r>
      <w:r w:rsidR="008E4201" w:rsidRPr="008C01A6">
        <w:rPr>
          <w:rFonts w:ascii="Times New Roman" w:eastAsia="Calibri" w:hAnsi="Times New Roman" w:cs="Times New Roman"/>
          <w:sz w:val="24"/>
          <w:szCs w:val="24"/>
        </w:rPr>
        <w:t xml:space="preserve"> will conduct “</w:t>
      </w:r>
      <w:r w:rsidR="000A3ABB" w:rsidRPr="008C01A6">
        <w:rPr>
          <w:rFonts w:ascii="Times New Roman" w:eastAsia="Calibri" w:hAnsi="Times New Roman" w:cs="Times New Roman"/>
          <w:sz w:val="24"/>
          <w:szCs w:val="24"/>
        </w:rPr>
        <w:t>[</w:t>
      </w:r>
      <w:r w:rsidR="008E4201" w:rsidRPr="008C01A6">
        <w:rPr>
          <w:rFonts w:ascii="Times New Roman" w:eastAsia="Calibri" w:hAnsi="Times New Roman" w:cs="Times New Roman"/>
          <w:sz w:val="24"/>
          <w:szCs w:val="24"/>
        </w:rPr>
        <w:t>p</w:t>
      </w:r>
      <w:r w:rsidR="000A3ABB" w:rsidRPr="008C01A6">
        <w:rPr>
          <w:rFonts w:ascii="Times New Roman" w:eastAsia="Calibri" w:hAnsi="Times New Roman" w:cs="Times New Roman"/>
          <w:sz w:val="24"/>
          <w:szCs w:val="24"/>
        </w:rPr>
        <w:t>]</w:t>
      </w:r>
      <w:proofErr w:type="spellStart"/>
      <w:r w:rsidR="008E4201" w:rsidRPr="008C01A6">
        <w:rPr>
          <w:rFonts w:ascii="Times New Roman" w:eastAsia="Calibri" w:hAnsi="Times New Roman" w:cs="Times New Roman"/>
          <w:sz w:val="24"/>
          <w:szCs w:val="24"/>
        </w:rPr>
        <w:t>eriodic</w:t>
      </w:r>
      <w:proofErr w:type="spellEnd"/>
      <w:r w:rsidR="008E4201" w:rsidRPr="008C01A6">
        <w:rPr>
          <w:rFonts w:ascii="Times New Roman" w:eastAsia="Calibri" w:hAnsi="Times New Roman" w:cs="Times New Roman"/>
          <w:sz w:val="24"/>
          <w:szCs w:val="24"/>
        </w:rPr>
        <w:t xml:space="preserve"> compliance reviews” and will conduct investigations whenever “a compliance review, report, complaint, </w:t>
      </w:r>
      <w:r w:rsidR="008E4201" w:rsidRPr="008C01A6">
        <w:rPr>
          <w:rFonts w:ascii="Times New Roman" w:eastAsia="Calibri" w:hAnsi="Times New Roman" w:cs="Times New Roman"/>
          <w:i/>
          <w:sz w:val="24"/>
          <w:szCs w:val="24"/>
        </w:rPr>
        <w:t>or</w:t>
      </w:r>
      <w:r w:rsidR="008E4201" w:rsidRPr="008C01A6">
        <w:rPr>
          <w:rFonts w:ascii="Times New Roman" w:eastAsia="Calibri" w:hAnsi="Times New Roman" w:cs="Times New Roman"/>
          <w:sz w:val="24"/>
          <w:szCs w:val="24"/>
        </w:rPr>
        <w:t xml:space="preserve"> any other information indicates a possible failure to comply”)</w:t>
      </w:r>
      <w:r w:rsidR="00175172" w:rsidRPr="008C01A6">
        <w:rPr>
          <w:rFonts w:ascii="Times New Roman" w:eastAsia="Calibri" w:hAnsi="Times New Roman" w:cs="Times New Roman"/>
          <w:sz w:val="24"/>
          <w:szCs w:val="24"/>
        </w:rPr>
        <w:t>.</w:t>
      </w:r>
      <w:proofErr w:type="gramEnd"/>
      <w:r w:rsidR="00175172" w:rsidRPr="008C01A6">
        <w:rPr>
          <w:rFonts w:ascii="Times New Roman" w:eastAsia="Calibri" w:hAnsi="Times New Roman" w:cs="Times New Roman"/>
          <w:sz w:val="24"/>
          <w:szCs w:val="24"/>
        </w:rPr>
        <w:t xml:space="preserve"> </w:t>
      </w:r>
    </w:p>
    <w:p w:rsidR="00B52105" w:rsidRPr="008C01A6" w:rsidRDefault="00CC4886">
      <w:pPr>
        <w:widowControl w:val="0"/>
        <w:autoSpaceDE w:val="0"/>
        <w:autoSpaceDN w:val="0"/>
        <w:adjustRightInd w:val="0"/>
        <w:spacing w:line="480" w:lineRule="auto"/>
        <w:rPr>
          <w:rFonts w:ascii="Times New Roman" w:eastAsia="Calibri" w:hAnsi="Times New Roman" w:cs="Times New Roman"/>
          <w:sz w:val="24"/>
          <w:szCs w:val="24"/>
        </w:rPr>
      </w:pPr>
      <w:r w:rsidRPr="008C01A6">
        <w:rPr>
          <w:rFonts w:ascii="Times New Roman" w:eastAsia="Calibri" w:hAnsi="Times New Roman" w:cs="Times New Roman"/>
          <w:sz w:val="24"/>
          <w:szCs w:val="24"/>
        </w:rPr>
        <w:tab/>
        <w:t xml:space="preserve">With respect to Harris County’s second argument, the </w:t>
      </w:r>
      <w:r w:rsidR="00C93E4D" w:rsidRPr="008C01A6">
        <w:rPr>
          <w:rFonts w:ascii="Times New Roman" w:eastAsia="Calibri" w:hAnsi="Times New Roman" w:cs="Times New Roman"/>
          <w:sz w:val="24"/>
          <w:szCs w:val="24"/>
        </w:rPr>
        <w:t xml:space="preserve">County does not dispute that the United States </w:t>
      </w:r>
      <w:r w:rsidRPr="008C01A6">
        <w:rPr>
          <w:rFonts w:ascii="Times New Roman" w:eastAsia="Calibri" w:hAnsi="Times New Roman" w:cs="Times New Roman"/>
          <w:sz w:val="24"/>
          <w:szCs w:val="24"/>
        </w:rPr>
        <w:t>sent a detailed</w:t>
      </w:r>
      <w:r w:rsidR="00A56243" w:rsidRPr="008C01A6">
        <w:rPr>
          <w:rFonts w:ascii="Times New Roman" w:eastAsia="Calibri" w:hAnsi="Times New Roman" w:cs="Times New Roman"/>
          <w:sz w:val="24"/>
          <w:szCs w:val="24"/>
        </w:rPr>
        <w:t xml:space="preserve"> Letter of Findings (“LOF”</w:t>
      </w:r>
      <w:r w:rsidR="004B27D4" w:rsidRPr="008C01A6">
        <w:rPr>
          <w:rFonts w:ascii="Times New Roman" w:eastAsia="Calibri" w:hAnsi="Times New Roman" w:cs="Times New Roman"/>
          <w:sz w:val="24"/>
          <w:szCs w:val="24"/>
        </w:rPr>
        <w:t>)</w:t>
      </w:r>
      <w:r w:rsidR="00A56243" w:rsidRPr="008C01A6">
        <w:rPr>
          <w:rFonts w:ascii="Times New Roman" w:eastAsia="Calibri" w:hAnsi="Times New Roman" w:cs="Times New Roman"/>
          <w:sz w:val="24"/>
          <w:szCs w:val="24"/>
        </w:rPr>
        <w:t xml:space="preserve"> </w:t>
      </w:r>
      <w:r w:rsidR="007D708A" w:rsidRPr="008C01A6">
        <w:rPr>
          <w:rFonts w:ascii="Times New Roman" w:eastAsia="Calibri" w:hAnsi="Times New Roman" w:cs="Times New Roman"/>
          <w:sz w:val="24"/>
          <w:szCs w:val="24"/>
        </w:rPr>
        <w:t xml:space="preserve">in 2014 </w:t>
      </w:r>
      <w:r w:rsidRPr="008C01A6">
        <w:rPr>
          <w:rFonts w:ascii="Times New Roman" w:eastAsia="Calibri" w:hAnsi="Times New Roman" w:cs="Times New Roman"/>
          <w:sz w:val="24"/>
          <w:szCs w:val="24"/>
        </w:rPr>
        <w:t>after</w:t>
      </w:r>
      <w:r w:rsidR="007D708A" w:rsidRPr="008C01A6">
        <w:rPr>
          <w:rFonts w:ascii="Times New Roman" w:eastAsia="Calibri" w:hAnsi="Times New Roman" w:cs="Times New Roman"/>
          <w:sz w:val="24"/>
          <w:szCs w:val="24"/>
        </w:rPr>
        <w:t xml:space="preserve"> it surveyed polling places during</w:t>
      </w:r>
      <w:r w:rsidRPr="008C01A6">
        <w:rPr>
          <w:rFonts w:ascii="Times New Roman" w:eastAsia="Calibri" w:hAnsi="Times New Roman" w:cs="Times New Roman"/>
          <w:sz w:val="24"/>
          <w:szCs w:val="24"/>
        </w:rPr>
        <w:t xml:space="preserve"> the January 2013 election</w:t>
      </w:r>
      <w:r w:rsidR="00A56243" w:rsidRPr="008C01A6">
        <w:rPr>
          <w:rFonts w:ascii="Times New Roman" w:eastAsia="Calibri" w:hAnsi="Times New Roman" w:cs="Times New Roman"/>
          <w:sz w:val="24"/>
          <w:szCs w:val="24"/>
        </w:rPr>
        <w:t>. Harris County claims, however,</w:t>
      </w:r>
      <w:r w:rsidR="008E4201" w:rsidRPr="008C01A6">
        <w:rPr>
          <w:rFonts w:ascii="Times New Roman" w:eastAsia="Calibri" w:hAnsi="Times New Roman" w:cs="Times New Roman"/>
          <w:sz w:val="24"/>
          <w:szCs w:val="24"/>
        </w:rPr>
        <w:t xml:space="preserve"> that the United States was required to issue a separate </w:t>
      </w:r>
      <w:r w:rsidR="00A56243" w:rsidRPr="008C01A6">
        <w:rPr>
          <w:rFonts w:ascii="Times New Roman" w:eastAsia="Calibri" w:hAnsi="Times New Roman" w:cs="Times New Roman"/>
          <w:sz w:val="24"/>
          <w:szCs w:val="24"/>
        </w:rPr>
        <w:t>LOF after the May</w:t>
      </w:r>
      <w:r w:rsidR="008E4201" w:rsidRPr="008C01A6">
        <w:rPr>
          <w:rFonts w:ascii="Times New Roman" w:eastAsia="Calibri" w:hAnsi="Times New Roman" w:cs="Times New Roman"/>
          <w:sz w:val="24"/>
          <w:szCs w:val="24"/>
        </w:rPr>
        <w:t xml:space="preserve"> 2016 election</w:t>
      </w:r>
      <w:r w:rsidR="00175172" w:rsidRPr="008C01A6">
        <w:rPr>
          <w:rFonts w:ascii="Times New Roman" w:eastAsia="Calibri" w:hAnsi="Times New Roman" w:cs="Times New Roman"/>
          <w:sz w:val="24"/>
          <w:szCs w:val="24"/>
        </w:rPr>
        <w:t xml:space="preserve">. </w:t>
      </w:r>
      <w:r w:rsidR="008E4201" w:rsidRPr="008C01A6">
        <w:rPr>
          <w:rFonts w:ascii="Times New Roman" w:eastAsia="Calibri" w:hAnsi="Times New Roman" w:cs="Times New Roman"/>
          <w:sz w:val="24"/>
          <w:szCs w:val="24"/>
        </w:rPr>
        <w:t>Harris County misunderstands</w:t>
      </w:r>
      <w:r w:rsidR="008577E2" w:rsidRPr="008C01A6">
        <w:rPr>
          <w:rFonts w:ascii="Times New Roman" w:eastAsia="Calibri" w:hAnsi="Times New Roman" w:cs="Times New Roman"/>
          <w:sz w:val="24"/>
          <w:szCs w:val="24"/>
        </w:rPr>
        <w:t xml:space="preserve"> both the </w:t>
      </w:r>
      <w:r w:rsidR="00A56243" w:rsidRPr="008C01A6">
        <w:rPr>
          <w:rFonts w:ascii="Times New Roman" w:eastAsia="Calibri" w:hAnsi="Times New Roman" w:cs="Times New Roman"/>
          <w:sz w:val="24"/>
          <w:szCs w:val="24"/>
        </w:rPr>
        <w:t xml:space="preserve">2014 </w:t>
      </w:r>
      <w:r w:rsidR="008577E2" w:rsidRPr="008C01A6">
        <w:rPr>
          <w:rFonts w:ascii="Times New Roman" w:eastAsia="Calibri" w:hAnsi="Times New Roman" w:cs="Times New Roman"/>
          <w:sz w:val="24"/>
          <w:szCs w:val="24"/>
        </w:rPr>
        <w:t>LOF and</w:t>
      </w:r>
      <w:r w:rsidR="008E4201" w:rsidRPr="008C01A6">
        <w:rPr>
          <w:rFonts w:ascii="Times New Roman" w:eastAsia="Calibri" w:hAnsi="Times New Roman" w:cs="Times New Roman"/>
          <w:sz w:val="24"/>
          <w:szCs w:val="24"/>
        </w:rPr>
        <w:t xml:space="preserve"> </w:t>
      </w:r>
      <w:r w:rsidR="004E06F2" w:rsidRPr="008C01A6">
        <w:rPr>
          <w:rFonts w:ascii="Times New Roman" w:eastAsia="Calibri" w:hAnsi="Times New Roman" w:cs="Times New Roman"/>
          <w:sz w:val="24"/>
          <w:szCs w:val="24"/>
        </w:rPr>
        <w:t>the purpose of the United States’ review of polling places in 2016</w:t>
      </w:r>
      <w:r w:rsidR="00175172" w:rsidRPr="008C01A6">
        <w:rPr>
          <w:rFonts w:ascii="Times New Roman" w:eastAsia="Calibri" w:hAnsi="Times New Roman" w:cs="Times New Roman"/>
          <w:sz w:val="24"/>
          <w:szCs w:val="24"/>
        </w:rPr>
        <w:t xml:space="preserve">. </w:t>
      </w:r>
      <w:r w:rsidR="008577E2" w:rsidRPr="008C01A6">
        <w:rPr>
          <w:rFonts w:ascii="Times New Roman" w:eastAsia="Calibri" w:hAnsi="Times New Roman" w:cs="Times New Roman"/>
          <w:sz w:val="24"/>
          <w:szCs w:val="24"/>
        </w:rPr>
        <w:t xml:space="preserve">The </w:t>
      </w:r>
      <w:r w:rsidR="00A56243" w:rsidRPr="008C01A6">
        <w:rPr>
          <w:rFonts w:ascii="Times New Roman" w:eastAsia="Calibri" w:hAnsi="Times New Roman" w:cs="Times New Roman"/>
          <w:sz w:val="24"/>
          <w:szCs w:val="24"/>
        </w:rPr>
        <w:t xml:space="preserve">2014 </w:t>
      </w:r>
      <w:r w:rsidR="000A5CBE" w:rsidRPr="008C01A6">
        <w:rPr>
          <w:rFonts w:ascii="Times New Roman" w:eastAsia="Calibri" w:hAnsi="Times New Roman" w:cs="Times New Roman"/>
          <w:sz w:val="24"/>
          <w:szCs w:val="24"/>
        </w:rPr>
        <w:t>LOF</w:t>
      </w:r>
      <w:r w:rsidR="008577E2" w:rsidRPr="008C01A6">
        <w:rPr>
          <w:rFonts w:ascii="Times New Roman" w:eastAsia="Calibri" w:hAnsi="Times New Roman" w:cs="Times New Roman"/>
          <w:sz w:val="24"/>
          <w:szCs w:val="24"/>
        </w:rPr>
        <w:t xml:space="preserve"> both (1) detailed the United States’ finding that </w:t>
      </w:r>
      <w:r w:rsidR="00920628">
        <w:rPr>
          <w:rFonts w:ascii="Times New Roman" w:eastAsia="Calibri" w:hAnsi="Times New Roman" w:cs="Times New Roman"/>
          <w:sz w:val="24"/>
          <w:szCs w:val="24"/>
        </w:rPr>
        <w:t xml:space="preserve">two-thirds of the </w:t>
      </w:r>
      <w:r w:rsidR="00CC0918" w:rsidRPr="008C01A6">
        <w:rPr>
          <w:rFonts w:ascii="Times New Roman" w:eastAsia="Calibri" w:hAnsi="Times New Roman" w:cs="Times New Roman"/>
          <w:sz w:val="24"/>
          <w:szCs w:val="24"/>
        </w:rPr>
        <w:t>surveyed</w:t>
      </w:r>
      <w:r w:rsidR="008577E2" w:rsidRPr="008C01A6">
        <w:rPr>
          <w:rFonts w:ascii="Times New Roman" w:eastAsia="Calibri" w:hAnsi="Times New Roman" w:cs="Times New Roman"/>
          <w:sz w:val="24"/>
          <w:szCs w:val="24"/>
        </w:rPr>
        <w:t xml:space="preserve"> polling places were inaccessible and (2) set forth the United States’ conclusion that Harris County’s</w:t>
      </w:r>
      <w:r w:rsidR="00A56243" w:rsidRPr="008C01A6">
        <w:rPr>
          <w:rFonts w:ascii="Times New Roman" w:eastAsia="Calibri" w:hAnsi="Times New Roman" w:cs="Times New Roman"/>
          <w:sz w:val="24"/>
          <w:szCs w:val="24"/>
        </w:rPr>
        <w:t xml:space="preserve"> voting program</w:t>
      </w:r>
      <w:r w:rsidR="008577E2" w:rsidRPr="008C01A6">
        <w:rPr>
          <w:rFonts w:ascii="Times New Roman" w:eastAsia="Calibri" w:hAnsi="Times New Roman" w:cs="Times New Roman"/>
          <w:sz w:val="24"/>
          <w:szCs w:val="24"/>
        </w:rPr>
        <w:t xml:space="preserve"> violated the ADA</w:t>
      </w:r>
      <w:r w:rsidR="00A56243" w:rsidRPr="008C01A6">
        <w:rPr>
          <w:rFonts w:ascii="Times New Roman" w:eastAsia="Calibri" w:hAnsi="Times New Roman" w:cs="Times New Roman"/>
          <w:sz w:val="24"/>
          <w:szCs w:val="24"/>
        </w:rPr>
        <w:t xml:space="preserve"> on a system-wide basis</w:t>
      </w:r>
      <w:r w:rsidR="008577E2" w:rsidRPr="008C01A6">
        <w:rPr>
          <w:rFonts w:ascii="Times New Roman" w:eastAsia="Calibri" w:hAnsi="Times New Roman" w:cs="Times New Roman"/>
          <w:sz w:val="24"/>
          <w:szCs w:val="24"/>
        </w:rPr>
        <w:t xml:space="preserve">. </w:t>
      </w:r>
      <w:r w:rsidR="003865FA" w:rsidRPr="008C01A6">
        <w:rPr>
          <w:rFonts w:ascii="Times New Roman" w:eastAsia="Calibri" w:hAnsi="Times New Roman" w:cs="Times New Roman"/>
          <w:sz w:val="24"/>
          <w:szCs w:val="24"/>
        </w:rPr>
        <w:t>A</w:t>
      </w:r>
      <w:r w:rsidR="004E06F2" w:rsidRPr="008C01A6">
        <w:rPr>
          <w:rFonts w:ascii="Times New Roman" w:eastAsia="Calibri" w:hAnsi="Times New Roman" w:cs="Times New Roman"/>
          <w:sz w:val="24"/>
          <w:szCs w:val="24"/>
        </w:rPr>
        <w:t>fter the United States i</w:t>
      </w:r>
      <w:r w:rsidR="008577E2" w:rsidRPr="008C01A6">
        <w:rPr>
          <w:rFonts w:ascii="Times New Roman" w:eastAsia="Calibri" w:hAnsi="Times New Roman" w:cs="Times New Roman"/>
          <w:sz w:val="24"/>
          <w:szCs w:val="24"/>
        </w:rPr>
        <w:t xml:space="preserve">ssued </w:t>
      </w:r>
      <w:r w:rsidR="00A56243" w:rsidRPr="008C01A6">
        <w:rPr>
          <w:rFonts w:ascii="Times New Roman" w:eastAsia="Calibri" w:hAnsi="Times New Roman" w:cs="Times New Roman"/>
          <w:sz w:val="24"/>
          <w:szCs w:val="24"/>
        </w:rPr>
        <w:t>that</w:t>
      </w:r>
      <w:r w:rsidR="008577E2" w:rsidRPr="008C01A6">
        <w:rPr>
          <w:rFonts w:ascii="Times New Roman" w:eastAsia="Calibri" w:hAnsi="Times New Roman" w:cs="Times New Roman"/>
          <w:sz w:val="24"/>
          <w:szCs w:val="24"/>
        </w:rPr>
        <w:t xml:space="preserve"> LOF</w:t>
      </w:r>
      <w:r w:rsidR="004E06F2" w:rsidRPr="008C01A6">
        <w:rPr>
          <w:rFonts w:ascii="Times New Roman" w:eastAsia="Calibri" w:hAnsi="Times New Roman" w:cs="Times New Roman"/>
          <w:sz w:val="24"/>
          <w:szCs w:val="24"/>
        </w:rPr>
        <w:t xml:space="preserve">, Harris County </w:t>
      </w:r>
      <w:r w:rsidR="00845B39" w:rsidRPr="008C01A6">
        <w:rPr>
          <w:rFonts w:ascii="Times New Roman" w:eastAsia="Calibri" w:hAnsi="Times New Roman" w:cs="Times New Roman"/>
          <w:sz w:val="24"/>
          <w:szCs w:val="24"/>
        </w:rPr>
        <w:t xml:space="preserve">claimed </w:t>
      </w:r>
      <w:r w:rsidR="00AF370C" w:rsidRPr="008C01A6">
        <w:rPr>
          <w:rFonts w:ascii="Times New Roman" w:eastAsia="Calibri" w:hAnsi="Times New Roman" w:cs="Times New Roman"/>
          <w:sz w:val="24"/>
          <w:szCs w:val="24"/>
        </w:rPr>
        <w:t xml:space="preserve">in a response letter </w:t>
      </w:r>
      <w:r w:rsidR="00845B39" w:rsidRPr="008C01A6">
        <w:rPr>
          <w:rFonts w:ascii="Times New Roman" w:eastAsia="Calibri" w:hAnsi="Times New Roman" w:cs="Times New Roman"/>
          <w:sz w:val="24"/>
          <w:szCs w:val="24"/>
        </w:rPr>
        <w:t xml:space="preserve">that it </w:t>
      </w:r>
      <w:r w:rsidR="000A3ABB" w:rsidRPr="008C01A6">
        <w:rPr>
          <w:rFonts w:ascii="Times New Roman" w:eastAsia="Calibri" w:hAnsi="Times New Roman" w:cs="Times New Roman"/>
          <w:sz w:val="24"/>
          <w:szCs w:val="24"/>
        </w:rPr>
        <w:t>was taking</w:t>
      </w:r>
      <w:r w:rsidR="00845B39" w:rsidRPr="008C01A6">
        <w:rPr>
          <w:rFonts w:ascii="Times New Roman" w:eastAsia="Calibri" w:hAnsi="Times New Roman" w:cs="Times New Roman"/>
          <w:sz w:val="24"/>
          <w:szCs w:val="24"/>
        </w:rPr>
        <w:t xml:space="preserve"> corrective actions with respect to its voting program as a whole</w:t>
      </w:r>
      <w:r w:rsidR="008577E2" w:rsidRPr="008C01A6">
        <w:rPr>
          <w:rFonts w:ascii="Times New Roman" w:eastAsia="Calibri" w:hAnsi="Times New Roman" w:cs="Times New Roman"/>
          <w:sz w:val="24"/>
          <w:szCs w:val="24"/>
        </w:rPr>
        <w:t>.</w:t>
      </w:r>
      <w:r w:rsidR="00175172" w:rsidRPr="008C01A6">
        <w:rPr>
          <w:rFonts w:ascii="Times New Roman" w:eastAsia="Calibri" w:hAnsi="Times New Roman" w:cs="Times New Roman"/>
          <w:sz w:val="24"/>
          <w:szCs w:val="24"/>
        </w:rPr>
        <w:t xml:space="preserve"> </w:t>
      </w:r>
      <w:r w:rsidR="004E06F2" w:rsidRPr="008C01A6">
        <w:rPr>
          <w:rFonts w:ascii="Times New Roman" w:eastAsia="Calibri" w:hAnsi="Times New Roman" w:cs="Times New Roman"/>
          <w:sz w:val="24"/>
          <w:szCs w:val="24"/>
        </w:rPr>
        <w:t xml:space="preserve">The 2016 survey was only intended to </w:t>
      </w:r>
      <w:r w:rsidR="00133827" w:rsidRPr="008C01A6">
        <w:rPr>
          <w:rFonts w:ascii="Times New Roman" w:eastAsia="Calibri" w:hAnsi="Times New Roman" w:cs="Times New Roman"/>
          <w:sz w:val="24"/>
          <w:szCs w:val="24"/>
        </w:rPr>
        <w:t xml:space="preserve">verify </w:t>
      </w:r>
      <w:r w:rsidR="000619D5" w:rsidRPr="008C01A6">
        <w:rPr>
          <w:rFonts w:ascii="Times New Roman" w:eastAsia="Calibri" w:hAnsi="Times New Roman" w:cs="Times New Roman"/>
          <w:sz w:val="24"/>
          <w:szCs w:val="24"/>
        </w:rPr>
        <w:t>whether system-wide issues had been fixed</w:t>
      </w:r>
      <w:r w:rsidR="00175172" w:rsidRPr="008C01A6">
        <w:rPr>
          <w:rFonts w:ascii="Times New Roman" w:eastAsia="Calibri" w:hAnsi="Times New Roman" w:cs="Times New Roman"/>
          <w:sz w:val="24"/>
          <w:szCs w:val="24"/>
        </w:rPr>
        <w:t xml:space="preserve">. </w:t>
      </w:r>
      <w:r w:rsidR="004E06F2" w:rsidRPr="008C01A6">
        <w:rPr>
          <w:rFonts w:ascii="Times New Roman" w:eastAsia="Calibri" w:hAnsi="Times New Roman" w:cs="Times New Roman"/>
          <w:sz w:val="24"/>
          <w:szCs w:val="24"/>
        </w:rPr>
        <w:t xml:space="preserve">The United States orally explained </w:t>
      </w:r>
      <w:r w:rsidR="00EB0F6F" w:rsidRPr="008C01A6">
        <w:rPr>
          <w:rFonts w:ascii="Times New Roman" w:eastAsia="Calibri" w:hAnsi="Times New Roman" w:cs="Times New Roman"/>
          <w:sz w:val="24"/>
          <w:szCs w:val="24"/>
        </w:rPr>
        <w:t>some</w:t>
      </w:r>
      <w:r w:rsidR="00133827" w:rsidRPr="008C01A6">
        <w:rPr>
          <w:rFonts w:ascii="Times New Roman" w:eastAsia="Calibri" w:hAnsi="Times New Roman" w:cs="Times New Roman"/>
          <w:sz w:val="24"/>
          <w:szCs w:val="24"/>
        </w:rPr>
        <w:t xml:space="preserve"> of </w:t>
      </w:r>
      <w:r w:rsidR="004E06F2" w:rsidRPr="008C01A6">
        <w:rPr>
          <w:rFonts w:ascii="Times New Roman" w:eastAsia="Calibri" w:hAnsi="Times New Roman" w:cs="Times New Roman"/>
          <w:sz w:val="24"/>
          <w:szCs w:val="24"/>
        </w:rPr>
        <w:t>the issues uncovered in the 2016 survey to Harris County officials, but it was the</w:t>
      </w:r>
      <w:r w:rsidR="00133827" w:rsidRPr="008C01A6">
        <w:rPr>
          <w:rFonts w:ascii="Times New Roman" w:eastAsia="Calibri" w:hAnsi="Times New Roman" w:cs="Times New Roman"/>
          <w:sz w:val="24"/>
          <w:szCs w:val="24"/>
        </w:rPr>
        <w:t xml:space="preserve"> large-scale</w:t>
      </w:r>
      <w:r w:rsidR="004E06F2" w:rsidRPr="008C01A6">
        <w:rPr>
          <w:rFonts w:ascii="Times New Roman" w:eastAsia="Calibri" w:hAnsi="Times New Roman" w:cs="Times New Roman"/>
          <w:sz w:val="24"/>
          <w:szCs w:val="24"/>
        </w:rPr>
        <w:t xml:space="preserve"> 2013 </w:t>
      </w:r>
      <w:r w:rsidR="00133827" w:rsidRPr="008C01A6">
        <w:rPr>
          <w:rFonts w:ascii="Times New Roman" w:eastAsia="Calibri" w:hAnsi="Times New Roman" w:cs="Times New Roman"/>
          <w:sz w:val="24"/>
          <w:szCs w:val="24"/>
        </w:rPr>
        <w:t>survey results</w:t>
      </w:r>
      <w:r w:rsidR="003865FA" w:rsidRPr="008C01A6">
        <w:rPr>
          <w:rFonts w:ascii="Times New Roman" w:eastAsia="Calibri" w:hAnsi="Times New Roman" w:cs="Times New Roman"/>
          <w:sz w:val="24"/>
          <w:szCs w:val="24"/>
        </w:rPr>
        <w:t>—</w:t>
      </w:r>
      <w:r w:rsidR="004E06F2" w:rsidRPr="008C01A6">
        <w:rPr>
          <w:rFonts w:ascii="Times New Roman" w:eastAsia="Calibri" w:hAnsi="Times New Roman" w:cs="Times New Roman"/>
          <w:sz w:val="24"/>
          <w:szCs w:val="24"/>
        </w:rPr>
        <w:t>as detailed</w:t>
      </w:r>
      <w:r w:rsidR="00133827" w:rsidRPr="008C01A6">
        <w:rPr>
          <w:rFonts w:ascii="Times New Roman" w:eastAsia="Calibri" w:hAnsi="Times New Roman" w:cs="Times New Roman"/>
          <w:sz w:val="24"/>
          <w:szCs w:val="24"/>
        </w:rPr>
        <w:t xml:space="preserve"> exhaustively</w:t>
      </w:r>
      <w:r w:rsidR="003865FA" w:rsidRPr="008C01A6">
        <w:rPr>
          <w:rFonts w:ascii="Times New Roman" w:eastAsia="Calibri" w:hAnsi="Times New Roman" w:cs="Times New Roman"/>
          <w:sz w:val="24"/>
          <w:szCs w:val="24"/>
        </w:rPr>
        <w:t xml:space="preserve"> in the </w:t>
      </w:r>
      <w:r w:rsidR="00A56243" w:rsidRPr="008C01A6">
        <w:rPr>
          <w:rFonts w:ascii="Times New Roman" w:eastAsia="Calibri" w:hAnsi="Times New Roman" w:cs="Times New Roman"/>
          <w:sz w:val="24"/>
          <w:szCs w:val="24"/>
        </w:rPr>
        <w:t>2014 LOF</w:t>
      </w:r>
      <w:r w:rsidR="003865FA" w:rsidRPr="008C01A6">
        <w:rPr>
          <w:rFonts w:ascii="Times New Roman" w:eastAsia="Calibri" w:hAnsi="Times New Roman" w:cs="Times New Roman"/>
          <w:sz w:val="24"/>
          <w:szCs w:val="24"/>
        </w:rPr>
        <w:t>—</w:t>
      </w:r>
      <w:r w:rsidR="004E06F2" w:rsidRPr="008C01A6">
        <w:rPr>
          <w:rFonts w:ascii="Times New Roman" w:eastAsia="Calibri" w:hAnsi="Times New Roman" w:cs="Times New Roman"/>
          <w:sz w:val="24"/>
          <w:szCs w:val="24"/>
        </w:rPr>
        <w:t>that</w:t>
      </w:r>
      <w:r w:rsidR="00133827" w:rsidRPr="008C01A6">
        <w:rPr>
          <w:rFonts w:ascii="Times New Roman" w:eastAsia="Calibri" w:hAnsi="Times New Roman" w:cs="Times New Roman"/>
          <w:sz w:val="24"/>
          <w:szCs w:val="24"/>
        </w:rPr>
        <w:t xml:space="preserve"> demonstrated that Harris County’s voting program was inaccessible</w:t>
      </w:r>
      <w:r w:rsidRPr="008C01A6">
        <w:rPr>
          <w:rFonts w:ascii="Times New Roman" w:eastAsia="Calibri" w:hAnsi="Times New Roman" w:cs="Times New Roman"/>
          <w:sz w:val="24"/>
          <w:szCs w:val="24"/>
        </w:rPr>
        <w:t xml:space="preserve"> on a system-wide basis</w:t>
      </w:r>
      <w:r w:rsidR="00175172" w:rsidRPr="008C01A6">
        <w:rPr>
          <w:rFonts w:ascii="Times New Roman" w:eastAsia="Calibri" w:hAnsi="Times New Roman" w:cs="Times New Roman"/>
          <w:sz w:val="24"/>
          <w:szCs w:val="24"/>
        </w:rPr>
        <w:t xml:space="preserve">. </w:t>
      </w:r>
      <w:r w:rsidR="00133827" w:rsidRPr="008C01A6">
        <w:rPr>
          <w:rFonts w:ascii="Times New Roman" w:eastAsia="Calibri" w:hAnsi="Times New Roman" w:cs="Times New Roman"/>
          <w:sz w:val="24"/>
          <w:szCs w:val="24"/>
        </w:rPr>
        <w:t>The United States could have brought suit based on the 2013 survey and</w:t>
      </w:r>
      <w:r w:rsidR="00A56243" w:rsidRPr="008C01A6">
        <w:rPr>
          <w:rFonts w:ascii="Times New Roman" w:eastAsia="Calibri" w:hAnsi="Times New Roman" w:cs="Times New Roman"/>
          <w:sz w:val="24"/>
          <w:szCs w:val="24"/>
        </w:rPr>
        <w:t xml:space="preserve"> 2014 </w:t>
      </w:r>
      <w:r w:rsidR="00137B26" w:rsidRPr="008C01A6">
        <w:rPr>
          <w:rFonts w:ascii="Times New Roman" w:eastAsia="Calibri" w:hAnsi="Times New Roman" w:cs="Times New Roman"/>
          <w:sz w:val="24"/>
          <w:szCs w:val="24"/>
        </w:rPr>
        <w:t>LOF</w:t>
      </w:r>
      <w:r w:rsidR="00133827" w:rsidRPr="008C01A6">
        <w:rPr>
          <w:rFonts w:ascii="Times New Roman" w:eastAsia="Calibri" w:hAnsi="Times New Roman" w:cs="Times New Roman"/>
          <w:sz w:val="24"/>
          <w:szCs w:val="24"/>
        </w:rPr>
        <w:t xml:space="preserve"> alone; it cannot be that an additional survey, intended </w:t>
      </w:r>
      <w:r w:rsidRPr="008C01A6">
        <w:rPr>
          <w:rFonts w:ascii="Times New Roman" w:eastAsia="Calibri" w:hAnsi="Times New Roman" w:cs="Times New Roman"/>
          <w:sz w:val="24"/>
          <w:szCs w:val="24"/>
        </w:rPr>
        <w:t xml:space="preserve">only </w:t>
      </w:r>
      <w:r w:rsidR="00133827" w:rsidRPr="008C01A6">
        <w:rPr>
          <w:rFonts w:ascii="Times New Roman" w:eastAsia="Calibri" w:hAnsi="Times New Roman" w:cs="Times New Roman"/>
          <w:sz w:val="24"/>
          <w:szCs w:val="24"/>
        </w:rPr>
        <w:t xml:space="preserve">to verify Harris County’s </w:t>
      </w:r>
      <w:r w:rsidR="00A31BF9" w:rsidRPr="008C01A6">
        <w:rPr>
          <w:rFonts w:ascii="Times New Roman" w:eastAsia="Calibri" w:hAnsi="Times New Roman" w:cs="Times New Roman"/>
          <w:sz w:val="24"/>
          <w:szCs w:val="24"/>
        </w:rPr>
        <w:t xml:space="preserve">representations </w:t>
      </w:r>
      <w:r w:rsidR="00133827" w:rsidRPr="008C01A6">
        <w:rPr>
          <w:rFonts w:ascii="Times New Roman" w:eastAsia="Calibri" w:hAnsi="Times New Roman" w:cs="Times New Roman"/>
          <w:sz w:val="24"/>
          <w:szCs w:val="24"/>
        </w:rPr>
        <w:t>about its program, undermined the United States’ ability to bring suit.</w:t>
      </w:r>
    </w:p>
    <w:p w:rsidR="00B52105" w:rsidRPr="008C01A6" w:rsidRDefault="00133827">
      <w:pPr>
        <w:pStyle w:val="Heading1"/>
        <w:keepNext w:val="0"/>
        <w:keepLines w:val="0"/>
        <w:widowControl w:val="0"/>
        <w:rPr>
          <w:rFonts w:eastAsia="Calibri" w:cs="Times New Roman"/>
          <w:szCs w:val="24"/>
        </w:rPr>
      </w:pPr>
      <w:bookmarkStart w:id="14" w:name="_Toc465681944"/>
      <w:r w:rsidRPr="008C01A6">
        <w:rPr>
          <w:rFonts w:eastAsia="Calibri" w:cs="Times New Roman"/>
          <w:szCs w:val="24"/>
        </w:rPr>
        <w:t>The United States Has Properly</w:t>
      </w:r>
      <w:r w:rsidR="00D34AE3" w:rsidRPr="008C01A6">
        <w:rPr>
          <w:rFonts w:eastAsia="Calibri" w:cs="Times New Roman"/>
          <w:szCs w:val="24"/>
        </w:rPr>
        <w:t xml:space="preserve"> Alleged That Harris County Violate</w:t>
      </w:r>
      <w:r w:rsidR="008577E2" w:rsidRPr="008C01A6">
        <w:rPr>
          <w:rFonts w:eastAsia="Calibri" w:cs="Times New Roman"/>
          <w:szCs w:val="24"/>
        </w:rPr>
        <w:t>d</w:t>
      </w:r>
      <w:r w:rsidR="00D34AE3" w:rsidRPr="008C01A6">
        <w:rPr>
          <w:rFonts w:eastAsia="Calibri" w:cs="Times New Roman"/>
          <w:szCs w:val="24"/>
        </w:rPr>
        <w:t xml:space="preserve"> Title II</w:t>
      </w:r>
      <w:bookmarkEnd w:id="14"/>
    </w:p>
    <w:p w:rsidR="00B52105" w:rsidRPr="008C01A6" w:rsidRDefault="00B52105">
      <w:pPr>
        <w:widowControl w:val="0"/>
        <w:rPr>
          <w:rFonts w:ascii="Times New Roman" w:hAnsi="Times New Roman" w:cs="Times New Roman"/>
          <w:sz w:val="24"/>
          <w:szCs w:val="24"/>
        </w:rPr>
      </w:pPr>
    </w:p>
    <w:p w:rsidR="00B52105" w:rsidRPr="008C01A6" w:rsidRDefault="00133827">
      <w:pPr>
        <w:widowControl w:val="0"/>
        <w:autoSpaceDE w:val="0"/>
        <w:autoSpaceDN w:val="0"/>
        <w:adjustRightInd w:val="0"/>
        <w:spacing w:line="480" w:lineRule="auto"/>
        <w:rPr>
          <w:rFonts w:ascii="Times New Roman" w:eastAsiaTheme="minorHAnsi" w:hAnsi="Times New Roman" w:cs="Times New Roman"/>
          <w:sz w:val="24"/>
          <w:szCs w:val="24"/>
        </w:rPr>
      </w:pPr>
      <w:r w:rsidRPr="008C01A6">
        <w:rPr>
          <w:rFonts w:ascii="Times New Roman" w:eastAsia="Calibri" w:hAnsi="Times New Roman" w:cs="Times New Roman"/>
          <w:sz w:val="24"/>
          <w:szCs w:val="24"/>
        </w:rPr>
        <w:tab/>
        <w:t>Harris County argues that the “</w:t>
      </w:r>
      <w:r w:rsidRPr="008C01A6">
        <w:rPr>
          <w:rFonts w:ascii="Times New Roman" w:eastAsiaTheme="minorHAnsi" w:hAnsi="Times New Roman" w:cs="Times New Roman"/>
          <w:sz w:val="24"/>
          <w:szCs w:val="24"/>
        </w:rPr>
        <w:t>Complaint fails to plead enough facts to state a claim for relief that is plausible on its face against Harris County</w:t>
      </w:r>
      <w:r w:rsidR="008F1E3D" w:rsidRPr="008C01A6">
        <w:rPr>
          <w:rFonts w:ascii="Times New Roman" w:eastAsiaTheme="minorHAnsi" w:hAnsi="Times New Roman" w:cs="Times New Roman"/>
          <w:sz w:val="24"/>
          <w:szCs w:val="24"/>
        </w:rPr>
        <w:t>.</w:t>
      </w:r>
      <w:r w:rsidR="00D51E91" w:rsidRPr="008C01A6">
        <w:rPr>
          <w:rFonts w:ascii="Times New Roman" w:eastAsiaTheme="minorHAnsi" w:hAnsi="Times New Roman" w:cs="Times New Roman"/>
          <w:sz w:val="24"/>
          <w:szCs w:val="24"/>
        </w:rPr>
        <w:t xml:space="preserve">” </w:t>
      </w:r>
      <w:proofErr w:type="gramStart"/>
      <w:r w:rsidRPr="008C01A6">
        <w:rPr>
          <w:rFonts w:ascii="Times New Roman" w:eastAsiaTheme="minorHAnsi" w:hAnsi="Times New Roman" w:cs="Times New Roman"/>
          <w:sz w:val="24"/>
          <w:szCs w:val="24"/>
        </w:rPr>
        <w:t>MTD at 10</w:t>
      </w:r>
      <w:r w:rsidR="00175172" w:rsidRPr="008C01A6">
        <w:rPr>
          <w:rFonts w:ascii="Times New Roman" w:eastAsiaTheme="minorHAnsi" w:hAnsi="Times New Roman" w:cs="Times New Roman"/>
          <w:sz w:val="24"/>
          <w:szCs w:val="24"/>
        </w:rPr>
        <w:t>.</w:t>
      </w:r>
      <w:proofErr w:type="gramEnd"/>
      <w:r w:rsidR="00175172" w:rsidRPr="008C01A6">
        <w:rPr>
          <w:rFonts w:ascii="Times New Roman" w:eastAsiaTheme="minorHAnsi" w:hAnsi="Times New Roman" w:cs="Times New Roman"/>
          <w:sz w:val="24"/>
          <w:szCs w:val="24"/>
        </w:rPr>
        <w:t xml:space="preserve"> </w:t>
      </w:r>
      <w:r w:rsidR="00A31BF9" w:rsidRPr="008C01A6">
        <w:rPr>
          <w:rFonts w:ascii="Times New Roman" w:eastAsiaTheme="minorHAnsi" w:hAnsi="Times New Roman" w:cs="Times New Roman"/>
          <w:sz w:val="24"/>
          <w:szCs w:val="24"/>
        </w:rPr>
        <w:t xml:space="preserve">But the Complaint </w:t>
      </w:r>
      <w:r w:rsidRPr="008C01A6">
        <w:rPr>
          <w:rFonts w:ascii="Times New Roman" w:eastAsiaTheme="minorHAnsi" w:hAnsi="Times New Roman" w:cs="Times New Roman"/>
          <w:sz w:val="24"/>
          <w:szCs w:val="24"/>
        </w:rPr>
        <w:t>need only</w:t>
      </w:r>
      <w:r w:rsidRPr="008C01A6">
        <w:rPr>
          <w:rFonts w:ascii="Times New Roman" w:eastAsia="Calibri" w:hAnsi="Times New Roman" w:cs="Times New Roman"/>
          <w:color w:val="000000"/>
          <w:sz w:val="24"/>
          <w:szCs w:val="24"/>
        </w:rPr>
        <w:t xml:space="preserve"> </w:t>
      </w:r>
      <w:r w:rsidR="008577E2" w:rsidRPr="008C01A6">
        <w:rPr>
          <w:rFonts w:ascii="Times New Roman" w:eastAsia="Calibri" w:hAnsi="Times New Roman" w:cs="Times New Roman"/>
          <w:color w:val="000000"/>
          <w:sz w:val="24"/>
          <w:szCs w:val="24"/>
        </w:rPr>
        <w:t>provide Harris County</w:t>
      </w:r>
      <w:r w:rsidR="0065081C" w:rsidRPr="008C01A6">
        <w:rPr>
          <w:rFonts w:ascii="Times New Roman" w:eastAsia="Calibri" w:hAnsi="Times New Roman" w:cs="Times New Roman"/>
          <w:color w:val="000000"/>
          <w:sz w:val="24"/>
          <w:szCs w:val="24"/>
        </w:rPr>
        <w:t xml:space="preserve"> with</w:t>
      </w:r>
      <w:r w:rsidR="00C93E4D" w:rsidRPr="008C01A6">
        <w:rPr>
          <w:rFonts w:ascii="Times New Roman" w:eastAsia="Calibri" w:hAnsi="Times New Roman" w:cs="Times New Roman"/>
          <w:color w:val="000000"/>
          <w:sz w:val="24"/>
          <w:szCs w:val="24"/>
        </w:rPr>
        <w:t xml:space="preserve"> </w:t>
      </w:r>
      <w:r w:rsidRPr="008C01A6">
        <w:rPr>
          <w:rFonts w:ascii="Times New Roman" w:eastAsia="Calibri" w:hAnsi="Times New Roman" w:cs="Times New Roman"/>
          <w:color w:val="000000"/>
          <w:sz w:val="24"/>
          <w:szCs w:val="24"/>
        </w:rPr>
        <w:t>“fair notice of what the . . .</w:t>
      </w:r>
      <w:r w:rsidR="00C93E4D" w:rsidRPr="008C01A6">
        <w:rPr>
          <w:rFonts w:ascii="Times New Roman" w:eastAsia="Calibri" w:hAnsi="Times New Roman" w:cs="Times New Roman"/>
          <w:color w:val="000000"/>
          <w:sz w:val="24"/>
          <w:szCs w:val="24"/>
        </w:rPr>
        <w:t xml:space="preserve"> claim is and th</w:t>
      </w:r>
      <w:r w:rsidRPr="008C01A6">
        <w:rPr>
          <w:rFonts w:ascii="Times New Roman" w:eastAsia="Calibri" w:hAnsi="Times New Roman" w:cs="Times New Roman"/>
          <w:color w:val="000000"/>
          <w:sz w:val="24"/>
          <w:szCs w:val="24"/>
        </w:rPr>
        <w:t>e grounds upon which it rests.</w:t>
      </w:r>
      <w:r w:rsidR="00C93E4D" w:rsidRPr="008C01A6">
        <w:rPr>
          <w:rFonts w:ascii="Times New Roman" w:eastAsia="Calibri" w:hAnsi="Times New Roman" w:cs="Times New Roman"/>
          <w:color w:val="000000"/>
          <w:sz w:val="24"/>
          <w:szCs w:val="24"/>
        </w:rPr>
        <w:t xml:space="preserve">” </w:t>
      </w:r>
      <w:proofErr w:type="gramStart"/>
      <w:r w:rsidR="00EF64D3" w:rsidRPr="008C01A6">
        <w:rPr>
          <w:rFonts w:ascii="Times New Roman" w:eastAsia="Calibri" w:hAnsi="Times New Roman" w:cs="Times New Roman"/>
          <w:i/>
          <w:color w:val="000000"/>
          <w:sz w:val="24"/>
          <w:szCs w:val="24"/>
        </w:rPr>
        <w:t xml:space="preserve">Bell Atl. Corp. v. </w:t>
      </w:r>
      <w:proofErr w:type="spellStart"/>
      <w:r w:rsidR="007411AA" w:rsidRPr="008C01A6">
        <w:rPr>
          <w:rFonts w:ascii="Times New Roman" w:eastAsia="Calibri" w:hAnsi="Times New Roman" w:cs="Times New Roman"/>
          <w:i/>
          <w:iCs/>
          <w:color w:val="000000"/>
          <w:sz w:val="24"/>
          <w:szCs w:val="24"/>
        </w:rPr>
        <w:t>Twombly</w:t>
      </w:r>
      <w:proofErr w:type="spellEnd"/>
      <w:r w:rsidR="007411AA" w:rsidRPr="008C01A6">
        <w:rPr>
          <w:rFonts w:ascii="Times New Roman" w:eastAsia="Calibri" w:hAnsi="Times New Roman" w:cs="Times New Roman"/>
          <w:i/>
          <w:iCs/>
          <w:color w:val="000000"/>
          <w:sz w:val="24"/>
          <w:szCs w:val="24"/>
        </w:rPr>
        <w:t xml:space="preserve">, </w:t>
      </w:r>
      <w:r w:rsidR="00674790" w:rsidRPr="008C01A6">
        <w:rPr>
          <w:rFonts w:ascii="Times New Roman" w:eastAsia="Calibri" w:hAnsi="Times New Roman" w:cs="Times New Roman"/>
          <w:iCs/>
          <w:color w:val="000000"/>
          <w:sz w:val="24"/>
          <w:szCs w:val="24"/>
        </w:rPr>
        <w:t xml:space="preserve">550 U.S. </w:t>
      </w:r>
      <w:r w:rsidR="00EF64D3" w:rsidRPr="008C01A6">
        <w:rPr>
          <w:rFonts w:ascii="Times New Roman" w:eastAsia="Calibri" w:hAnsi="Times New Roman" w:cs="Times New Roman"/>
          <w:iCs/>
          <w:color w:val="000000"/>
          <w:sz w:val="24"/>
          <w:szCs w:val="24"/>
        </w:rPr>
        <w:t xml:space="preserve">544, </w:t>
      </w:r>
      <w:r w:rsidR="00674790" w:rsidRPr="008C01A6">
        <w:rPr>
          <w:rFonts w:ascii="Times New Roman" w:eastAsia="Calibri" w:hAnsi="Times New Roman" w:cs="Times New Roman"/>
          <w:iCs/>
          <w:color w:val="000000"/>
          <w:sz w:val="24"/>
          <w:szCs w:val="24"/>
        </w:rPr>
        <w:t>555</w:t>
      </w:r>
      <w:r w:rsidR="00EF64D3" w:rsidRPr="008C01A6">
        <w:rPr>
          <w:rFonts w:ascii="Times New Roman" w:eastAsia="Calibri" w:hAnsi="Times New Roman" w:cs="Times New Roman"/>
          <w:iCs/>
          <w:color w:val="000000"/>
          <w:sz w:val="24"/>
          <w:szCs w:val="24"/>
        </w:rPr>
        <w:t xml:space="preserve"> (2007)</w:t>
      </w:r>
      <w:r w:rsidR="007411AA" w:rsidRPr="008C01A6" w:rsidDel="007411AA">
        <w:rPr>
          <w:rFonts w:ascii="Times New Roman" w:eastAsia="Calibri" w:hAnsi="Times New Roman" w:cs="Times New Roman"/>
          <w:i/>
          <w:iCs/>
          <w:color w:val="000000"/>
          <w:sz w:val="24"/>
          <w:szCs w:val="24"/>
        </w:rPr>
        <w:t xml:space="preserve"> </w:t>
      </w:r>
      <w:r w:rsidR="00C93E4D" w:rsidRPr="008C01A6">
        <w:rPr>
          <w:rFonts w:ascii="Times New Roman" w:eastAsia="Calibri" w:hAnsi="Times New Roman" w:cs="Times New Roman"/>
          <w:color w:val="000000"/>
          <w:sz w:val="24"/>
          <w:szCs w:val="24"/>
        </w:rPr>
        <w:t>(</w:t>
      </w:r>
      <w:r w:rsidRPr="008C01A6">
        <w:rPr>
          <w:rFonts w:ascii="Times New Roman" w:eastAsia="Calibri" w:hAnsi="Times New Roman" w:cs="Times New Roman"/>
          <w:color w:val="000000"/>
          <w:sz w:val="24"/>
          <w:szCs w:val="24"/>
        </w:rPr>
        <w:t>internal quotation marks and citation omitted</w:t>
      </w:r>
      <w:r w:rsidR="00C93E4D" w:rsidRPr="008C01A6">
        <w:rPr>
          <w:rFonts w:ascii="Times New Roman" w:eastAsia="Calibri" w:hAnsi="Times New Roman" w:cs="Times New Roman"/>
          <w:color w:val="000000"/>
          <w:sz w:val="24"/>
          <w:szCs w:val="24"/>
        </w:rPr>
        <w:t>)</w:t>
      </w:r>
      <w:r w:rsidR="007411AA" w:rsidRPr="008C01A6">
        <w:rPr>
          <w:rFonts w:ascii="Times New Roman" w:eastAsia="Calibri" w:hAnsi="Times New Roman" w:cs="Times New Roman"/>
          <w:color w:val="000000"/>
          <w:sz w:val="24"/>
          <w:szCs w:val="24"/>
        </w:rPr>
        <w:t>.</w:t>
      </w:r>
      <w:proofErr w:type="gramEnd"/>
      <w:r w:rsidR="007411AA" w:rsidRPr="008C01A6">
        <w:rPr>
          <w:rFonts w:ascii="Times New Roman" w:eastAsia="Calibri" w:hAnsi="Times New Roman" w:cs="Times New Roman"/>
          <w:color w:val="000000"/>
          <w:sz w:val="24"/>
          <w:szCs w:val="24"/>
        </w:rPr>
        <w:t xml:space="preserve"> H</w:t>
      </w:r>
      <w:r w:rsidR="00A31BF9" w:rsidRPr="008C01A6">
        <w:rPr>
          <w:rFonts w:ascii="Times New Roman" w:eastAsia="Calibri" w:hAnsi="Times New Roman" w:cs="Times New Roman"/>
          <w:color w:val="000000"/>
          <w:sz w:val="24"/>
          <w:szCs w:val="24"/>
        </w:rPr>
        <w:t xml:space="preserve">ere, the allegations in the </w:t>
      </w:r>
      <w:r w:rsidR="001D7DF4" w:rsidRPr="008C01A6">
        <w:rPr>
          <w:rFonts w:ascii="Times New Roman" w:eastAsia="Calibri" w:hAnsi="Times New Roman" w:cs="Times New Roman"/>
          <w:color w:val="000000"/>
          <w:sz w:val="24"/>
          <w:szCs w:val="24"/>
        </w:rPr>
        <w:t>C</w:t>
      </w:r>
      <w:r w:rsidR="00A31BF9" w:rsidRPr="008C01A6">
        <w:rPr>
          <w:rFonts w:ascii="Times New Roman" w:eastAsia="Calibri" w:hAnsi="Times New Roman" w:cs="Times New Roman"/>
          <w:color w:val="000000"/>
          <w:sz w:val="24"/>
          <w:szCs w:val="24"/>
        </w:rPr>
        <w:t xml:space="preserve">omplaint </w:t>
      </w:r>
      <w:r w:rsidR="001D7DF4" w:rsidRPr="008C01A6">
        <w:rPr>
          <w:rFonts w:ascii="Times New Roman" w:eastAsia="Calibri" w:hAnsi="Times New Roman" w:cs="Times New Roman"/>
          <w:color w:val="000000"/>
          <w:sz w:val="24"/>
          <w:szCs w:val="24"/>
        </w:rPr>
        <w:t xml:space="preserve">clearly give </w:t>
      </w:r>
      <w:r w:rsidR="00A31BF9" w:rsidRPr="008C01A6">
        <w:rPr>
          <w:rFonts w:ascii="Times New Roman" w:eastAsia="Calibri" w:hAnsi="Times New Roman" w:cs="Times New Roman"/>
          <w:color w:val="000000"/>
          <w:sz w:val="24"/>
          <w:szCs w:val="24"/>
        </w:rPr>
        <w:t>Harris County fair notice of the claim (that Harris County has violated Title II of the ADA) and t</w:t>
      </w:r>
      <w:r w:rsidR="001D7DF4" w:rsidRPr="008C01A6">
        <w:rPr>
          <w:rFonts w:ascii="Times New Roman" w:eastAsia="Calibri" w:hAnsi="Times New Roman" w:cs="Times New Roman"/>
          <w:color w:val="000000"/>
          <w:sz w:val="24"/>
          <w:szCs w:val="24"/>
        </w:rPr>
        <w:t xml:space="preserve">he grounds upon which it rests </w:t>
      </w:r>
      <w:r w:rsidR="00A31BF9" w:rsidRPr="008C01A6">
        <w:rPr>
          <w:rFonts w:ascii="Times New Roman" w:eastAsia="Calibri" w:hAnsi="Times New Roman" w:cs="Times New Roman"/>
          <w:color w:val="000000"/>
          <w:sz w:val="24"/>
          <w:szCs w:val="24"/>
        </w:rPr>
        <w:t>(that two-thirds of the polling places surveyed were inaccessible to people with disabilities, for the reasons set forth in the Letter of Findings).</w:t>
      </w:r>
    </w:p>
    <w:p w:rsidR="00B52105" w:rsidRPr="008C01A6" w:rsidRDefault="007411AA">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t xml:space="preserve">Federal Rule of </w:t>
      </w:r>
      <w:r w:rsidR="001D7DF4" w:rsidRPr="008C01A6">
        <w:rPr>
          <w:rFonts w:ascii="Times New Roman" w:eastAsia="Calibri" w:hAnsi="Times New Roman" w:cs="Times New Roman"/>
          <w:color w:val="000000"/>
          <w:sz w:val="24"/>
          <w:szCs w:val="24"/>
        </w:rPr>
        <w:t>Civil Procedure 8(a</w:t>
      </w:r>
      <w:proofErr w:type="gramStart"/>
      <w:r w:rsidR="001D7DF4" w:rsidRPr="008C01A6">
        <w:rPr>
          <w:rFonts w:ascii="Times New Roman" w:eastAsia="Calibri" w:hAnsi="Times New Roman" w:cs="Times New Roman"/>
          <w:color w:val="000000"/>
          <w:sz w:val="24"/>
          <w:szCs w:val="24"/>
        </w:rPr>
        <w:t>)(</w:t>
      </w:r>
      <w:proofErr w:type="gramEnd"/>
      <w:r w:rsidR="001D7DF4" w:rsidRPr="008C01A6">
        <w:rPr>
          <w:rFonts w:ascii="Times New Roman" w:eastAsia="Calibri" w:hAnsi="Times New Roman" w:cs="Times New Roman"/>
          <w:color w:val="000000"/>
          <w:sz w:val="24"/>
          <w:szCs w:val="24"/>
        </w:rPr>
        <w:t>2) requires only</w:t>
      </w:r>
      <w:r w:rsidR="003865FA" w:rsidRPr="008C01A6">
        <w:rPr>
          <w:rFonts w:ascii="Times New Roman" w:eastAsia="Calibri" w:hAnsi="Times New Roman" w:cs="Times New Roman"/>
          <w:color w:val="000000"/>
          <w:sz w:val="24"/>
          <w:szCs w:val="24"/>
        </w:rPr>
        <w:t xml:space="preserve"> </w:t>
      </w:r>
      <w:r w:rsidR="0065081C" w:rsidRPr="008C01A6">
        <w:rPr>
          <w:rFonts w:ascii="Times New Roman" w:eastAsia="Calibri" w:hAnsi="Times New Roman" w:cs="Times New Roman"/>
          <w:color w:val="000000"/>
          <w:sz w:val="24"/>
          <w:szCs w:val="24"/>
        </w:rPr>
        <w:t>“a short and plain statement of the claim showing that th</w:t>
      </w:r>
      <w:r w:rsidR="003865FA" w:rsidRPr="008C01A6">
        <w:rPr>
          <w:rFonts w:ascii="Times New Roman" w:eastAsia="Calibri" w:hAnsi="Times New Roman" w:cs="Times New Roman"/>
          <w:color w:val="000000"/>
          <w:sz w:val="24"/>
          <w:szCs w:val="24"/>
        </w:rPr>
        <w:t>e pleader is entitled to relief”</w:t>
      </w:r>
      <w:r w:rsidR="0065081C" w:rsidRPr="008C01A6">
        <w:rPr>
          <w:rFonts w:ascii="Times New Roman" w:eastAsia="Calibri" w:hAnsi="Times New Roman" w:cs="Times New Roman"/>
          <w:color w:val="000000"/>
          <w:sz w:val="24"/>
          <w:szCs w:val="24"/>
        </w:rPr>
        <w:t>)</w:t>
      </w:r>
      <w:r w:rsidR="00175172" w:rsidRPr="008C01A6">
        <w:rPr>
          <w:rFonts w:ascii="Times New Roman" w:eastAsia="Calibri" w:hAnsi="Times New Roman" w:cs="Times New Roman"/>
          <w:color w:val="000000"/>
          <w:sz w:val="24"/>
          <w:szCs w:val="24"/>
        </w:rPr>
        <w:t xml:space="preserve">. </w:t>
      </w:r>
      <w:r w:rsidR="0065081C" w:rsidRPr="008C01A6">
        <w:rPr>
          <w:rFonts w:ascii="Times New Roman" w:eastAsia="Calibri" w:hAnsi="Times New Roman" w:cs="Times New Roman"/>
          <w:color w:val="000000"/>
          <w:sz w:val="24"/>
          <w:szCs w:val="24"/>
        </w:rPr>
        <w:t>Although “</w:t>
      </w:r>
      <w:r w:rsidR="004F3448">
        <w:rPr>
          <w:rFonts w:ascii="Times New Roman" w:eastAsia="Calibri" w:hAnsi="Times New Roman" w:cs="Times New Roman"/>
          <w:color w:val="000000"/>
          <w:sz w:val="24"/>
          <w:szCs w:val="24"/>
        </w:rPr>
        <w:t>[</w:t>
      </w:r>
      <w:r w:rsidR="0065081C" w:rsidRPr="008C01A6">
        <w:rPr>
          <w:rFonts w:ascii="Times New Roman" w:eastAsia="Calibri" w:hAnsi="Times New Roman" w:cs="Times New Roman"/>
          <w:color w:val="000000"/>
          <w:sz w:val="24"/>
          <w:szCs w:val="24"/>
        </w:rPr>
        <w:t>s</w:t>
      </w:r>
      <w:r w:rsidR="004F3448">
        <w:rPr>
          <w:rFonts w:ascii="Times New Roman" w:eastAsia="Calibri" w:hAnsi="Times New Roman" w:cs="Times New Roman"/>
          <w:color w:val="000000"/>
          <w:sz w:val="24"/>
          <w:szCs w:val="24"/>
        </w:rPr>
        <w:t>]</w:t>
      </w:r>
      <w:proofErr w:type="spellStart"/>
      <w:r w:rsidR="00133827" w:rsidRPr="008C01A6">
        <w:rPr>
          <w:rFonts w:ascii="Times New Roman" w:eastAsia="Calibri" w:hAnsi="Times New Roman" w:cs="Times New Roman"/>
          <w:color w:val="000000"/>
          <w:sz w:val="24"/>
          <w:szCs w:val="24"/>
        </w:rPr>
        <w:t>pecific</w:t>
      </w:r>
      <w:proofErr w:type="spellEnd"/>
      <w:r w:rsidR="00133827" w:rsidRPr="008C01A6">
        <w:rPr>
          <w:rFonts w:ascii="Times New Roman" w:eastAsia="Calibri" w:hAnsi="Times New Roman" w:cs="Times New Roman"/>
          <w:color w:val="000000"/>
          <w:sz w:val="24"/>
          <w:szCs w:val="24"/>
        </w:rPr>
        <w:t xml:space="preserve"> facts are not necessary</w:t>
      </w:r>
      <w:r w:rsidR="0065081C" w:rsidRPr="008C01A6">
        <w:rPr>
          <w:rFonts w:ascii="Times New Roman" w:eastAsia="Calibri" w:hAnsi="Times New Roman" w:cs="Times New Roman"/>
          <w:color w:val="000000"/>
          <w:sz w:val="24"/>
          <w:szCs w:val="24"/>
        </w:rPr>
        <w:t>,”</w:t>
      </w:r>
      <w:r w:rsidR="003865FA" w:rsidRPr="008C01A6">
        <w:rPr>
          <w:rFonts w:ascii="Times New Roman" w:eastAsia="Calibri" w:hAnsi="Times New Roman" w:cs="Times New Roman"/>
          <w:color w:val="000000"/>
          <w:sz w:val="24"/>
          <w:szCs w:val="24"/>
        </w:rPr>
        <w:t xml:space="preserve"> </w:t>
      </w:r>
      <w:r w:rsidR="003865FA" w:rsidRPr="008C01A6">
        <w:rPr>
          <w:rFonts w:ascii="Times New Roman" w:eastAsia="Calibri" w:hAnsi="Times New Roman" w:cs="Times New Roman"/>
          <w:i/>
          <w:color w:val="000000"/>
          <w:sz w:val="24"/>
          <w:szCs w:val="24"/>
        </w:rPr>
        <w:t xml:space="preserve">Erickson v. </w:t>
      </w:r>
      <w:proofErr w:type="spellStart"/>
      <w:r w:rsidR="003865FA" w:rsidRPr="008C01A6">
        <w:rPr>
          <w:rFonts w:ascii="Times New Roman" w:eastAsia="Calibri" w:hAnsi="Times New Roman" w:cs="Times New Roman"/>
          <w:i/>
          <w:color w:val="000000"/>
          <w:sz w:val="24"/>
          <w:szCs w:val="24"/>
        </w:rPr>
        <w:t>Pardus</w:t>
      </w:r>
      <w:proofErr w:type="spellEnd"/>
      <w:r w:rsidR="003865FA" w:rsidRPr="008C01A6">
        <w:rPr>
          <w:rFonts w:ascii="Times New Roman" w:eastAsia="Calibri" w:hAnsi="Times New Roman" w:cs="Times New Roman"/>
          <w:color w:val="000000"/>
          <w:sz w:val="24"/>
          <w:szCs w:val="24"/>
        </w:rPr>
        <w:t>, 551 U.S. 89, 93 (2007)</w:t>
      </w:r>
      <w:r w:rsidR="00C93E4D" w:rsidRPr="008C01A6">
        <w:rPr>
          <w:rFonts w:ascii="Times New Roman" w:eastAsia="Calibri" w:hAnsi="Times New Roman" w:cs="Times New Roman"/>
          <w:color w:val="000000"/>
          <w:sz w:val="24"/>
          <w:szCs w:val="24"/>
        </w:rPr>
        <w:t xml:space="preserve"> </w:t>
      </w:r>
      <w:r w:rsidR="0065081C" w:rsidRPr="008C01A6">
        <w:rPr>
          <w:rFonts w:ascii="Times New Roman" w:eastAsia="Calibri" w:hAnsi="Times New Roman" w:cs="Times New Roman"/>
          <w:color w:val="000000"/>
          <w:sz w:val="24"/>
          <w:szCs w:val="24"/>
        </w:rPr>
        <w:t>a</w:t>
      </w:r>
      <w:r w:rsidR="00C93E4D" w:rsidRPr="008C01A6">
        <w:rPr>
          <w:rFonts w:ascii="Times New Roman" w:eastAsia="Calibri" w:hAnsi="Times New Roman" w:cs="Times New Roman"/>
          <w:color w:val="000000"/>
          <w:sz w:val="24"/>
          <w:szCs w:val="24"/>
        </w:rPr>
        <w:t xml:space="preserve"> complaint must contain enough material </w:t>
      </w:r>
      <w:r w:rsidR="0065081C" w:rsidRPr="008C01A6">
        <w:rPr>
          <w:rFonts w:ascii="Times New Roman" w:eastAsia="Calibri" w:hAnsi="Times New Roman" w:cs="Times New Roman"/>
          <w:color w:val="000000"/>
          <w:sz w:val="24"/>
          <w:szCs w:val="24"/>
        </w:rPr>
        <w:t>to show the “plausibility of entitlement to relief</w:t>
      </w:r>
      <w:r w:rsidR="008F1E3D" w:rsidRPr="008C01A6">
        <w:rPr>
          <w:rFonts w:ascii="Times New Roman" w:eastAsia="Calibri" w:hAnsi="Times New Roman" w:cs="Times New Roman"/>
          <w:color w:val="000000"/>
          <w:sz w:val="24"/>
          <w:szCs w:val="24"/>
        </w:rPr>
        <w:t>.</w:t>
      </w:r>
      <w:r w:rsidR="00D51E91" w:rsidRPr="008C01A6">
        <w:rPr>
          <w:rFonts w:ascii="Times New Roman" w:eastAsia="Calibri" w:hAnsi="Times New Roman" w:cs="Times New Roman"/>
          <w:color w:val="000000"/>
          <w:sz w:val="24"/>
          <w:szCs w:val="24"/>
        </w:rPr>
        <w:t xml:space="preserve">” </w:t>
      </w:r>
      <w:proofErr w:type="gramStart"/>
      <w:r w:rsidR="003865FA" w:rsidRPr="008C01A6">
        <w:rPr>
          <w:rFonts w:ascii="Times New Roman" w:eastAsia="Calibri" w:hAnsi="Times New Roman" w:cs="Times New Roman"/>
          <w:i/>
          <w:iCs/>
          <w:color w:val="000000"/>
          <w:sz w:val="24"/>
          <w:szCs w:val="24"/>
        </w:rPr>
        <w:t xml:space="preserve">Ashcroft v. </w:t>
      </w:r>
      <w:proofErr w:type="spellStart"/>
      <w:r w:rsidR="003865FA" w:rsidRPr="008C01A6">
        <w:rPr>
          <w:rFonts w:ascii="Times New Roman" w:eastAsia="Calibri" w:hAnsi="Times New Roman" w:cs="Times New Roman"/>
          <w:i/>
          <w:iCs/>
          <w:color w:val="000000"/>
          <w:sz w:val="24"/>
          <w:szCs w:val="24"/>
        </w:rPr>
        <w:t>Iqbal</w:t>
      </w:r>
      <w:proofErr w:type="spellEnd"/>
      <w:r w:rsidR="003865FA" w:rsidRPr="008C01A6">
        <w:rPr>
          <w:rFonts w:ascii="Times New Roman" w:eastAsia="Calibri" w:hAnsi="Times New Roman" w:cs="Times New Roman"/>
          <w:iCs/>
          <w:color w:val="000000"/>
          <w:sz w:val="24"/>
          <w:szCs w:val="24"/>
        </w:rPr>
        <w:t>, 556 U.S. 662, 678 (2009)</w:t>
      </w:r>
      <w:r w:rsidR="003865FA" w:rsidRPr="008C01A6">
        <w:rPr>
          <w:rFonts w:ascii="Times New Roman" w:eastAsia="Calibri" w:hAnsi="Times New Roman" w:cs="Times New Roman"/>
          <w:i/>
          <w:iCs/>
          <w:color w:val="000000"/>
          <w:sz w:val="24"/>
          <w:szCs w:val="24"/>
        </w:rPr>
        <w:t xml:space="preserve"> </w:t>
      </w:r>
      <w:r w:rsidR="00C93E4D" w:rsidRPr="008C01A6">
        <w:rPr>
          <w:rFonts w:ascii="Times New Roman" w:eastAsia="Calibri" w:hAnsi="Times New Roman" w:cs="Times New Roman"/>
          <w:color w:val="000000"/>
          <w:sz w:val="24"/>
          <w:szCs w:val="24"/>
        </w:rPr>
        <w:t>(</w:t>
      </w:r>
      <w:r w:rsidR="0065081C" w:rsidRPr="008C01A6">
        <w:rPr>
          <w:rFonts w:ascii="Times New Roman" w:eastAsia="Calibri" w:hAnsi="Times New Roman" w:cs="Times New Roman"/>
          <w:color w:val="000000"/>
          <w:sz w:val="24"/>
          <w:szCs w:val="24"/>
        </w:rPr>
        <w:t>internal quotation marks and citation omitted</w:t>
      </w:r>
      <w:r w:rsidR="00C93E4D" w:rsidRPr="008C01A6">
        <w:rPr>
          <w:rFonts w:ascii="Times New Roman" w:eastAsia="Calibri" w:hAnsi="Times New Roman" w:cs="Times New Roman"/>
          <w:color w:val="000000"/>
          <w:sz w:val="24"/>
          <w:szCs w:val="24"/>
        </w:rPr>
        <w:t>)</w:t>
      </w:r>
      <w:r w:rsidR="00175172" w:rsidRPr="008C01A6">
        <w:rPr>
          <w:rFonts w:ascii="Times New Roman" w:eastAsia="Calibri" w:hAnsi="Times New Roman" w:cs="Times New Roman"/>
          <w:color w:val="000000"/>
          <w:sz w:val="24"/>
          <w:szCs w:val="24"/>
        </w:rPr>
        <w:t>.</w:t>
      </w:r>
      <w:proofErr w:type="gramEnd"/>
      <w:r w:rsidR="00175172" w:rsidRPr="008C01A6">
        <w:rPr>
          <w:rFonts w:ascii="Times New Roman" w:eastAsia="Calibri" w:hAnsi="Times New Roman" w:cs="Times New Roman"/>
          <w:color w:val="000000"/>
          <w:sz w:val="24"/>
          <w:szCs w:val="24"/>
        </w:rPr>
        <w:t xml:space="preserve"> </w:t>
      </w:r>
      <w:r w:rsidR="00C93E4D" w:rsidRPr="008C01A6">
        <w:rPr>
          <w:rFonts w:ascii="Times New Roman" w:eastAsia="Calibri" w:hAnsi="Times New Roman" w:cs="Times New Roman"/>
          <w:color w:val="000000"/>
          <w:sz w:val="24"/>
          <w:szCs w:val="24"/>
        </w:rPr>
        <w:t>In short, an adequate complaint must provide fair notice to the defendants and state a facially plausible legal claim.</w:t>
      </w:r>
    </w:p>
    <w:p w:rsidR="00B52105" w:rsidRPr="008C01A6" w:rsidRDefault="0065081C">
      <w:pPr>
        <w:pStyle w:val="Default"/>
        <w:spacing w:line="480" w:lineRule="auto"/>
      </w:pPr>
      <w:r w:rsidRPr="008C01A6">
        <w:tab/>
        <w:t>Here, the United States’ complaint alleges the following:</w:t>
      </w:r>
    </w:p>
    <w:p w:rsidR="00B52105" w:rsidRPr="008C01A6" w:rsidRDefault="0065081C">
      <w:pPr>
        <w:pStyle w:val="Default"/>
        <w:numPr>
          <w:ilvl w:val="0"/>
          <w:numId w:val="7"/>
        </w:numPr>
      </w:pPr>
      <w:r w:rsidRPr="008C01A6">
        <w:t xml:space="preserve">Harris County is a public entity within the meaning of Title II, ¶ 5; </w:t>
      </w:r>
    </w:p>
    <w:p w:rsidR="00B52105" w:rsidRPr="008C01A6" w:rsidRDefault="0065081C">
      <w:pPr>
        <w:pStyle w:val="Default"/>
        <w:numPr>
          <w:ilvl w:val="0"/>
          <w:numId w:val="7"/>
        </w:numPr>
      </w:pPr>
      <w:r w:rsidRPr="008C01A6">
        <w:t xml:space="preserve">Harris County is </w:t>
      </w:r>
      <w:r w:rsidR="003B16D2" w:rsidRPr="008C01A6">
        <w:t>responsible for the administration</w:t>
      </w:r>
      <w:r w:rsidRPr="008C01A6">
        <w:t xml:space="preserve"> of federal, state, and local elections, inc</w:t>
      </w:r>
      <w:r w:rsidR="003B16D2" w:rsidRPr="008C01A6">
        <w:t>luding selecting the facilities to be used as polling places and ensuring those facilities’ physical accessibility</w:t>
      </w:r>
      <w:r w:rsidRPr="008C01A6">
        <w:t xml:space="preserve">, ¶ 6; </w:t>
      </w:r>
    </w:p>
    <w:p w:rsidR="00B52105" w:rsidRPr="008C01A6" w:rsidRDefault="0065081C">
      <w:pPr>
        <w:pStyle w:val="Default"/>
        <w:numPr>
          <w:ilvl w:val="0"/>
          <w:numId w:val="7"/>
        </w:numPr>
      </w:pPr>
      <w:r w:rsidRPr="008C01A6">
        <w:t xml:space="preserve">The United States conducted architectural surveys of 86 polling places during the January 2013 special election, </w:t>
      </w:r>
      <w:r w:rsidR="00EF64D3" w:rsidRPr="008C01A6">
        <w:t>and two-thirds</w:t>
      </w:r>
      <w:r w:rsidR="00833071" w:rsidRPr="008C01A6">
        <w:t xml:space="preserve"> were inaccessible to voters with disabilities under the ADA, </w:t>
      </w:r>
      <w:r w:rsidR="00A56243" w:rsidRPr="008C01A6">
        <w:t xml:space="preserve">as detailed in the 2014 LOF, </w:t>
      </w:r>
      <w:r w:rsidR="00833071" w:rsidRPr="008C01A6">
        <w:t>¶</w:t>
      </w:r>
      <w:r w:rsidR="00EF64D3" w:rsidRPr="008C01A6">
        <w:t>¶</w:t>
      </w:r>
      <w:r w:rsidR="00833071" w:rsidRPr="008C01A6">
        <w:t xml:space="preserve"> </w:t>
      </w:r>
      <w:r w:rsidR="00EF64D3" w:rsidRPr="008C01A6">
        <w:t xml:space="preserve">9, </w:t>
      </w:r>
      <w:r w:rsidR="00D83969" w:rsidRPr="008C01A6">
        <w:t>10</w:t>
      </w:r>
      <w:r w:rsidR="00833071" w:rsidRPr="008C01A6">
        <w:t>;</w:t>
      </w:r>
    </w:p>
    <w:p w:rsidR="00B52105" w:rsidRPr="008C01A6" w:rsidRDefault="0065081C">
      <w:pPr>
        <w:pStyle w:val="Default"/>
        <w:numPr>
          <w:ilvl w:val="0"/>
          <w:numId w:val="7"/>
        </w:numPr>
      </w:pPr>
      <w:r w:rsidRPr="008C01A6">
        <w:t>Harris County continu</w:t>
      </w:r>
      <w:r w:rsidR="003B16D2" w:rsidRPr="008C01A6">
        <w:t>es</w:t>
      </w:r>
      <w:r w:rsidRPr="008C01A6">
        <w:t xml:space="preserve"> to use </w:t>
      </w:r>
      <w:r w:rsidR="008577E2" w:rsidRPr="008C01A6">
        <w:t xml:space="preserve">some of </w:t>
      </w:r>
      <w:r w:rsidRPr="008C01A6">
        <w:t>those polling places without providing temporary or permanent measures to correct</w:t>
      </w:r>
      <w:r w:rsidR="003B16D2" w:rsidRPr="008C01A6">
        <w:t xml:space="preserve"> their inaccessibility</w:t>
      </w:r>
      <w:r w:rsidRPr="008C01A6">
        <w:t>, ¶ 12</w:t>
      </w:r>
      <w:r w:rsidR="00175172" w:rsidRPr="008C01A6">
        <w:t xml:space="preserve">. </w:t>
      </w:r>
    </w:p>
    <w:p w:rsidR="00B52105" w:rsidRPr="008C01A6" w:rsidRDefault="00833071">
      <w:pPr>
        <w:widowControl w:val="0"/>
        <w:autoSpaceDE w:val="0"/>
        <w:autoSpaceDN w:val="0"/>
        <w:adjustRightInd w:val="0"/>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r>
    </w:p>
    <w:p w:rsidR="00B52105" w:rsidRPr="008C01A6" w:rsidRDefault="007A4BDE">
      <w:pPr>
        <w:widowControl w:val="0"/>
        <w:autoSpaceDE w:val="0"/>
        <w:autoSpaceDN w:val="0"/>
        <w:adjustRightInd w:val="0"/>
        <w:spacing w:line="480" w:lineRule="auto"/>
        <w:rPr>
          <w:rFonts w:ascii="Times New Roman" w:eastAsia="Calibri" w:hAnsi="Times New Roman" w:cs="Times New Roman"/>
          <w:i/>
          <w:color w:val="000000"/>
          <w:sz w:val="24"/>
          <w:szCs w:val="24"/>
        </w:rPr>
      </w:pPr>
      <w:r w:rsidRPr="008C01A6">
        <w:rPr>
          <w:rFonts w:ascii="Times New Roman" w:eastAsia="Calibri" w:hAnsi="Times New Roman" w:cs="Times New Roman"/>
          <w:color w:val="000000"/>
          <w:sz w:val="24"/>
          <w:szCs w:val="24"/>
        </w:rPr>
        <w:tab/>
      </w:r>
      <w:r w:rsidR="00833071" w:rsidRPr="008C01A6">
        <w:rPr>
          <w:rFonts w:ascii="Times New Roman" w:eastAsia="Calibri" w:hAnsi="Times New Roman" w:cs="Times New Roman"/>
          <w:color w:val="000000"/>
          <w:sz w:val="24"/>
          <w:szCs w:val="24"/>
        </w:rPr>
        <w:t xml:space="preserve">Harris County </w:t>
      </w:r>
      <w:r w:rsidR="00C93E4D" w:rsidRPr="008C01A6">
        <w:rPr>
          <w:rFonts w:ascii="Times New Roman" w:eastAsia="Calibri" w:hAnsi="Times New Roman" w:cs="Times New Roman"/>
          <w:color w:val="000000"/>
          <w:sz w:val="24"/>
          <w:szCs w:val="24"/>
        </w:rPr>
        <w:tab/>
      </w:r>
      <w:r w:rsidR="00833071" w:rsidRPr="008C01A6">
        <w:rPr>
          <w:rFonts w:ascii="Times New Roman" w:eastAsia="Calibri" w:hAnsi="Times New Roman" w:cs="Times New Roman"/>
          <w:color w:val="000000"/>
          <w:sz w:val="24"/>
          <w:szCs w:val="24"/>
        </w:rPr>
        <w:t>inexplicably labels these allegations “</w:t>
      </w:r>
      <w:proofErr w:type="spellStart"/>
      <w:r w:rsidR="00833071" w:rsidRPr="008C01A6">
        <w:rPr>
          <w:rFonts w:ascii="Times New Roman" w:eastAsia="Calibri" w:hAnsi="Times New Roman" w:cs="Times New Roman"/>
          <w:color w:val="000000"/>
          <w:sz w:val="24"/>
          <w:szCs w:val="24"/>
        </w:rPr>
        <w:t>conclusory</w:t>
      </w:r>
      <w:proofErr w:type="spellEnd"/>
      <w:r w:rsidR="00833071" w:rsidRPr="008C01A6">
        <w:rPr>
          <w:rFonts w:ascii="Times New Roman" w:eastAsia="Calibri" w:hAnsi="Times New Roman" w:cs="Times New Roman"/>
          <w:color w:val="000000"/>
          <w:sz w:val="24"/>
          <w:szCs w:val="24"/>
        </w:rPr>
        <w:t>,” MTD at 10, but they are quite specific</w:t>
      </w:r>
      <w:r w:rsidR="00A56243" w:rsidRPr="008C01A6">
        <w:rPr>
          <w:rFonts w:ascii="Times New Roman" w:eastAsia="Calibri" w:hAnsi="Times New Roman" w:cs="Times New Roman"/>
          <w:color w:val="000000"/>
          <w:sz w:val="24"/>
          <w:szCs w:val="24"/>
        </w:rPr>
        <w:t xml:space="preserve">, and they contain all the material Harris County needs to understand and defend against the United States’ claim. </w:t>
      </w:r>
      <w:r w:rsidR="00833071" w:rsidRPr="008C01A6">
        <w:rPr>
          <w:rFonts w:ascii="Times New Roman" w:eastAsia="Calibri" w:hAnsi="Times New Roman" w:cs="Times New Roman"/>
          <w:i/>
          <w:color w:val="000000"/>
          <w:sz w:val="24"/>
          <w:szCs w:val="24"/>
        </w:rPr>
        <w:t xml:space="preserve">See </w:t>
      </w:r>
      <w:proofErr w:type="spellStart"/>
      <w:r w:rsidR="00833071" w:rsidRPr="008C01A6">
        <w:rPr>
          <w:rFonts w:ascii="Times New Roman" w:eastAsia="Calibri" w:hAnsi="Times New Roman" w:cs="Times New Roman"/>
          <w:i/>
          <w:iCs/>
          <w:color w:val="000000"/>
          <w:sz w:val="24"/>
          <w:szCs w:val="24"/>
        </w:rPr>
        <w:t>Twombly</w:t>
      </w:r>
      <w:proofErr w:type="spellEnd"/>
      <w:r w:rsidR="00833071" w:rsidRPr="008C01A6">
        <w:rPr>
          <w:rFonts w:ascii="Times New Roman" w:eastAsia="Calibri" w:hAnsi="Times New Roman" w:cs="Times New Roman"/>
          <w:i/>
          <w:iCs/>
          <w:color w:val="000000"/>
          <w:sz w:val="24"/>
          <w:szCs w:val="24"/>
        </w:rPr>
        <w:t>,</w:t>
      </w:r>
      <w:r w:rsidR="00833071" w:rsidRPr="008C01A6">
        <w:rPr>
          <w:rFonts w:ascii="Times New Roman" w:eastAsia="Calibri" w:hAnsi="Times New Roman" w:cs="Times New Roman"/>
          <w:color w:val="000000"/>
          <w:sz w:val="24"/>
          <w:szCs w:val="24"/>
        </w:rPr>
        <w:t xml:space="preserve"> 550 U.S. at 555.</w:t>
      </w:r>
    </w:p>
    <w:p w:rsidR="00B52105" w:rsidRPr="008C01A6" w:rsidRDefault="00833071">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t xml:space="preserve">Harris County also complains that the </w:t>
      </w:r>
      <w:r w:rsidR="003B16D2" w:rsidRPr="008C01A6">
        <w:rPr>
          <w:rFonts w:ascii="Times New Roman" w:eastAsia="Calibri" w:hAnsi="Times New Roman" w:cs="Times New Roman"/>
          <w:color w:val="000000"/>
          <w:sz w:val="24"/>
          <w:szCs w:val="24"/>
        </w:rPr>
        <w:t>C</w:t>
      </w:r>
      <w:r w:rsidRPr="008C01A6">
        <w:rPr>
          <w:rFonts w:ascii="Times New Roman" w:eastAsia="Calibri" w:hAnsi="Times New Roman" w:cs="Times New Roman"/>
          <w:color w:val="000000"/>
          <w:sz w:val="24"/>
          <w:szCs w:val="24"/>
        </w:rPr>
        <w:t>omplaint does not identify individual voters who were affected</w:t>
      </w:r>
      <w:r w:rsidR="00175172" w:rsidRPr="008C01A6">
        <w:rPr>
          <w:rFonts w:ascii="Times New Roman" w:eastAsia="Calibri" w:hAnsi="Times New Roman" w:cs="Times New Roman"/>
          <w:color w:val="000000"/>
          <w:sz w:val="24"/>
          <w:szCs w:val="24"/>
        </w:rPr>
        <w:t xml:space="preserve">. </w:t>
      </w:r>
      <w:r w:rsidRPr="008C01A6">
        <w:rPr>
          <w:rFonts w:ascii="Times New Roman" w:eastAsia="Calibri" w:hAnsi="Times New Roman" w:cs="Times New Roman"/>
          <w:color w:val="000000"/>
          <w:sz w:val="24"/>
          <w:szCs w:val="24"/>
        </w:rPr>
        <w:t>But</w:t>
      </w:r>
      <w:r w:rsidR="001012FA" w:rsidRPr="008C01A6">
        <w:rPr>
          <w:rFonts w:ascii="Times New Roman" w:eastAsia="Calibri" w:hAnsi="Times New Roman" w:cs="Times New Roman"/>
          <w:color w:val="000000"/>
          <w:sz w:val="24"/>
          <w:szCs w:val="24"/>
        </w:rPr>
        <w:t xml:space="preserve"> it need not do so</w:t>
      </w:r>
      <w:r w:rsidR="009E3E91" w:rsidRPr="008C01A6">
        <w:rPr>
          <w:rFonts w:ascii="Times New Roman" w:eastAsia="Calibri" w:hAnsi="Times New Roman" w:cs="Times New Roman"/>
          <w:color w:val="000000"/>
          <w:sz w:val="24"/>
          <w:szCs w:val="24"/>
        </w:rPr>
        <w:t xml:space="preserve">. </w:t>
      </w:r>
      <w:r w:rsidR="001012FA" w:rsidRPr="008C01A6">
        <w:rPr>
          <w:rFonts w:ascii="Times New Roman" w:eastAsia="Calibri" w:hAnsi="Times New Roman" w:cs="Times New Roman"/>
          <w:color w:val="000000"/>
          <w:sz w:val="24"/>
          <w:szCs w:val="24"/>
        </w:rPr>
        <w:t>A</w:t>
      </w:r>
      <w:r w:rsidRPr="008C01A6">
        <w:rPr>
          <w:rFonts w:ascii="Times New Roman" w:eastAsia="Calibri" w:hAnsi="Times New Roman" w:cs="Times New Roman"/>
          <w:color w:val="000000"/>
          <w:sz w:val="24"/>
          <w:szCs w:val="24"/>
        </w:rPr>
        <w:t>s another court found in a similar case, where the large ma</w:t>
      </w:r>
      <w:r w:rsidR="003B16D2" w:rsidRPr="008C01A6">
        <w:rPr>
          <w:rFonts w:ascii="Times New Roman" w:eastAsia="Calibri" w:hAnsi="Times New Roman" w:cs="Times New Roman"/>
          <w:color w:val="000000"/>
          <w:sz w:val="24"/>
          <w:szCs w:val="24"/>
        </w:rPr>
        <w:t>jority of polling sites contain</w:t>
      </w:r>
      <w:r w:rsidRPr="008C01A6">
        <w:rPr>
          <w:rFonts w:ascii="Times New Roman" w:eastAsia="Calibri" w:hAnsi="Times New Roman" w:cs="Times New Roman"/>
          <w:color w:val="000000"/>
          <w:sz w:val="24"/>
          <w:szCs w:val="24"/>
        </w:rPr>
        <w:t xml:space="preserve"> acce</w:t>
      </w:r>
      <w:r w:rsidR="007A4BDE" w:rsidRPr="008C01A6">
        <w:rPr>
          <w:rFonts w:ascii="Times New Roman" w:eastAsia="Calibri" w:hAnsi="Times New Roman" w:cs="Times New Roman"/>
          <w:color w:val="000000"/>
          <w:sz w:val="24"/>
          <w:szCs w:val="24"/>
        </w:rPr>
        <w:t>ssibility barriers, and where many county residents have mobility disabilities, “</w:t>
      </w:r>
      <w:r w:rsidRPr="008C01A6">
        <w:rPr>
          <w:rFonts w:ascii="Times New Roman" w:eastAsia="Calibri" w:hAnsi="Times New Roman" w:cs="Times New Roman"/>
          <w:color w:val="000000"/>
          <w:sz w:val="24"/>
          <w:szCs w:val="24"/>
        </w:rPr>
        <w:t>it is not too remote an extrapolation to determine tha</w:t>
      </w:r>
      <w:r w:rsidR="007A4BDE" w:rsidRPr="008C01A6">
        <w:rPr>
          <w:rFonts w:ascii="Times New Roman" w:eastAsia="Calibri" w:hAnsi="Times New Roman" w:cs="Times New Roman"/>
          <w:color w:val="000000"/>
          <w:sz w:val="24"/>
          <w:szCs w:val="24"/>
        </w:rPr>
        <w:t>t a sizeable portion of [the]</w:t>
      </w:r>
      <w:r w:rsidRPr="008C01A6">
        <w:rPr>
          <w:rFonts w:ascii="Times New Roman" w:eastAsia="Calibri" w:hAnsi="Times New Roman" w:cs="Times New Roman"/>
          <w:color w:val="000000"/>
          <w:sz w:val="24"/>
          <w:szCs w:val="24"/>
        </w:rPr>
        <w:t xml:space="preserve"> County’s voting program would be presented with unnecessary difficulties if the polling places they seek to use are truly inaccessible.</w:t>
      </w:r>
      <w:r w:rsidR="007A4BDE" w:rsidRPr="008C01A6">
        <w:rPr>
          <w:rFonts w:ascii="Times New Roman" w:eastAsia="Calibri" w:hAnsi="Times New Roman" w:cs="Times New Roman"/>
          <w:color w:val="000000"/>
          <w:sz w:val="24"/>
          <w:szCs w:val="24"/>
        </w:rPr>
        <w:t xml:space="preserve"> More simply put, </w:t>
      </w:r>
      <w:r w:rsidRPr="008C01A6">
        <w:rPr>
          <w:rFonts w:ascii="Times New Roman" w:eastAsia="Calibri" w:hAnsi="Times New Roman" w:cs="Times New Roman"/>
          <w:color w:val="000000"/>
          <w:sz w:val="24"/>
          <w:szCs w:val="24"/>
        </w:rPr>
        <w:t>these figures are too large to ignore, especially in light of the fact that the prospective harm is great</w:t>
      </w:r>
      <w:r w:rsidR="008F1E3D" w:rsidRPr="008C01A6">
        <w:rPr>
          <w:rFonts w:ascii="Times New Roman" w:eastAsia="Calibri" w:hAnsi="Times New Roman" w:cs="Times New Roman"/>
          <w:color w:val="000000"/>
          <w:sz w:val="24"/>
          <w:szCs w:val="24"/>
        </w:rPr>
        <w:t>.</w:t>
      </w:r>
      <w:r w:rsidR="00D51E91" w:rsidRPr="008C01A6">
        <w:rPr>
          <w:rFonts w:ascii="Times New Roman" w:eastAsia="Calibri" w:hAnsi="Times New Roman" w:cs="Times New Roman"/>
          <w:color w:val="000000"/>
          <w:sz w:val="24"/>
          <w:szCs w:val="24"/>
        </w:rPr>
        <w:t xml:space="preserve">” </w:t>
      </w:r>
      <w:proofErr w:type="gramStart"/>
      <w:r w:rsidR="007A4BDE" w:rsidRPr="008C01A6">
        <w:rPr>
          <w:rFonts w:ascii="Times New Roman" w:eastAsia="Calibri" w:hAnsi="Times New Roman" w:cs="Times New Roman"/>
          <w:i/>
          <w:color w:val="000000"/>
          <w:sz w:val="24"/>
          <w:szCs w:val="24"/>
        </w:rPr>
        <w:t xml:space="preserve">People of New York ex rel. Spitzer v. </w:t>
      </w:r>
      <w:proofErr w:type="spellStart"/>
      <w:r w:rsidR="007A4BDE" w:rsidRPr="008C01A6">
        <w:rPr>
          <w:rFonts w:ascii="Times New Roman" w:eastAsia="Calibri" w:hAnsi="Times New Roman" w:cs="Times New Roman"/>
          <w:i/>
          <w:color w:val="000000"/>
          <w:sz w:val="24"/>
          <w:szCs w:val="24"/>
        </w:rPr>
        <w:t>Cty</w:t>
      </w:r>
      <w:proofErr w:type="spellEnd"/>
      <w:r w:rsidR="007A4BDE" w:rsidRPr="008C01A6">
        <w:rPr>
          <w:rFonts w:ascii="Times New Roman" w:eastAsia="Calibri" w:hAnsi="Times New Roman" w:cs="Times New Roman"/>
          <w:i/>
          <w:color w:val="000000"/>
          <w:sz w:val="24"/>
          <w:szCs w:val="24"/>
        </w:rPr>
        <w:t>.</w:t>
      </w:r>
      <w:proofErr w:type="gramEnd"/>
      <w:r w:rsidR="007A4BDE" w:rsidRPr="008C01A6">
        <w:rPr>
          <w:rFonts w:ascii="Times New Roman" w:eastAsia="Calibri" w:hAnsi="Times New Roman" w:cs="Times New Roman"/>
          <w:i/>
          <w:color w:val="000000"/>
          <w:sz w:val="24"/>
          <w:szCs w:val="24"/>
        </w:rPr>
        <w:t xml:space="preserve"> </w:t>
      </w:r>
      <w:proofErr w:type="gramStart"/>
      <w:r w:rsidR="007A4BDE" w:rsidRPr="008C01A6">
        <w:rPr>
          <w:rFonts w:ascii="Times New Roman" w:eastAsia="Calibri" w:hAnsi="Times New Roman" w:cs="Times New Roman"/>
          <w:i/>
          <w:color w:val="000000"/>
          <w:sz w:val="24"/>
          <w:szCs w:val="24"/>
        </w:rPr>
        <w:t>of</w:t>
      </w:r>
      <w:proofErr w:type="gramEnd"/>
      <w:r w:rsidR="007A4BDE" w:rsidRPr="008C01A6">
        <w:rPr>
          <w:rFonts w:ascii="Times New Roman" w:eastAsia="Calibri" w:hAnsi="Times New Roman" w:cs="Times New Roman"/>
          <w:i/>
          <w:color w:val="000000"/>
          <w:sz w:val="24"/>
          <w:szCs w:val="24"/>
        </w:rPr>
        <w:t xml:space="preserve"> Delaware</w:t>
      </w:r>
      <w:r w:rsidR="007A4BDE" w:rsidRPr="008C01A6">
        <w:rPr>
          <w:rFonts w:ascii="Times New Roman" w:eastAsia="Calibri" w:hAnsi="Times New Roman" w:cs="Times New Roman"/>
          <w:color w:val="000000"/>
          <w:sz w:val="24"/>
          <w:szCs w:val="24"/>
        </w:rPr>
        <w:t>, 82 F. Supp. 2d 12, 13 (N.D.N.Y. 2000)</w:t>
      </w:r>
      <w:r w:rsidR="00175172" w:rsidRPr="008C01A6">
        <w:rPr>
          <w:rFonts w:ascii="Times New Roman" w:eastAsia="Calibri" w:hAnsi="Times New Roman" w:cs="Times New Roman"/>
          <w:color w:val="000000"/>
          <w:sz w:val="24"/>
          <w:szCs w:val="24"/>
        </w:rPr>
        <w:t xml:space="preserve">. </w:t>
      </w:r>
    </w:p>
    <w:p w:rsidR="00B52105" w:rsidRPr="008C01A6" w:rsidRDefault="00FA32F7">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r>
      <w:r w:rsidR="007A4BDE" w:rsidRPr="008C01A6">
        <w:rPr>
          <w:rFonts w:ascii="Times New Roman" w:eastAsia="Calibri" w:hAnsi="Times New Roman" w:cs="Times New Roman"/>
          <w:color w:val="000000"/>
          <w:sz w:val="24"/>
          <w:szCs w:val="24"/>
        </w:rPr>
        <w:t>The same is true here</w:t>
      </w:r>
      <w:r w:rsidR="00175172" w:rsidRPr="008C01A6">
        <w:rPr>
          <w:rFonts w:ascii="Times New Roman" w:eastAsia="Calibri" w:hAnsi="Times New Roman" w:cs="Times New Roman"/>
          <w:color w:val="000000"/>
          <w:sz w:val="24"/>
          <w:szCs w:val="24"/>
        </w:rPr>
        <w:t xml:space="preserve">. </w:t>
      </w:r>
      <w:r w:rsidR="007A4BDE" w:rsidRPr="008C01A6">
        <w:rPr>
          <w:rFonts w:ascii="Times New Roman" w:eastAsia="Calibri" w:hAnsi="Times New Roman" w:cs="Times New Roman"/>
          <w:color w:val="000000"/>
          <w:sz w:val="24"/>
          <w:szCs w:val="24"/>
        </w:rPr>
        <w:t xml:space="preserve">In the United States’ survey, two-thirds of polling places were inaccessible; according to census data, Harris County has </w:t>
      </w:r>
      <w:r w:rsidR="000B0675" w:rsidRPr="008C01A6">
        <w:rPr>
          <w:rFonts w:ascii="Times New Roman" w:eastAsia="Calibri" w:hAnsi="Times New Roman" w:cs="Times New Roman"/>
          <w:color w:val="000000"/>
          <w:sz w:val="24"/>
          <w:szCs w:val="24"/>
        </w:rPr>
        <w:t xml:space="preserve">204,430 </w:t>
      </w:r>
      <w:r w:rsidR="007A4BDE" w:rsidRPr="008C01A6">
        <w:rPr>
          <w:rFonts w:ascii="Times New Roman" w:eastAsia="Calibri" w:hAnsi="Times New Roman" w:cs="Times New Roman"/>
          <w:color w:val="000000"/>
          <w:sz w:val="24"/>
          <w:szCs w:val="24"/>
        </w:rPr>
        <w:t>residents with</w:t>
      </w:r>
      <w:r w:rsidR="008577E2" w:rsidRPr="008C01A6">
        <w:rPr>
          <w:rFonts w:ascii="Times New Roman" w:eastAsia="Calibri" w:hAnsi="Times New Roman" w:cs="Times New Roman"/>
          <w:color w:val="000000"/>
          <w:sz w:val="24"/>
          <w:szCs w:val="24"/>
        </w:rPr>
        <w:t xml:space="preserve"> an</w:t>
      </w:r>
      <w:r w:rsidR="007A4BDE" w:rsidRPr="008C01A6">
        <w:rPr>
          <w:rFonts w:ascii="Times New Roman" w:eastAsia="Calibri" w:hAnsi="Times New Roman" w:cs="Times New Roman"/>
          <w:color w:val="000000"/>
          <w:sz w:val="24"/>
          <w:szCs w:val="24"/>
        </w:rPr>
        <w:t xml:space="preserve"> ambulatory disability</w:t>
      </w:r>
      <w:r w:rsidR="00175172" w:rsidRPr="008C01A6">
        <w:rPr>
          <w:rFonts w:ascii="Times New Roman" w:eastAsia="Calibri" w:hAnsi="Times New Roman" w:cs="Times New Roman"/>
          <w:color w:val="000000"/>
          <w:sz w:val="24"/>
          <w:szCs w:val="24"/>
        </w:rPr>
        <w:t xml:space="preserve">. </w:t>
      </w:r>
      <w:r w:rsidR="0098454B" w:rsidRPr="008C01A6">
        <w:rPr>
          <w:rFonts w:ascii="Times New Roman" w:eastAsia="Calibri" w:hAnsi="Times New Roman" w:cs="Times New Roman"/>
          <w:color w:val="000000"/>
          <w:sz w:val="24"/>
          <w:szCs w:val="24"/>
        </w:rPr>
        <w:t>Title II of the ADA protects a voter’s ability to vote in their local polling place with their neighbors</w:t>
      </w:r>
      <w:r w:rsidR="00175172" w:rsidRPr="008C01A6">
        <w:rPr>
          <w:rFonts w:ascii="Times New Roman" w:eastAsia="Calibri" w:hAnsi="Times New Roman" w:cs="Times New Roman"/>
          <w:color w:val="000000"/>
          <w:sz w:val="24"/>
          <w:szCs w:val="24"/>
        </w:rPr>
        <w:t xml:space="preserve">. </w:t>
      </w:r>
      <w:r w:rsidR="00CC0918" w:rsidRPr="008C01A6">
        <w:rPr>
          <w:rFonts w:ascii="Times New Roman" w:eastAsia="Calibri" w:hAnsi="Times New Roman" w:cs="Times New Roman"/>
          <w:i/>
          <w:color w:val="000000"/>
          <w:sz w:val="24"/>
          <w:szCs w:val="24"/>
        </w:rPr>
        <w:t xml:space="preserve">See </w:t>
      </w:r>
      <w:r w:rsidR="00D83969" w:rsidRPr="008C01A6">
        <w:rPr>
          <w:rFonts w:ascii="Times New Roman" w:eastAsia="Calibri" w:hAnsi="Times New Roman" w:cs="Times New Roman"/>
          <w:i/>
          <w:color w:val="000000"/>
          <w:sz w:val="24"/>
          <w:szCs w:val="24"/>
        </w:rPr>
        <w:t xml:space="preserve">Kerrigan v. </w:t>
      </w:r>
      <w:proofErr w:type="spellStart"/>
      <w:r w:rsidR="00D83969" w:rsidRPr="008C01A6">
        <w:rPr>
          <w:rFonts w:ascii="Times New Roman" w:eastAsia="Calibri" w:hAnsi="Times New Roman" w:cs="Times New Roman"/>
          <w:i/>
          <w:color w:val="000000"/>
          <w:sz w:val="24"/>
          <w:szCs w:val="24"/>
        </w:rPr>
        <w:t>Phila</w:t>
      </w:r>
      <w:proofErr w:type="spellEnd"/>
      <w:r w:rsidR="00711D45" w:rsidRPr="008C01A6">
        <w:rPr>
          <w:rFonts w:ascii="Times New Roman" w:eastAsia="Calibri" w:hAnsi="Times New Roman" w:cs="Times New Roman"/>
          <w:i/>
          <w:color w:val="000000"/>
          <w:sz w:val="24"/>
          <w:szCs w:val="24"/>
        </w:rPr>
        <w:t>.</w:t>
      </w:r>
      <w:r w:rsidR="00D83969" w:rsidRPr="008C01A6">
        <w:rPr>
          <w:rFonts w:ascii="Times New Roman" w:eastAsia="Calibri" w:hAnsi="Times New Roman" w:cs="Times New Roman"/>
          <w:i/>
          <w:color w:val="000000"/>
          <w:sz w:val="24"/>
          <w:szCs w:val="24"/>
        </w:rPr>
        <w:t xml:space="preserve"> Bd. of Election</w:t>
      </w:r>
      <w:r w:rsidR="00D83969" w:rsidRPr="008C01A6">
        <w:rPr>
          <w:rFonts w:ascii="Times New Roman" w:eastAsia="Calibri" w:hAnsi="Times New Roman" w:cs="Times New Roman"/>
          <w:color w:val="000000"/>
          <w:sz w:val="24"/>
          <w:szCs w:val="24"/>
        </w:rPr>
        <w:t>, No. 07-</w:t>
      </w:r>
      <w:r w:rsidR="00711D45" w:rsidRPr="008C01A6">
        <w:rPr>
          <w:rFonts w:ascii="Times New Roman" w:eastAsia="Calibri" w:hAnsi="Times New Roman" w:cs="Times New Roman"/>
          <w:color w:val="000000"/>
          <w:sz w:val="24"/>
          <w:szCs w:val="24"/>
        </w:rPr>
        <w:t>cv-</w:t>
      </w:r>
      <w:r w:rsidR="00D83969" w:rsidRPr="008C01A6">
        <w:rPr>
          <w:rFonts w:ascii="Times New Roman" w:eastAsia="Calibri" w:hAnsi="Times New Roman" w:cs="Times New Roman"/>
          <w:color w:val="000000"/>
          <w:sz w:val="24"/>
          <w:szCs w:val="24"/>
        </w:rPr>
        <w:t>687, 2008 WL 3562521, at *17 (E.D. Pa. Aug. 14, 2008) (“the program of voting includes the opportunity to vote in one</w:t>
      </w:r>
      <w:r w:rsidR="003B16D2" w:rsidRPr="008C01A6">
        <w:rPr>
          <w:rFonts w:ascii="Times New Roman" w:eastAsia="Calibri" w:hAnsi="Times New Roman" w:cs="Times New Roman"/>
          <w:color w:val="000000"/>
          <w:sz w:val="24"/>
          <w:szCs w:val="24"/>
        </w:rPr>
        <w:t>’s</w:t>
      </w:r>
      <w:r w:rsidR="00D83969" w:rsidRPr="008C01A6">
        <w:rPr>
          <w:rFonts w:ascii="Times New Roman" w:eastAsia="Calibri" w:hAnsi="Times New Roman" w:cs="Times New Roman"/>
          <w:color w:val="000000"/>
          <w:sz w:val="24"/>
          <w:szCs w:val="24"/>
        </w:rPr>
        <w:t xml:space="preserve"> local, assigned, polling place, where the voter can take advantage of the opportunities to meet election judges, see their neighbors, and obtain information fr</w:t>
      </w:r>
      <w:r w:rsidR="003B16D2" w:rsidRPr="008C01A6">
        <w:rPr>
          <w:rFonts w:ascii="Times New Roman" w:eastAsia="Calibri" w:hAnsi="Times New Roman" w:cs="Times New Roman"/>
          <w:color w:val="000000"/>
          <w:sz w:val="24"/>
          <w:szCs w:val="24"/>
        </w:rPr>
        <w:t>om candidates’</w:t>
      </w:r>
      <w:r w:rsidR="00D83969" w:rsidRPr="008C01A6">
        <w:rPr>
          <w:rFonts w:ascii="Times New Roman" w:eastAsia="Calibri" w:hAnsi="Times New Roman" w:cs="Times New Roman"/>
          <w:color w:val="000000"/>
          <w:sz w:val="24"/>
          <w:szCs w:val="24"/>
        </w:rPr>
        <w:t xml:space="preserve"> representatives”)</w:t>
      </w:r>
      <w:r w:rsidR="00175172" w:rsidRPr="008C01A6">
        <w:rPr>
          <w:rFonts w:ascii="Times New Roman" w:eastAsia="Calibri" w:hAnsi="Times New Roman" w:cs="Times New Roman"/>
          <w:color w:val="000000"/>
          <w:sz w:val="24"/>
          <w:szCs w:val="24"/>
        </w:rPr>
        <w:t xml:space="preserve">. </w:t>
      </w:r>
      <w:r w:rsidR="0098454B" w:rsidRPr="008C01A6">
        <w:rPr>
          <w:rFonts w:ascii="Times New Roman" w:eastAsia="Calibri" w:hAnsi="Times New Roman" w:cs="Times New Roman"/>
          <w:color w:val="000000"/>
          <w:sz w:val="24"/>
          <w:szCs w:val="24"/>
        </w:rPr>
        <w:t>Moreover, being deterred from attempting to vote (for instance, because the voter knows that the large majority of Houston’s polling places are inaccessible)</w:t>
      </w:r>
      <w:r w:rsidRPr="008C01A6">
        <w:rPr>
          <w:rFonts w:ascii="Times New Roman" w:eastAsia="Calibri" w:hAnsi="Times New Roman" w:cs="Times New Roman"/>
          <w:color w:val="000000"/>
          <w:sz w:val="24"/>
          <w:szCs w:val="24"/>
        </w:rPr>
        <w:t xml:space="preserve"> is</w:t>
      </w:r>
      <w:r w:rsidR="0098454B" w:rsidRPr="008C01A6">
        <w:rPr>
          <w:rFonts w:ascii="Times New Roman" w:eastAsia="Calibri" w:hAnsi="Times New Roman" w:cs="Times New Roman"/>
          <w:color w:val="000000"/>
          <w:sz w:val="24"/>
          <w:szCs w:val="24"/>
        </w:rPr>
        <w:t xml:space="preserve"> itself</w:t>
      </w:r>
      <w:r w:rsidRPr="008C01A6">
        <w:rPr>
          <w:rFonts w:ascii="Times New Roman" w:eastAsia="Calibri" w:hAnsi="Times New Roman" w:cs="Times New Roman"/>
          <w:color w:val="000000"/>
          <w:sz w:val="24"/>
          <w:szCs w:val="24"/>
        </w:rPr>
        <w:t xml:space="preserve"> an injury</w:t>
      </w:r>
      <w:r w:rsidR="0098454B" w:rsidRPr="008C01A6">
        <w:rPr>
          <w:rFonts w:ascii="Times New Roman" w:eastAsia="Calibri" w:hAnsi="Times New Roman" w:cs="Times New Roman"/>
          <w:color w:val="000000"/>
          <w:sz w:val="24"/>
          <w:szCs w:val="24"/>
        </w:rPr>
        <w:t xml:space="preserve"> under the ADA</w:t>
      </w:r>
      <w:r w:rsidR="00175172" w:rsidRPr="008C01A6">
        <w:rPr>
          <w:rFonts w:ascii="Times New Roman" w:eastAsia="Calibri" w:hAnsi="Times New Roman" w:cs="Times New Roman"/>
          <w:color w:val="000000"/>
          <w:sz w:val="24"/>
          <w:szCs w:val="24"/>
        </w:rPr>
        <w:t xml:space="preserve">. </w:t>
      </w:r>
      <w:r w:rsidR="00D83969" w:rsidRPr="008C01A6">
        <w:rPr>
          <w:rFonts w:ascii="Times New Roman" w:eastAsia="Calibri" w:hAnsi="Times New Roman" w:cs="Times New Roman"/>
          <w:i/>
          <w:color w:val="000000"/>
          <w:sz w:val="24"/>
          <w:szCs w:val="24"/>
        </w:rPr>
        <w:t xml:space="preserve">Disabled in Action v. Bd. of Elections in </w:t>
      </w:r>
      <w:r w:rsidR="00711D45" w:rsidRPr="008C01A6">
        <w:rPr>
          <w:rFonts w:ascii="Times New Roman" w:eastAsia="Calibri" w:hAnsi="Times New Roman" w:cs="Times New Roman"/>
          <w:i/>
          <w:color w:val="000000"/>
          <w:sz w:val="24"/>
          <w:szCs w:val="24"/>
        </w:rPr>
        <w:t>N.Y.</w:t>
      </w:r>
      <w:r w:rsidR="00D83969" w:rsidRPr="008C01A6">
        <w:rPr>
          <w:rFonts w:ascii="Times New Roman" w:eastAsia="Calibri" w:hAnsi="Times New Roman" w:cs="Times New Roman"/>
          <w:color w:val="000000"/>
          <w:sz w:val="24"/>
          <w:szCs w:val="24"/>
        </w:rPr>
        <w:t>, 752 F.3d 189, 200 (2d Cir. 2014)</w:t>
      </w:r>
      <w:r w:rsidR="00190763" w:rsidRPr="008C01A6">
        <w:rPr>
          <w:rFonts w:ascii="Times New Roman" w:eastAsia="Calibri" w:hAnsi="Times New Roman" w:cs="Times New Roman"/>
          <w:color w:val="000000"/>
          <w:sz w:val="24"/>
          <w:szCs w:val="24"/>
        </w:rPr>
        <w:t xml:space="preserve">; </w:t>
      </w:r>
      <w:r w:rsidR="00190763" w:rsidRPr="008C01A6">
        <w:rPr>
          <w:rFonts w:ascii="Times New Roman" w:eastAsia="Calibri" w:hAnsi="Times New Roman" w:cs="Times New Roman"/>
          <w:i/>
          <w:color w:val="000000"/>
          <w:sz w:val="24"/>
          <w:szCs w:val="24"/>
        </w:rPr>
        <w:t xml:space="preserve">see also Westchester Disabled On the Move, Inc. v. </w:t>
      </w:r>
      <w:proofErr w:type="spellStart"/>
      <w:r w:rsidR="00190763" w:rsidRPr="008C01A6">
        <w:rPr>
          <w:rFonts w:ascii="Times New Roman" w:eastAsia="Calibri" w:hAnsi="Times New Roman" w:cs="Times New Roman"/>
          <w:i/>
          <w:color w:val="000000"/>
          <w:sz w:val="24"/>
          <w:szCs w:val="24"/>
        </w:rPr>
        <w:t>Cty</w:t>
      </w:r>
      <w:proofErr w:type="spellEnd"/>
      <w:r w:rsidR="00190763" w:rsidRPr="008C01A6">
        <w:rPr>
          <w:rFonts w:ascii="Times New Roman" w:eastAsia="Calibri" w:hAnsi="Times New Roman" w:cs="Times New Roman"/>
          <w:i/>
          <w:color w:val="000000"/>
          <w:sz w:val="24"/>
          <w:szCs w:val="24"/>
        </w:rPr>
        <w:t>. of Westchester</w:t>
      </w:r>
      <w:r w:rsidR="00190763" w:rsidRPr="008C01A6">
        <w:rPr>
          <w:rFonts w:ascii="Times New Roman" w:eastAsia="Calibri" w:hAnsi="Times New Roman" w:cs="Times New Roman"/>
          <w:color w:val="000000"/>
          <w:sz w:val="24"/>
          <w:szCs w:val="24"/>
        </w:rPr>
        <w:t>, 346 F. Supp. 2d 473, 477 (S.D.N.Y. 2004)  (“Disabled voters may not know before leaving home to vote which alternative locations would actually be accessible to voters w</w:t>
      </w:r>
      <w:r w:rsidR="003B16D2" w:rsidRPr="008C01A6">
        <w:rPr>
          <w:rFonts w:ascii="Times New Roman" w:eastAsia="Calibri" w:hAnsi="Times New Roman" w:cs="Times New Roman"/>
          <w:color w:val="000000"/>
          <w:sz w:val="24"/>
          <w:szCs w:val="24"/>
        </w:rPr>
        <w:t>ith their specific disabilities</w:t>
      </w:r>
      <w:r w:rsidR="00190763" w:rsidRPr="008C01A6">
        <w:rPr>
          <w:rFonts w:ascii="Times New Roman" w:eastAsia="Calibri" w:hAnsi="Times New Roman" w:cs="Times New Roman"/>
          <w:color w:val="000000"/>
          <w:sz w:val="24"/>
          <w:szCs w:val="24"/>
        </w:rPr>
        <w:t xml:space="preserve"> and, faced with the prospect of finding themselves at an inaccessible voting booth, may be dissuaded from attempting to vote at all.”)</w:t>
      </w:r>
      <w:r w:rsidR="00920628">
        <w:rPr>
          <w:rFonts w:ascii="Times New Roman" w:eastAsia="Calibri" w:hAnsi="Times New Roman" w:cs="Times New Roman"/>
          <w:color w:val="000000"/>
          <w:sz w:val="24"/>
          <w:szCs w:val="24"/>
        </w:rPr>
        <w:t>.</w:t>
      </w:r>
      <w:r w:rsidR="00190763" w:rsidRPr="008C01A6">
        <w:rPr>
          <w:rFonts w:ascii="Times New Roman" w:eastAsia="Calibri" w:hAnsi="Times New Roman" w:cs="Times New Roman"/>
          <w:color w:val="000000"/>
          <w:sz w:val="24"/>
          <w:szCs w:val="24"/>
        </w:rPr>
        <w:t xml:space="preserve">  </w:t>
      </w:r>
    </w:p>
    <w:p w:rsidR="00B52105" w:rsidRPr="008C01A6" w:rsidRDefault="00190763">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r>
      <w:r w:rsidR="00FA32F7" w:rsidRPr="008C01A6">
        <w:rPr>
          <w:rFonts w:ascii="Times New Roman" w:eastAsia="Calibri" w:hAnsi="Times New Roman" w:cs="Times New Roman"/>
          <w:color w:val="000000"/>
          <w:sz w:val="24"/>
          <w:szCs w:val="24"/>
        </w:rPr>
        <w:t>Given the number of inaccessible polling places</w:t>
      </w:r>
      <w:r w:rsidR="00E01ED7" w:rsidRPr="008C01A6">
        <w:rPr>
          <w:rFonts w:ascii="Times New Roman" w:eastAsia="Calibri" w:hAnsi="Times New Roman" w:cs="Times New Roman"/>
          <w:color w:val="000000"/>
          <w:sz w:val="24"/>
          <w:szCs w:val="24"/>
        </w:rPr>
        <w:t xml:space="preserve"> in Harris County</w:t>
      </w:r>
      <w:r w:rsidR="00FA32F7" w:rsidRPr="008C01A6">
        <w:rPr>
          <w:rFonts w:ascii="Times New Roman" w:eastAsia="Calibri" w:hAnsi="Times New Roman" w:cs="Times New Roman"/>
          <w:color w:val="000000"/>
          <w:sz w:val="24"/>
          <w:szCs w:val="24"/>
        </w:rPr>
        <w:t xml:space="preserve"> and the number of voters with mobility disabilities, it is highly plausible that </w:t>
      </w:r>
      <w:r w:rsidR="0098454B" w:rsidRPr="008C01A6">
        <w:rPr>
          <w:rFonts w:ascii="Times New Roman" w:eastAsia="Calibri" w:hAnsi="Times New Roman" w:cs="Times New Roman"/>
          <w:color w:val="000000"/>
          <w:sz w:val="24"/>
          <w:szCs w:val="24"/>
        </w:rPr>
        <w:t xml:space="preserve">some </w:t>
      </w:r>
      <w:r w:rsidR="00FA32F7" w:rsidRPr="008C01A6">
        <w:rPr>
          <w:rFonts w:ascii="Times New Roman" w:eastAsia="Calibri" w:hAnsi="Times New Roman" w:cs="Times New Roman"/>
          <w:color w:val="000000"/>
          <w:sz w:val="24"/>
          <w:szCs w:val="24"/>
        </w:rPr>
        <w:t xml:space="preserve">voters </w:t>
      </w:r>
      <w:r w:rsidR="0098454B" w:rsidRPr="008C01A6">
        <w:rPr>
          <w:rFonts w:ascii="Times New Roman" w:eastAsia="Calibri" w:hAnsi="Times New Roman" w:cs="Times New Roman"/>
          <w:color w:val="000000"/>
          <w:sz w:val="24"/>
          <w:szCs w:val="24"/>
        </w:rPr>
        <w:t xml:space="preserve">with disabilities have been unable to vote at their local polling places </w:t>
      </w:r>
      <w:r w:rsidR="00E01ED7" w:rsidRPr="008C01A6">
        <w:rPr>
          <w:rFonts w:ascii="Times New Roman" w:eastAsia="Calibri" w:hAnsi="Times New Roman" w:cs="Times New Roman"/>
          <w:color w:val="000000"/>
          <w:sz w:val="24"/>
          <w:szCs w:val="24"/>
        </w:rPr>
        <w:t>or</w:t>
      </w:r>
      <w:r w:rsidR="0098454B" w:rsidRPr="008C01A6">
        <w:rPr>
          <w:rFonts w:ascii="Times New Roman" w:eastAsia="Calibri" w:hAnsi="Times New Roman" w:cs="Times New Roman"/>
          <w:color w:val="000000"/>
          <w:sz w:val="24"/>
          <w:szCs w:val="24"/>
        </w:rPr>
        <w:t xml:space="preserve"> have been deterred from attempting to do so</w:t>
      </w:r>
      <w:r w:rsidR="00175172" w:rsidRPr="008C01A6">
        <w:rPr>
          <w:rFonts w:ascii="Times New Roman" w:eastAsia="Calibri" w:hAnsi="Times New Roman" w:cs="Times New Roman"/>
          <w:color w:val="000000"/>
          <w:sz w:val="24"/>
          <w:szCs w:val="24"/>
        </w:rPr>
        <w:t>.</w:t>
      </w:r>
      <w:r w:rsidR="001012FA" w:rsidRPr="008C01A6">
        <w:rPr>
          <w:rStyle w:val="FootnoteReference"/>
          <w:rFonts w:ascii="Times New Roman" w:eastAsia="Calibri" w:hAnsi="Times New Roman" w:cs="Times New Roman"/>
          <w:color w:val="000000"/>
          <w:sz w:val="24"/>
          <w:szCs w:val="24"/>
        </w:rPr>
        <w:footnoteReference w:id="9"/>
      </w:r>
      <w:r w:rsidR="00175172" w:rsidRPr="008C01A6">
        <w:rPr>
          <w:rFonts w:ascii="Times New Roman" w:eastAsia="Calibri" w:hAnsi="Times New Roman" w:cs="Times New Roman"/>
          <w:color w:val="000000"/>
          <w:sz w:val="24"/>
          <w:szCs w:val="24"/>
        </w:rPr>
        <w:t xml:space="preserve"> </w:t>
      </w:r>
      <w:r w:rsidR="00E01ED7" w:rsidRPr="008C01A6">
        <w:rPr>
          <w:rFonts w:ascii="Times New Roman" w:eastAsia="Calibri" w:hAnsi="Times New Roman" w:cs="Times New Roman"/>
          <w:color w:val="000000"/>
          <w:sz w:val="24"/>
          <w:szCs w:val="24"/>
        </w:rPr>
        <w:t>This violates the ADA</w:t>
      </w:r>
      <w:r w:rsidR="00175172" w:rsidRPr="008C01A6">
        <w:rPr>
          <w:rFonts w:ascii="Times New Roman" w:eastAsia="Calibri" w:hAnsi="Times New Roman" w:cs="Times New Roman"/>
          <w:color w:val="000000"/>
          <w:sz w:val="24"/>
          <w:szCs w:val="24"/>
        </w:rPr>
        <w:t xml:space="preserve">. </w:t>
      </w:r>
      <w:r w:rsidR="0098454B" w:rsidRPr="008C01A6">
        <w:rPr>
          <w:rFonts w:ascii="Times New Roman" w:eastAsia="Calibri" w:hAnsi="Times New Roman" w:cs="Times New Roman"/>
          <w:i/>
          <w:color w:val="000000"/>
          <w:sz w:val="24"/>
          <w:szCs w:val="24"/>
        </w:rPr>
        <w:t>See</w:t>
      </w:r>
      <w:r w:rsidR="00E01ED7" w:rsidRPr="008C01A6">
        <w:rPr>
          <w:rFonts w:ascii="Times New Roman" w:eastAsia="Calibri" w:hAnsi="Times New Roman" w:cs="Times New Roman"/>
          <w:i/>
          <w:color w:val="000000"/>
          <w:sz w:val="24"/>
          <w:szCs w:val="24"/>
        </w:rPr>
        <w:t>, e.g.</w:t>
      </w:r>
      <w:r w:rsidR="00E01ED7" w:rsidRPr="008C01A6">
        <w:rPr>
          <w:rFonts w:ascii="Times New Roman" w:eastAsia="Calibri" w:hAnsi="Times New Roman" w:cs="Times New Roman"/>
          <w:color w:val="000000"/>
          <w:sz w:val="24"/>
          <w:szCs w:val="24"/>
        </w:rPr>
        <w:t>,</w:t>
      </w:r>
      <w:r w:rsidR="0098454B" w:rsidRPr="008C01A6">
        <w:rPr>
          <w:rFonts w:ascii="Times New Roman" w:eastAsia="Calibri" w:hAnsi="Times New Roman" w:cs="Times New Roman"/>
          <w:i/>
          <w:color w:val="000000"/>
          <w:sz w:val="24"/>
          <w:szCs w:val="24"/>
        </w:rPr>
        <w:t xml:space="preserve"> </w:t>
      </w:r>
      <w:r w:rsidR="0098454B" w:rsidRPr="008C01A6">
        <w:rPr>
          <w:rFonts w:ascii="Times New Roman" w:eastAsia="Calibri" w:hAnsi="Times New Roman" w:cs="Times New Roman"/>
          <w:color w:val="000000"/>
          <w:sz w:val="24"/>
          <w:szCs w:val="24"/>
        </w:rPr>
        <w:t>28 C.F.R. § 35.130(b)(1)(ii) (under Title II, a public entity must not “[a]</w:t>
      </w:r>
      <w:proofErr w:type="spellStart"/>
      <w:r w:rsidR="0098454B" w:rsidRPr="008C01A6">
        <w:rPr>
          <w:rFonts w:ascii="Times New Roman" w:eastAsia="Calibri" w:hAnsi="Times New Roman" w:cs="Times New Roman"/>
          <w:color w:val="000000"/>
          <w:sz w:val="24"/>
          <w:szCs w:val="24"/>
        </w:rPr>
        <w:t>fford</w:t>
      </w:r>
      <w:proofErr w:type="spellEnd"/>
      <w:r w:rsidR="0098454B" w:rsidRPr="008C01A6">
        <w:rPr>
          <w:rFonts w:ascii="Times New Roman" w:eastAsia="Calibri" w:hAnsi="Times New Roman" w:cs="Times New Roman"/>
          <w:color w:val="000000"/>
          <w:sz w:val="24"/>
          <w:szCs w:val="24"/>
        </w:rPr>
        <w:t xml:space="preserve"> a qualified individual with a disability an opportunity to participate in or benefit from the aid, benefit, or service that is not equal to that afforded others”), </w:t>
      </w:r>
      <w:r w:rsidR="0098454B" w:rsidRPr="008C01A6">
        <w:rPr>
          <w:rFonts w:ascii="Times New Roman" w:eastAsia="Calibri" w:hAnsi="Times New Roman" w:cs="Times New Roman"/>
          <w:i/>
          <w:color w:val="000000"/>
          <w:sz w:val="24"/>
          <w:szCs w:val="24"/>
        </w:rPr>
        <w:t xml:space="preserve">id. </w:t>
      </w:r>
      <w:r w:rsidR="0098454B" w:rsidRPr="008C01A6">
        <w:rPr>
          <w:rFonts w:ascii="Times New Roman" w:eastAsia="Calibri" w:hAnsi="Times New Roman" w:cs="Times New Roman"/>
          <w:color w:val="000000"/>
          <w:sz w:val="24"/>
          <w:szCs w:val="24"/>
        </w:rPr>
        <w:t>§ 35.130(b</w:t>
      </w:r>
      <w:proofErr w:type="gramStart"/>
      <w:r w:rsidR="0098454B" w:rsidRPr="008C01A6">
        <w:rPr>
          <w:rFonts w:ascii="Times New Roman" w:eastAsia="Calibri" w:hAnsi="Times New Roman" w:cs="Times New Roman"/>
          <w:color w:val="000000"/>
          <w:sz w:val="24"/>
          <w:szCs w:val="24"/>
        </w:rPr>
        <w:t>)(</w:t>
      </w:r>
      <w:proofErr w:type="gramEnd"/>
      <w:r w:rsidR="0098454B" w:rsidRPr="008C01A6">
        <w:rPr>
          <w:rFonts w:ascii="Times New Roman" w:eastAsia="Calibri" w:hAnsi="Times New Roman" w:cs="Times New Roman"/>
          <w:color w:val="000000"/>
          <w:sz w:val="24"/>
          <w:szCs w:val="24"/>
        </w:rPr>
        <w:t xml:space="preserve">4) (under Title II, </w:t>
      </w:r>
      <w:r w:rsidR="00E01ED7" w:rsidRPr="008C01A6">
        <w:rPr>
          <w:rFonts w:ascii="Times New Roman" w:eastAsia="Calibri" w:hAnsi="Times New Roman" w:cs="Times New Roman"/>
          <w:color w:val="000000"/>
          <w:sz w:val="24"/>
          <w:szCs w:val="24"/>
        </w:rPr>
        <w:t>“</w:t>
      </w:r>
      <w:r w:rsidR="0098454B" w:rsidRPr="008C01A6">
        <w:rPr>
          <w:rFonts w:ascii="Times New Roman" w:eastAsia="Calibri" w:hAnsi="Times New Roman" w:cs="Times New Roman"/>
          <w:color w:val="000000"/>
          <w:sz w:val="24"/>
          <w:szCs w:val="24"/>
        </w:rPr>
        <w:t>[a] public entity may not, in determining the site or location of a facility, make selections [t]hat have the effect of excluding individuals with disabilities from [its services], denying them the benefits of [its services], or otherwise subjecting them to discrimination”)</w:t>
      </w:r>
      <w:r w:rsidR="00175172" w:rsidRPr="008C01A6">
        <w:rPr>
          <w:rFonts w:ascii="Times New Roman" w:eastAsia="Calibri" w:hAnsi="Times New Roman" w:cs="Times New Roman"/>
          <w:color w:val="000000"/>
          <w:sz w:val="24"/>
          <w:szCs w:val="24"/>
        </w:rPr>
        <w:t xml:space="preserve">. </w:t>
      </w:r>
    </w:p>
    <w:p w:rsidR="00B52105" w:rsidRPr="008C01A6" w:rsidRDefault="007E053B">
      <w:pPr>
        <w:pStyle w:val="Heading1"/>
        <w:keepNext w:val="0"/>
        <w:keepLines w:val="0"/>
        <w:widowControl w:val="0"/>
        <w:rPr>
          <w:rFonts w:eastAsia="Calibri" w:cs="Times New Roman"/>
          <w:szCs w:val="24"/>
        </w:rPr>
      </w:pPr>
      <w:bookmarkStart w:id="15" w:name="_Toc465681945"/>
      <w:r w:rsidRPr="008C01A6">
        <w:rPr>
          <w:rFonts w:eastAsia="Calibri" w:cs="Times New Roman"/>
          <w:szCs w:val="24"/>
        </w:rPr>
        <w:t xml:space="preserve">Facility Owners </w:t>
      </w:r>
      <w:proofErr w:type="gramStart"/>
      <w:r w:rsidRPr="008C01A6">
        <w:rPr>
          <w:rFonts w:eastAsia="Calibri" w:cs="Times New Roman"/>
          <w:szCs w:val="24"/>
        </w:rPr>
        <w:t>And</w:t>
      </w:r>
      <w:proofErr w:type="gramEnd"/>
      <w:r w:rsidRPr="008C01A6">
        <w:rPr>
          <w:rFonts w:eastAsia="Calibri" w:cs="Times New Roman"/>
          <w:szCs w:val="24"/>
        </w:rPr>
        <w:t xml:space="preserve"> Election Judges Are Not Necessary Parties</w:t>
      </w:r>
      <w:bookmarkEnd w:id="15"/>
      <w:r w:rsidRPr="008C01A6">
        <w:rPr>
          <w:rFonts w:eastAsia="Calibri" w:cs="Times New Roman"/>
          <w:szCs w:val="24"/>
        </w:rPr>
        <w:t xml:space="preserve"> </w:t>
      </w:r>
    </w:p>
    <w:p w:rsidR="00B52105" w:rsidRPr="008C01A6" w:rsidRDefault="00B52105">
      <w:pPr>
        <w:widowControl w:val="0"/>
        <w:autoSpaceDE w:val="0"/>
        <w:autoSpaceDN w:val="0"/>
        <w:adjustRightInd w:val="0"/>
        <w:jc w:val="center"/>
        <w:rPr>
          <w:rFonts w:ascii="Times New Roman" w:eastAsia="Calibri" w:hAnsi="Times New Roman" w:cs="Times New Roman"/>
          <w:b/>
          <w:sz w:val="24"/>
          <w:szCs w:val="24"/>
        </w:rPr>
      </w:pPr>
    </w:p>
    <w:p w:rsidR="00B52105" w:rsidRPr="008C01A6" w:rsidRDefault="00C93E4D">
      <w:pPr>
        <w:pStyle w:val="Body"/>
        <w:widowControl w:val="0"/>
        <w:spacing w:line="480" w:lineRule="auto"/>
        <w:rPr>
          <w:rStyle w:val="cosearchdetaillevel1"/>
          <w:rFonts w:ascii="Times New Roman" w:eastAsia="Times New Roman" w:hAnsi="Times New Roman" w:cs="Times New Roman"/>
          <w:b/>
          <w:bCs/>
          <w:color w:val="auto"/>
          <w:sz w:val="24"/>
          <w:szCs w:val="24"/>
          <w:bdr w:val="none" w:sz="0" w:space="0" w:color="auto"/>
          <w:lang w:val="en-US"/>
        </w:rPr>
      </w:pPr>
      <w:r w:rsidRPr="008C01A6">
        <w:rPr>
          <w:rFonts w:ascii="Times New Roman" w:hAnsi="Times New Roman" w:cs="Times New Roman"/>
          <w:b/>
          <w:sz w:val="24"/>
          <w:szCs w:val="24"/>
        </w:rPr>
        <w:tab/>
      </w:r>
      <w:r w:rsidRPr="008C01A6">
        <w:rPr>
          <w:rFonts w:ascii="Times New Roman" w:hAnsi="Times New Roman" w:cs="Times New Roman"/>
          <w:sz w:val="24"/>
          <w:szCs w:val="24"/>
        </w:rPr>
        <w:t>Harris County</w:t>
      </w:r>
      <w:r w:rsidR="00A56243" w:rsidRPr="008C01A6">
        <w:rPr>
          <w:rFonts w:ascii="Times New Roman" w:hAnsi="Times New Roman" w:cs="Times New Roman"/>
          <w:sz w:val="24"/>
          <w:szCs w:val="24"/>
        </w:rPr>
        <w:t xml:space="preserve"> </w:t>
      </w:r>
      <w:r w:rsidRPr="008C01A6">
        <w:rPr>
          <w:rFonts w:ascii="Times New Roman" w:hAnsi="Times New Roman" w:cs="Times New Roman"/>
          <w:sz w:val="24"/>
          <w:szCs w:val="24"/>
        </w:rPr>
        <w:t xml:space="preserve">claims that relief cannot be accorded without </w:t>
      </w:r>
      <w:r w:rsidR="0078584C" w:rsidRPr="008C01A6">
        <w:rPr>
          <w:rFonts w:ascii="Times New Roman" w:hAnsi="Times New Roman" w:cs="Times New Roman"/>
          <w:sz w:val="24"/>
          <w:szCs w:val="24"/>
        </w:rPr>
        <w:t xml:space="preserve">joining more than 700 </w:t>
      </w:r>
      <w:r w:rsidR="00D84230" w:rsidRPr="008C01A6">
        <w:rPr>
          <w:rFonts w:ascii="Times New Roman" w:hAnsi="Times New Roman" w:cs="Times New Roman"/>
          <w:sz w:val="24"/>
          <w:szCs w:val="24"/>
        </w:rPr>
        <w:t>facility owners</w:t>
      </w:r>
      <w:r w:rsidRPr="008C01A6">
        <w:rPr>
          <w:rFonts w:ascii="Times New Roman" w:hAnsi="Times New Roman" w:cs="Times New Roman"/>
          <w:sz w:val="24"/>
          <w:szCs w:val="24"/>
        </w:rPr>
        <w:t xml:space="preserve"> and</w:t>
      </w:r>
      <w:r w:rsidR="00CD1169" w:rsidRPr="008C01A6">
        <w:rPr>
          <w:rFonts w:ascii="Times New Roman" w:hAnsi="Times New Roman" w:cs="Times New Roman"/>
          <w:sz w:val="24"/>
          <w:szCs w:val="24"/>
        </w:rPr>
        <w:t xml:space="preserve"> </w:t>
      </w:r>
      <w:r w:rsidRPr="008C01A6">
        <w:rPr>
          <w:rFonts w:ascii="Times New Roman" w:hAnsi="Times New Roman" w:cs="Times New Roman"/>
          <w:sz w:val="24"/>
          <w:szCs w:val="24"/>
        </w:rPr>
        <w:t>election judges</w:t>
      </w:r>
      <w:r w:rsidR="00AD1155" w:rsidRPr="008C01A6">
        <w:rPr>
          <w:rFonts w:ascii="Times New Roman" w:hAnsi="Times New Roman" w:cs="Times New Roman"/>
          <w:sz w:val="24"/>
          <w:szCs w:val="24"/>
        </w:rPr>
        <w:t>, because it says those individuals may need to consent to or implement temporary measures necessary to make sites accessible</w:t>
      </w:r>
      <w:r w:rsidR="00175172" w:rsidRPr="008C01A6">
        <w:rPr>
          <w:rFonts w:ascii="Times New Roman" w:hAnsi="Times New Roman" w:cs="Times New Roman"/>
          <w:sz w:val="24"/>
          <w:szCs w:val="24"/>
        </w:rPr>
        <w:t>.</w:t>
      </w:r>
      <w:r w:rsidR="00563615" w:rsidRPr="008C01A6">
        <w:rPr>
          <w:rFonts w:ascii="Times New Roman" w:hAnsi="Times New Roman" w:cs="Times New Roman"/>
          <w:sz w:val="24"/>
          <w:szCs w:val="24"/>
        </w:rPr>
        <w:t xml:space="preserve"> </w:t>
      </w:r>
      <w:r w:rsidR="00AD1155" w:rsidRPr="008C01A6">
        <w:rPr>
          <w:rFonts w:ascii="Times New Roman" w:hAnsi="Times New Roman" w:cs="Times New Roman"/>
          <w:sz w:val="24"/>
          <w:szCs w:val="24"/>
        </w:rPr>
        <w:t xml:space="preserve">But neither facility owners nor election judges </w:t>
      </w:r>
      <w:r w:rsidR="00FF1F77" w:rsidRPr="008C01A6">
        <w:rPr>
          <w:rFonts w:ascii="Times New Roman" w:hAnsi="Times New Roman" w:cs="Times New Roman"/>
          <w:sz w:val="24"/>
          <w:szCs w:val="24"/>
        </w:rPr>
        <w:t xml:space="preserve">are “public entities,” and neither is subject to suit under Title II for operating a voting program that discriminates against individuals with disabilities. More importantly, it is Harris County alone that </w:t>
      </w:r>
      <w:r w:rsidR="00394A0B" w:rsidRPr="008C01A6">
        <w:rPr>
          <w:rFonts w:ascii="Times New Roman" w:hAnsi="Times New Roman" w:cs="Times New Roman"/>
          <w:sz w:val="24"/>
          <w:szCs w:val="24"/>
        </w:rPr>
        <w:t>has both the responsibility and the authority to</w:t>
      </w:r>
      <w:r w:rsidR="00FF1F77" w:rsidRPr="008C01A6">
        <w:rPr>
          <w:rFonts w:ascii="Times New Roman" w:hAnsi="Times New Roman" w:cs="Times New Roman"/>
          <w:sz w:val="24"/>
          <w:szCs w:val="24"/>
        </w:rPr>
        <w:t xml:space="preserve"> select accessible sites, </w:t>
      </w:r>
      <w:r w:rsidR="007A41EB" w:rsidRPr="008C01A6">
        <w:rPr>
          <w:rFonts w:ascii="Times New Roman" w:hAnsi="Times New Roman" w:cs="Times New Roman"/>
          <w:sz w:val="24"/>
          <w:szCs w:val="24"/>
        </w:rPr>
        <w:t>including sites that it can make</w:t>
      </w:r>
      <w:r w:rsidR="00563615" w:rsidRPr="008C01A6">
        <w:rPr>
          <w:rFonts w:ascii="Times New Roman" w:hAnsi="Times New Roman" w:cs="Times New Roman"/>
          <w:sz w:val="24"/>
          <w:szCs w:val="24"/>
        </w:rPr>
        <w:t xml:space="preserve"> accessible </w:t>
      </w:r>
      <w:r w:rsidR="00FF1F77" w:rsidRPr="008C01A6">
        <w:rPr>
          <w:rFonts w:ascii="Times New Roman" w:hAnsi="Times New Roman" w:cs="Times New Roman"/>
          <w:sz w:val="24"/>
          <w:szCs w:val="24"/>
        </w:rPr>
        <w:t>through temporary modifications</w:t>
      </w:r>
      <w:r w:rsidR="00394A0B" w:rsidRPr="008C01A6">
        <w:rPr>
          <w:rFonts w:ascii="Times New Roman" w:hAnsi="Times New Roman" w:cs="Times New Roman"/>
          <w:sz w:val="24"/>
          <w:szCs w:val="24"/>
        </w:rPr>
        <w:t>.</w:t>
      </w:r>
      <w:r w:rsidR="00563615" w:rsidRPr="008C01A6">
        <w:rPr>
          <w:rFonts w:ascii="Times New Roman" w:hAnsi="Times New Roman" w:cs="Times New Roman"/>
          <w:sz w:val="24"/>
          <w:szCs w:val="24"/>
        </w:rPr>
        <w:t xml:space="preserve"> </w:t>
      </w:r>
      <w:r w:rsidR="007A41EB" w:rsidRPr="008C01A6">
        <w:rPr>
          <w:rFonts w:ascii="Times New Roman" w:hAnsi="Times New Roman" w:cs="Times New Roman"/>
          <w:sz w:val="24"/>
          <w:szCs w:val="24"/>
        </w:rPr>
        <w:t>If a facility owner refuses to allow temporary modifications</w:t>
      </w:r>
      <w:r w:rsidR="00FF1F77" w:rsidRPr="008C01A6">
        <w:rPr>
          <w:rFonts w:ascii="Times New Roman" w:hAnsi="Times New Roman" w:cs="Times New Roman"/>
          <w:sz w:val="24"/>
          <w:szCs w:val="24"/>
        </w:rPr>
        <w:t xml:space="preserve"> (</w:t>
      </w:r>
      <w:r w:rsidR="007A41EB" w:rsidRPr="008C01A6">
        <w:rPr>
          <w:rFonts w:ascii="Times New Roman" w:hAnsi="Times New Roman" w:cs="Times New Roman"/>
          <w:sz w:val="24"/>
          <w:szCs w:val="24"/>
        </w:rPr>
        <w:t>which is unlikely, as most are minor</w:t>
      </w:r>
      <w:r w:rsidR="00FF1F77" w:rsidRPr="008C01A6">
        <w:rPr>
          <w:rFonts w:ascii="Times New Roman" w:hAnsi="Times New Roman" w:cs="Times New Roman"/>
          <w:sz w:val="24"/>
          <w:szCs w:val="24"/>
        </w:rPr>
        <w:t>), the proper course is for Harris County to</w:t>
      </w:r>
      <w:r w:rsidR="00AD1155" w:rsidRPr="008C01A6">
        <w:rPr>
          <w:rFonts w:ascii="Times New Roman" w:hAnsi="Times New Roman" w:cs="Times New Roman"/>
          <w:sz w:val="24"/>
          <w:szCs w:val="24"/>
        </w:rPr>
        <w:t xml:space="preserve"> select an alternative site. </w:t>
      </w:r>
      <w:r w:rsidR="00FF1F77" w:rsidRPr="008C01A6">
        <w:rPr>
          <w:rFonts w:ascii="Times New Roman" w:hAnsi="Times New Roman" w:cs="Times New Roman"/>
          <w:sz w:val="24"/>
          <w:szCs w:val="24"/>
        </w:rPr>
        <w:t xml:space="preserve">Election judges are appointed by the County and are responsible for preventing </w:t>
      </w:r>
      <w:r w:rsidR="00FF1F77" w:rsidRPr="008C01A6">
        <w:rPr>
          <w:rStyle w:val="cosearchdetaillevel1"/>
          <w:rFonts w:ascii="Times New Roman" w:hAnsi="Times New Roman" w:cs="Times New Roman"/>
          <w:sz w:val="24"/>
          <w:szCs w:val="24"/>
          <w:lang w:val="en-US"/>
        </w:rPr>
        <w:t xml:space="preserve">“violations of this [Texas election] code” on the day of the election itself. </w:t>
      </w:r>
      <w:proofErr w:type="gramStart"/>
      <w:r w:rsidR="00FF1F77" w:rsidRPr="008C01A6">
        <w:rPr>
          <w:rStyle w:val="cosearchdetaillevel1"/>
          <w:rFonts w:ascii="Times New Roman" w:hAnsi="Times New Roman" w:cs="Times New Roman"/>
          <w:sz w:val="24"/>
          <w:szCs w:val="24"/>
          <w:lang w:val="en-US"/>
        </w:rPr>
        <w:t>Tex. Elec. Code § 32.075.</w:t>
      </w:r>
      <w:proofErr w:type="gramEnd"/>
      <w:r w:rsidR="00FF1F77" w:rsidRPr="008C01A6">
        <w:rPr>
          <w:rStyle w:val="cosearchdetaillevel1"/>
          <w:rFonts w:ascii="Times New Roman" w:hAnsi="Times New Roman" w:cs="Times New Roman"/>
          <w:sz w:val="24"/>
          <w:szCs w:val="24"/>
          <w:lang w:val="en-US"/>
        </w:rPr>
        <w:t xml:space="preserve"> But the election judge does not have the responsibility to, for instance, obtain ramps or design temporary alterations that make polling places accessible; rather, that is the County’s duty.</w:t>
      </w:r>
      <w:r w:rsidR="00FF1F77" w:rsidRPr="008C01A6">
        <w:rPr>
          <w:rStyle w:val="cosearchdetaillevel1"/>
          <w:rFonts w:ascii="Times New Roman" w:hAnsi="Times New Roman" w:cs="Times New Roman"/>
          <w:sz w:val="24"/>
          <w:szCs w:val="24"/>
        </w:rPr>
        <w:t xml:space="preserve"> </w:t>
      </w:r>
    </w:p>
    <w:p w:rsidR="00B52105" w:rsidRPr="008C01A6" w:rsidRDefault="007A41EB">
      <w:pPr>
        <w:widowControl w:val="0"/>
        <w:autoSpaceDE w:val="0"/>
        <w:autoSpaceDN w:val="0"/>
        <w:adjustRightInd w:val="0"/>
        <w:spacing w:line="480" w:lineRule="auto"/>
        <w:rPr>
          <w:rFonts w:ascii="Times New Roman" w:eastAsia="Calibri" w:hAnsi="Times New Roman" w:cs="Times New Roman"/>
          <w:i/>
          <w:color w:val="000000"/>
          <w:sz w:val="24"/>
          <w:szCs w:val="24"/>
        </w:rPr>
      </w:pPr>
      <w:r w:rsidRPr="008C01A6">
        <w:rPr>
          <w:rFonts w:ascii="Times New Roman" w:eastAsia="Calibri" w:hAnsi="Times New Roman" w:cs="Times New Roman"/>
          <w:color w:val="000000"/>
          <w:sz w:val="24"/>
          <w:szCs w:val="24"/>
        </w:rPr>
        <w:tab/>
        <w:t>“[Section]</w:t>
      </w:r>
      <w:r w:rsidR="00F5726F" w:rsidRPr="008C01A6">
        <w:rPr>
          <w:rFonts w:ascii="Times New Roman" w:eastAsia="Calibri" w:hAnsi="Times New Roman" w:cs="Times New Roman"/>
          <w:color w:val="000000"/>
          <w:sz w:val="24"/>
          <w:szCs w:val="24"/>
        </w:rPr>
        <w:t xml:space="preserve"> 43.034 of the Texas Election Code places responsibility for accessibility of po</w:t>
      </w:r>
      <w:r w:rsidR="0078584C" w:rsidRPr="008C01A6">
        <w:rPr>
          <w:rFonts w:ascii="Times New Roman" w:eastAsia="Calibri" w:hAnsi="Times New Roman" w:cs="Times New Roman"/>
          <w:color w:val="000000"/>
          <w:sz w:val="24"/>
          <w:szCs w:val="24"/>
        </w:rPr>
        <w:t xml:space="preserve">lling places to </w:t>
      </w:r>
      <w:proofErr w:type="spellStart"/>
      <w:proofErr w:type="gramStart"/>
      <w:r w:rsidR="0078584C" w:rsidRPr="008C01A6">
        <w:rPr>
          <w:rFonts w:ascii="Times New Roman" w:eastAsia="Calibri" w:hAnsi="Times New Roman" w:cs="Times New Roman"/>
          <w:color w:val="000000"/>
          <w:sz w:val="24"/>
          <w:szCs w:val="24"/>
        </w:rPr>
        <w:t>the</w:t>
      </w:r>
      <w:proofErr w:type="spellEnd"/>
      <w:r w:rsidR="0078584C" w:rsidRPr="008C01A6">
        <w:rPr>
          <w:rFonts w:ascii="Times New Roman" w:eastAsia="Calibri" w:hAnsi="Times New Roman" w:cs="Times New Roman"/>
          <w:color w:val="000000"/>
          <w:sz w:val="24"/>
          <w:szCs w:val="24"/>
        </w:rPr>
        <w:t xml:space="preserve"> .</w:t>
      </w:r>
      <w:proofErr w:type="gramEnd"/>
      <w:r w:rsidR="0078584C" w:rsidRPr="008C01A6">
        <w:rPr>
          <w:rFonts w:ascii="Times New Roman" w:eastAsia="Calibri" w:hAnsi="Times New Roman" w:cs="Times New Roman"/>
          <w:color w:val="000000"/>
          <w:sz w:val="24"/>
          <w:szCs w:val="24"/>
        </w:rPr>
        <w:t> . . </w:t>
      </w:r>
      <w:r w:rsidR="00F5726F" w:rsidRPr="008C01A6">
        <w:rPr>
          <w:rFonts w:ascii="Times New Roman" w:eastAsia="Calibri" w:hAnsi="Times New Roman" w:cs="Times New Roman"/>
          <w:color w:val="000000"/>
          <w:sz w:val="24"/>
          <w:szCs w:val="24"/>
        </w:rPr>
        <w:t>physically handicap</w:t>
      </w:r>
      <w:r w:rsidR="00583AAD" w:rsidRPr="008C01A6">
        <w:rPr>
          <w:rFonts w:ascii="Times New Roman" w:eastAsia="Calibri" w:hAnsi="Times New Roman" w:cs="Times New Roman"/>
          <w:color w:val="000000"/>
          <w:sz w:val="24"/>
          <w:szCs w:val="24"/>
        </w:rPr>
        <w:t>ped on the commissioners court</w:t>
      </w:r>
      <w:r w:rsidR="00D84230" w:rsidRPr="008C01A6">
        <w:rPr>
          <w:rFonts w:ascii="Times New Roman" w:eastAsia="Calibri" w:hAnsi="Times New Roman" w:cs="Times New Roman"/>
          <w:color w:val="000000"/>
          <w:sz w:val="24"/>
          <w:szCs w:val="24"/>
        </w:rPr>
        <w:t xml:space="preserve">s and the </w:t>
      </w:r>
      <w:r w:rsidR="00F5726F" w:rsidRPr="008C01A6">
        <w:rPr>
          <w:rFonts w:ascii="Times New Roman" w:eastAsia="Calibri" w:hAnsi="Times New Roman" w:cs="Times New Roman"/>
          <w:color w:val="000000"/>
          <w:sz w:val="24"/>
          <w:szCs w:val="24"/>
        </w:rPr>
        <w:t>governing body of each political sub</w:t>
      </w:r>
      <w:r w:rsidR="00583AAD" w:rsidRPr="008C01A6">
        <w:rPr>
          <w:rFonts w:ascii="Times New Roman" w:eastAsia="Calibri" w:hAnsi="Times New Roman" w:cs="Times New Roman"/>
          <w:color w:val="000000"/>
          <w:sz w:val="24"/>
          <w:szCs w:val="24"/>
        </w:rPr>
        <w:t>division that holds election</w:t>
      </w:r>
      <w:r w:rsidRPr="008C01A6">
        <w:rPr>
          <w:rFonts w:ascii="Times New Roman" w:eastAsia="Calibri" w:hAnsi="Times New Roman" w:cs="Times New Roman"/>
          <w:color w:val="000000"/>
          <w:sz w:val="24"/>
          <w:szCs w:val="24"/>
        </w:rPr>
        <w:t xml:space="preserve">s.” </w:t>
      </w:r>
      <w:proofErr w:type="spellStart"/>
      <w:proofErr w:type="gramStart"/>
      <w:r w:rsidR="00F5726F" w:rsidRPr="008C01A6">
        <w:rPr>
          <w:rFonts w:ascii="Times New Roman" w:eastAsia="Calibri" w:hAnsi="Times New Roman" w:cs="Times New Roman"/>
          <w:i/>
          <w:color w:val="000000"/>
          <w:sz w:val="24"/>
          <w:szCs w:val="24"/>
        </w:rPr>
        <w:t>Lightbourn</w:t>
      </w:r>
      <w:proofErr w:type="spellEnd"/>
      <w:r w:rsidR="00F5726F" w:rsidRPr="008C01A6">
        <w:rPr>
          <w:rFonts w:ascii="Times New Roman" w:eastAsia="Calibri" w:hAnsi="Times New Roman" w:cs="Times New Roman"/>
          <w:i/>
          <w:color w:val="000000"/>
          <w:sz w:val="24"/>
          <w:szCs w:val="24"/>
        </w:rPr>
        <w:t xml:space="preserve"> v. </w:t>
      </w:r>
      <w:proofErr w:type="spellStart"/>
      <w:r w:rsidR="00F5726F" w:rsidRPr="008C01A6">
        <w:rPr>
          <w:rFonts w:ascii="Times New Roman" w:eastAsia="Calibri" w:hAnsi="Times New Roman" w:cs="Times New Roman"/>
          <w:i/>
          <w:color w:val="000000"/>
          <w:sz w:val="24"/>
          <w:szCs w:val="24"/>
        </w:rPr>
        <w:t>Cty</w:t>
      </w:r>
      <w:proofErr w:type="spellEnd"/>
      <w:r w:rsidR="00F5726F" w:rsidRPr="008C01A6">
        <w:rPr>
          <w:rFonts w:ascii="Times New Roman" w:eastAsia="Calibri" w:hAnsi="Times New Roman" w:cs="Times New Roman"/>
          <w:i/>
          <w:color w:val="000000"/>
          <w:sz w:val="24"/>
          <w:szCs w:val="24"/>
        </w:rPr>
        <w:t>.</w:t>
      </w:r>
      <w:proofErr w:type="gramEnd"/>
      <w:r w:rsidR="00F5726F" w:rsidRPr="008C01A6">
        <w:rPr>
          <w:rFonts w:ascii="Times New Roman" w:eastAsia="Calibri" w:hAnsi="Times New Roman" w:cs="Times New Roman"/>
          <w:i/>
          <w:color w:val="000000"/>
          <w:sz w:val="24"/>
          <w:szCs w:val="24"/>
        </w:rPr>
        <w:t xml:space="preserve"> </w:t>
      </w:r>
      <w:proofErr w:type="gramStart"/>
      <w:r w:rsidR="00F5726F" w:rsidRPr="008C01A6">
        <w:rPr>
          <w:rFonts w:ascii="Times New Roman" w:eastAsia="Calibri" w:hAnsi="Times New Roman" w:cs="Times New Roman"/>
          <w:i/>
          <w:color w:val="000000"/>
          <w:sz w:val="24"/>
          <w:szCs w:val="24"/>
        </w:rPr>
        <w:t>of</w:t>
      </w:r>
      <w:proofErr w:type="gramEnd"/>
      <w:r w:rsidR="00F5726F" w:rsidRPr="008C01A6">
        <w:rPr>
          <w:rFonts w:ascii="Times New Roman" w:eastAsia="Calibri" w:hAnsi="Times New Roman" w:cs="Times New Roman"/>
          <w:i/>
          <w:color w:val="000000"/>
          <w:sz w:val="24"/>
          <w:szCs w:val="24"/>
        </w:rPr>
        <w:t xml:space="preserve"> El Paso</w:t>
      </w:r>
      <w:r w:rsidR="00F5726F" w:rsidRPr="008C01A6">
        <w:rPr>
          <w:rFonts w:ascii="Times New Roman" w:eastAsia="Calibri" w:hAnsi="Times New Roman" w:cs="Times New Roman"/>
          <w:color w:val="000000"/>
          <w:sz w:val="24"/>
          <w:szCs w:val="24"/>
        </w:rPr>
        <w:t>, 118 F.3d 421, 431 (5th Cir. 1997)</w:t>
      </w:r>
      <w:r w:rsidR="00D84230" w:rsidRPr="008C01A6">
        <w:rPr>
          <w:rFonts w:ascii="Times New Roman" w:eastAsia="Calibri" w:hAnsi="Times New Roman" w:cs="Times New Roman"/>
          <w:color w:val="000000"/>
          <w:sz w:val="24"/>
          <w:szCs w:val="24"/>
        </w:rPr>
        <w:t xml:space="preserve"> (internal quotation marks and alteration omitted</w:t>
      </w:r>
      <w:r w:rsidR="00583AAD" w:rsidRPr="008C01A6">
        <w:rPr>
          <w:rFonts w:ascii="Times New Roman" w:eastAsia="Calibri" w:hAnsi="Times New Roman" w:cs="Times New Roman"/>
          <w:color w:val="000000"/>
          <w:sz w:val="24"/>
          <w:szCs w:val="24"/>
        </w:rPr>
        <w:t>)</w:t>
      </w:r>
      <w:r w:rsidR="00175172" w:rsidRPr="008C01A6">
        <w:rPr>
          <w:rFonts w:ascii="Times New Roman" w:eastAsia="Calibri" w:hAnsi="Times New Roman" w:cs="Times New Roman"/>
          <w:color w:val="000000"/>
          <w:sz w:val="24"/>
          <w:szCs w:val="24"/>
        </w:rPr>
        <w:t xml:space="preserve">. </w:t>
      </w:r>
      <w:r w:rsidRPr="008C01A6">
        <w:rPr>
          <w:rFonts w:ascii="Times New Roman" w:eastAsia="Calibri" w:hAnsi="Times New Roman" w:cs="Times New Roman"/>
          <w:color w:val="000000"/>
          <w:sz w:val="24"/>
          <w:szCs w:val="24"/>
        </w:rPr>
        <w:t>Here, that is Harris County. Thus,</w:t>
      </w:r>
      <w:r w:rsidR="00583AAD" w:rsidRPr="008C01A6">
        <w:rPr>
          <w:rFonts w:ascii="Times New Roman" w:eastAsia="Calibri" w:hAnsi="Times New Roman" w:cs="Times New Roman"/>
          <w:color w:val="000000"/>
          <w:sz w:val="24"/>
          <w:szCs w:val="24"/>
        </w:rPr>
        <w:t xml:space="preserve"> the commissioners court</w:t>
      </w:r>
      <w:r w:rsidR="00437284" w:rsidRPr="008C01A6">
        <w:rPr>
          <w:rFonts w:ascii="Times New Roman" w:eastAsia="Calibri" w:hAnsi="Times New Roman" w:cs="Times New Roman"/>
          <w:color w:val="000000"/>
          <w:sz w:val="24"/>
          <w:szCs w:val="24"/>
        </w:rPr>
        <w:t xml:space="preserve">, </w:t>
      </w:r>
      <w:r w:rsidR="00133A9F" w:rsidRPr="008C01A6">
        <w:rPr>
          <w:rFonts w:ascii="Times New Roman" w:eastAsia="Calibri" w:hAnsi="Times New Roman" w:cs="Times New Roman"/>
          <w:color w:val="000000"/>
          <w:sz w:val="24"/>
          <w:szCs w:val="24"/>
        </w:rPr>
        <w:t>which is the main governing body of Harris County</w:t>
      </w:r>
      <w:r w:rsidR="00437284" w:rsidRPr="008C01A6">
        <w:rPr>
          <w:rFonts w:ascii="Times New Roman" w:eastAsia="Calibri" w:hAnsi="Times New Roman" w:cs="Times New Roman"/>
          <w:color w:val="000000"/>
          <w:sz w:val="24"/>
          <w:szCs w:val="24"/>
        </w:rPr>
        <w:t>,</w:t>
      </w:r>
      <w:r w:rsidR="00583AAD" w:rsidRPr="008C01A6">
        <w:rPr>
          <w:rFonts w:ascii="Times New Roman" w:eastAsia="Calibri" w:hAnsi="Times New Roman" w:cs="Times New Roman"/>
          <w:color w:val="000000"/>
          <w:sz w:val="24"/>
          <w:szCs w:val="24"/>
        </w:rPr>
        <w:t xml:space="preserve"> “shall provide a polling place that complies with” accessibility requirements, Texas Elec. Code §</w:t>
      </w:r>
      <w:r w:rsidR="00711D45" w:rsidRPr="008C01A6">
        <w:rPr>
          <w:rFonts w:ascii="Times New Roman" w:eastAsia="Calibri" w:hAnsi="Times New Roman" w:cs="Times New Roman"/>
          <w:color w:val="000000"/>
          <w:sz w:val="24"/>
          <w:szCs w:val="24"/>
        </w:rPr>
        <w:t> </w:t>
      </w:r>
      <w:r w:rsidR="00583AAD" w:rsidRPr="008C01A6">
        <w:rPr>
          <w:rFonts w:ascii="Times New Roman" w:eastAsia="Calibri" w:hAnsi="Times New Roman" w:cs="Times New Roman"/>
          <w:color w:val="000000"/>
          <w:sz w:val="24"/>
          <w:szCs w:val="24"/>
        </w:rPr>
        <w:t>43.034(b)</w:t>
      </w:r>
      <w:r w:rsidR="00D84230" w:rsidRPr="008C01A6">
        <w:rPr>
          <w:rFonts w:ascii="Times New Roman" w:eastAsia="Calibri" w:hAnsi="Times New Roman" w:cs="Times New Roman"/>
          <w:color w:val="000000"/>
          <w:sz w:val="24"/>
          <w:szCs w:val="24"/>
        </w:rPr>
        <w:t>,</w:t>
      </w:r>
      <w:r w:rsidR="00583AAD" w:rsidRPr="008C01A6">
        <w:rPr>
          <w:rFonts w:ascii="Times New Roman" w:eastAsia="Calibri" w:hAnsi="Times New Roman" w:cs="Times New Roman"/>
          <w:color w:val="000000"/>
          <w:sz w:val="24"/>
          <w:szCs w:val="24"/>
        </w:rPr>
        <w:t xml:space="preserve"> and “[t]he governing body of each political subdivision that holds elections shall cooperate with the commissioners court in its respective county in implementing” the accessibility requirements, </w:t>
      </w:r>
      <w:r w:rsidR="00583AAD" w:rsidRPr="008C01A6">
        <w:rPr>
          <w:rFonts w:ascii="Times New Roman" w:eastAsia="Calibri" w:hAnsi="Times New Roman" w:cs="Times New Roman"/>
          <w:i/>
          <w:color w:val="000000"/>
          <w:sz w:val="24"/>
          <w:szCs w:val="24"/>
        </w:rPr>
        <w:t xml:space="preserve">id. </w:t>
      </w:r>
      <w:proofErr w:type="gramStart"/>
      <w:r w:rsidR="00583AAD" w:rsidRPr="008C01A6">
        <w:rPr>
          <w:rFonts w:ascii="Times New Roman" w:eastAsia="Calibri" w:hAnsi="Times New Roman" w:cs="Times New Roman"/>
          <w:color w:val="000000"/>
          <w:sz w:val="24"/>
          <w:szCs w:val="24"/>
        </w:rPr>
        <w:t>at</w:t>
      </w:r>
      <w:proofErr w:type="gramEnd"/>
      <w:r w:rsidR="00583AAD" w:rsidRPr="008C01A6">
        <w:rPr>
          <w:rFonts w:ascii="Times New Roman" w:eastAsia="Calibri" w:hAnsi="Times New Roman" w:cs="Times New Roman"/>
          <w:color w:val="000000"/>
          <w:sz w:val="24"/>
          <w:szCs w:val="24"/>
        </w:rPr>
        <w:t xml:space="preserve"> § 43.034(c)</w:t>
      </w:r>
      <w:r w:rsidR="00175172" w:rsidRPr="008C01A6">
        <w:rPr>
          <w:rFonts w:ascii="Times New Roman" w:eastAsia="Calibri" w:hAnsi="Times New Roman" w:cs="Times New Roman"/>
          <w:color w:val="000000"/>
          <w:sz w:val="24"/>
          <w:szCs w:val="24"/>
        </w:rPr>
        <w:t xml:space="preserve">. </w:t>
      </w:r>
    </w:p>
    <w:p w:rsidR="00B52105" w:rsidRPr="008C01A6" w:rsidRDefault="00583AAD">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r>
      <w:r w:rsidR="00D84230" w:rsidRPr="008C01A6">
        <w:rPr>
          <w:rFonts w:ascii="Times New Roman" w:eastAsia="Calibri" w:hAnsi="Times New Roman" w:cs="Times New Roman"/>
          <w:color w:val="000000"/>
          <w:sz w:val="24"/>
          <w:szCs w:val="24"/>
        </w:rPr>
        <w:t>Harris County</w:t>
      </w:r>
      <w:r w:rsidR="00AD1155" w:rsidRPr="008C01A6">
        <w:rPr>
          <w:rFonts w:ascii="Times New Roman" w:eastAsia="Calibri" w:hAnsi="Times New Roman" w:cs="Times New Roman"/>
          <w:color w:val="000000"/>
          <w:sz w:val="24"/>
          <w:szCs w:val="24"/>
        </w:rPr>
        <w:t xml:space="preserve"> argues that it cannot fulfill these requirements because there are an insufficient </w:t>
      </w:r>
      <w:r w:rsidRPr="008C01A6">
        <w:rPr>
          <w:rFonts w:ascii="Times New Roman" w:eastAsia="Calibri" w:hAnsi="Times New Roman" w:cs="Times New Roman"/>
          <w:color w:val="000000"/>
          <w:sz w:val="24"/>
          <w:szCs w:val="24"/>
        </w:rPr>
        <w:t>number of county-owned buildings</w:t>
      </w:r>
      <w:r w:rsidR="00D84230" w:rsidRPr="008C01A6">
        <w:rPr>
          <w:rFonts w:ascii="Times New Roman" w:eastAsia="Calibri" w:hAnsi="Times New Roman" w:cs="Times New Roman"/>
          <w:color w:val="000000"/>
          <w:sz w:val="24"/>
          <w:szCs w:val="24"/>
        </w:rPr>
        <w:t xml:space="preserve"> that are accessible</w:t>
      </w:r>
      <w:r w:rsidR="00175172" w:rsidRPr="008C01A6">
        <w:rPr>
          <w:rFonts w:ascii="Times New Roman" w:eastAsia="Calibri" w:hAnsi="Times New Roman" w:cs="Times New Roman"/>
          <w:color w:val="000000"/>
          <w:sz w:val="24"/>
          <w:szCs w:val="24"/>
        </w:rPr>
        <w:t xml:space="preserve">. </w:t>
      </w:r>
      <w:proofErr w:type="gramStart"/>
      <w:r w:rsidR="00AD1155" w:rsidRPr="008C01A6">
        <w:rPr>
          <w:rFonts w:ascii="Times New Roman" w:eastAsia="Calibri" w:hAnsi="Times New Roman" w:cs="Times New Roman"/>
          <w:color w:val="000000"/>
          <w:sz w:val="24"/>
          <w:szCs w:val="24"/>
        </w:rPr>
        <w:t>But a</w:t>
      </w:r>
      <w:r w:rsidRPr="008C01A6">
        <w:rPr>
          <w:rFonts w:ascii="Times New Roman" w:eastAsia="Calibri" w:hAnsi="Times New Roman" w:cs="Times New Roman"/>
          <w:color w:val="000000"/>
          <w:sz w:val="24"/>
          <w:szCs w:val="24"/>
        </w:rPr>
        <w:t>s the Second Circuit explained, in rejecting a similar argument:</w:t>
      </w:r>
      <w:proofErr w:type="gramEnd"/>
    </w:p>
    <w:p w:rsidR="00B52105" w:rsidRPr="008C01A6" w:rsidRDefault="00433AA5">
      <w:pPr>
        <w:widowControl w:val="0"/>
        <w:autoSpaceDE w:val="0"/>
        <w:autoSpaceDN w:val="0"/>
        <w:adjustRightInd w:val="0"/>
        <w:ind w:left="720" w:right="720"/>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r>
      <w:r w:rsidR="00583AAD" w:rsidRPr="008C01A6">
        <w:rPr>
          <w:rFonts w:ascii="Times New Roman" w:eastAsia="Calibri" w:hAnsi="Times New Roman" w:cs="Times New Roman"/>
          <w:color w:val="000000"/>
          <w:sz w:val="24"/>
          <w:szCs w:val="24"/>
        </w:rPr>
        <w:t>Even assuming</w:t>
      </w:r>
      <w:r w:rsidR="007A41EB" w:rsidRPr="008C01A6">
        <w:rPr>
          <w:rFonts w:ascii="Times New Roman" w:eastAsia="Calibri" w:hAnsi="Times New Roman" w:cs="Times New Roman"/>
          <w:color w:val="000000"/>
          <w:sz w:val="24"/>
          <w:szCs w:val="24"/>
        </w:rPr>
        <w:t xml:space="preserve"> . . .</w:t>
      </w:r>
      <w:r w:rsidR="00583AAD" w:rsidRPr="008C01A6">
        <w:rPr>
          <w:rFonts w:ascii="Times New Roman" w:eastAsia="Calibri" w:hAnsi="Times New Roman" w:cs="Times New Roman"/>
          <w:color w:val="000000"/>
          <w:sz w:val="24"/>
          <w:szCs w:val="24"/>
        </w:rPr>
        <w:t xml:space="preserve"> that there is no existing facility that is accessible, available, and meets the requirements to serve as a poll site, DOJ</w:t>
      </w:r>
      <w:r w:rsidR="00AD1155" w:rsidRPr="008C01A6">
        <w:rPr>
          <w:rFonts w:ascii="Times New Roman" w:eastAsia="Calibri" w:hAnsi="Times New Roman" w:cs="Times New Roman"/>
          <w:color w:val="000000"/>
          <w:sz w:val="24"/>
          <w:szCs w:val="24"/>
        </w:rPr>
        <w:t>’</w:t>
      </w:r>
      <w:r w:rsidR="00583AAD" w:rsidRPr="008C01A6">
        <w:rPr>
          <w:rFonts w:ascii="Times New Roman" w:eastAsia="Calibri" w:hAnsi="Times New Roman" w:cs="Times New Roman"/>
          <w:color w:val="000000"/>
          <w:sz w:val="24"/>
          <w:szCs w:val="24"/>
        </w:rPr>
        <w:t xml:space="preserve">s regulations make clear that the inaccessibility of existing facilities is not an excuse, but rather, a circumstance that requires a public entity to take reasonable active steps to ensure compliance with its obligations under </w:t>
      </w:r>
      <w:r w:rsidR="00A56243" w:rsidRPr="008C01A6">
        <w:rPr>
          <w:rFonts w:ascii="Times New Roman" w:eastAsia="Calibri" w:hAnsi="Times New Roman" w:cs="Times New Roman"/>
          <w:color w:val="000000"/>
          <w:sz w:val="24"/>
          <w:szCs w:val="24"/>
        </w:rPr>
        <w:t>. . .</w:t>
      </w:r>
      <w:r w:rsidR="00583AAD" w:rsidRPr="008C01A6">
        <w:rPr>
          <w:rFonts w:ascii="Times New Roman" w:eastAsia="Calibri" w:hAnsi="Times New Roman" w:cs="Times New Roman"/>
          <w:color w:val="000000"/>
          <w:sz w:val="24"/>
          <w:szCs w:val="24"/>
        </w:rPr>
        <w:t xml:space="preserve"> Title II. Ind</w:t>
      </w:r>
      <w:r w:rsidR="00B80BDE" w:rsidRPr="008C01A6">
        <w:rPr>
          <w:rFonts w:ascii="Times New Roman" w:eastAsia="Calibri" w:hAnsi="Times New Roman" w:cs="Times New Roman"/>
          <w:color w:val="000000"/>
          <w:sz w:val="24"/>
          <w:szCs w:val="24"/>
        </w:rPr>
        <w:t>eed, to find that BOE’</w:t>
      </w:r>
      <w:r w:rsidR="00583AAD" w:rsidRPr="008C01A6">
        <w:rPr>
          <w:rFonts w:ascii="Times New Roman" w:eastAsia="Calibri" w:hAnsi="Times New Roman" w:cs="Times New Roman"/>
          <w:color w:val="000000"/>
          <w:sz w:val="24"/>
          <w:szCs w:val="24"/>
        </w:rPr>
        <w:t xml:space="preserve">s responsibilities end where the very discriminatory effects of architectural and other barriers to access begin would not only frustrate the “clear and comprehensive national mandate for the elimination of discrimination against individuals with disabilities,” </w:t>
      </w:r>
      <w:r w:rsidR="00583AAD" w:rsidRPr="008C01A6">
        <w:rPr>
          <w:rFonts w:ascii="Times New Roman" w:eastAsia="Calibri" w:hAnsi="Times New Roman" w:cs="Times New Roman"/>
          <w:i/>
          <w:iCs/>
          <w:color w:val="000000"/>
          <w:sz w:val="24"/>
          <w:szCs w:val="24"/>
        </w:rPr>
        <w:t>Henrietta D.,</w:t>
      </w:r>
      <w:r w:rsidR="00583AAD" w:rsidRPr="008C01A6">
        <w:rPr>
          <w:rFonts w:ascii="Times New Roman" w:eastAsia="Calibri" w:hAnsi="Times New Roman" w:cs="Times New Roman"/>
          <w:color w:val="000000"/>
          <w:sz w:val="24"/>
          <w:szCs w:val="24"/>
        </w:rPr>
        <w:t xml:space="preserve"> 331 F.3d at 272 . . . but directly contradict the purpose of the [ADA and Rehabilitation Act]. </w:t>
      </w:r>
      <w:r w:rsidR="00190763" w:rsidRPr="008C01A6">
        <w:rPr>
          <w:rFonts w:ascii="Times New Roman" w:eastAsia="Calibri" w:hAnsi="Times New Roman" w:cs="Times New Roman"/>
          <w:color w:val="000000"/>
          <w:sz w:val="24"/>
          <w:szCs w:val="24"/>
        </w:rPr>
        <w:t>. . .</w:t>
      </w:r>
      <w:r w:rsidRPr="008C01A6">
        <w:rPr>
          <w:rFonts w:ascii="Times New Roman" w:eastAsia="Calibri" w:hAnsi="Times New Roman" w:cs="Times New Roman"/>
          <w:color w:val="000000"/>
          <w:sz w:val="24"/>
          <w:szCs w:val="24"/>
        </w:rPr>
        <w:tab/>
      </w:r>
      <w:r w:rsidR="00190763" w:rsidRPr="008C01A6">
        <w:rPr>
          <w:rFonts w:ascii="Times New Roman" w:eastAsia="Calibri" w:hAnsi="Times New Roman" w:cs="Times New Roman"/>
          <w:color w:val="000000"/>
          <w:sz w:val="24"/>
          <w:szCs w:val="24"/>
        </w:rPr>
        <w:br/>
      </w:r>
      <w:r w:rsidRPr="008C01A6">
        <w:rPr>
          <w:rFonts w:ascii="Times New Roman" w:eastAsia="Calibri" w:hAnsi="Times New Roman" w:cs="Times New Roman"/>
          <w:color w:val="000000"/>
          <w:sz w:val="24"/>
          <w:szCs w:val="24"/>
        </w:rPr>
        <w:tab/>
      </w:r>
      <w:r w:rsidR="00583AAD" w:rsidRPr="008C01A6">
        <w:rPr>
          <w:rFonts w:ascii="Times New Roman" w:eastAsia="Calibri" w:hAnsi="Times New Roman" w:cs="Times New Roman"/>
          <w:color w:val="000000"/>
          <w:sz w:val="24"/>
          <w:szCs w:val="24"/>
        </w:rPr>
        <w:t>While we agree that BOE is not expected to “create poll sites out of whole cloth,” . . . [t]he steps required by the Acts include the very accommodations that plaintiffs propose</w:t>
      </w:r>
      <w:r w:rsidR="008577E2" w:rsidRPr="008C01A6">
        <w:rPr>
          <w:rFonts w:ascii="Times New Roman" w:eastAsia="Calibri" w:hAnsi="Times New Roman" w:cs="Times New Roman"/>
          <w:color w:val="000000"/>
          <w:sz w:val="24"/>
          <w:szCs w:val="24"/>
        </w:rPr>
        <w:t xml:space="preserve"> [such as] </w:t>
      </w:r>
      <w:r w:rsidR="00583AAD" w:rsidRPr="008C01A6">
        <w:rPr>
          <w:rFonts w:ascii="Times New Roman" w:eastAsia="Calibri" w:hAnsi="Times New Roman" w:cs="Times New Roman"/>
          <w:color w:val="000000"/>
          <w:sz w:val="24"/>
          <w:szCs w:val="24"/>
        </w:rPr>
        <w:t>providing accessibility equipment and ramps</w:t>
      </w:r>
      <w:r w:rsidR="008577E2" w:rsidRPr="008C01A6">
        <w:rPr>
          <w:rFonts w:ascii="Times New Roman" w:eastAsia="Calibri" w:hAnsi="Times New Roman" w:cs="Times New Roman"/>
          <w:color w:val="000000"/>
          <w:sz w:val="24"/>
          <w:szCs w:val="24"/>
        </w:rPr>
        <w:t>.</w:t>
      </w:r>
    </w:p>
    <w:p w:rsidR="00B52105" w:rsidRPr="008C01A6" w:rsidRDefault="00B52105">
      <w:pPr>
        <w:widowControl w:val="0"/>
        <w:autoSpaceDE w:val="0"/>
        <w:autoSpaceDN w:val="0"/>
        <w:adjustRightInd w:val="0"/>
        <w:ind w:left="720" w:right="720"/>
        <w:rPr>
          <w:rFonts w:ascii="Times New Roman" w:eastAsia="Calibri" w:hAnsi="Times New Roman" w:cs="Times New Roman"/>
          <w:color w:val="000000"/>
          <w:sz w:val="24"/>
          <w:szCs w:val="24"/>
        </w:rPr>
      </w:pPr>
    </w:p>
    <w:p w:rsidR="00B52105" w:rsidRPr="008C01A6" w:rsidRDefault="00583AAD">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i/>
          <w:color w:val="000000"/>
          <w:sz w:val="24"/>
          <w:szCs w:val="24"/>
        </w:rPr>
        <w:t>Disabled in Action</w:t>
      </w:r>
      <w:r w:rsidRPr="008C01A6">
        <w:rPr>
          <w:rFonts w:ascii="Times New Roman" w:eastAsia="Calibri" w:hAnsi="Times New Roman" w:cs="Times New Roman"/>
          <w:color w:val="000000"/>
          <w:sz w:val="24"/>
          <w:szCs w:val="24"/>
        </w:rPr>
        <w:t xml:space="preserve">, 752 F.3d </w:t>
      </w:r>
      <w:r w:rsidR="00D83969" w:rsidRPr="008C01A6">
        <w:rPr>
          <w:rFonts w:ascii="Times New Roman" w:eastAsia="Calibri" w:hAnsi="Times New Roman" w:cs="Times New Roman"/>
          <w:color w:val="000000"/>
          <w:sz w:val="24"/>
          <w:szCs w:val="24"/>
        </w:rPr>
        <w:t>at</w:t>
      </w:r>
      <w:r w:rsidRPr="008C01A6">
        <w:rPr>
          <w:rFonts w:ascii="Times New Roman" w:eastAsia="Calibri" w:hAnsi="Times New Roman" w:cs="Times New Roman"/>
          <w:color w:val="000000"/>
          <w:sz w:val="24"/>
          <w:szCs w:val="24"/>
        </w:rPr>
        <w:t xml:space="preserve"> 200</w:t>
      </w:r>
      <w:r w:rsidR="00D83969" w:rsidRPr="008C01A6">
        <w:rPr>
          <w:rFonts w:ascii="Times New Roman" w:eastAsia="Calibri" w:hAnsi="Times New Roman" w:cs="Times New Roman"/>
          <w:color w:val="000000"/>
          <w:sz w:val="24"/>
          <w:szCs w:val="24"/>
        </w:rPr>
        <w:t>-01</w:t>
      </w:r>
      <w:r w:rsidR="004F3448">
        <w:rPr>
          <w:rFonts w:ascii="Times New Roman" w:eastAsia="Calibri" w:hAnsi="Times New Roman" w:cs="Times New Roman"/>
          <w:color w:val="000000"/>
          <w:sz w:val="24"/>
          <w:szCs w:val="24"/>
        </w:rPr>
        <w:t xml:space="preserve"> (internal quotation marks omitted</w:t>
      </w:r>
      <w:r w:rsidR="002570B5">
        <w:rPr>
          <w:rFonts w:ascii="Times New Roman" w:eastAsia="Calibri" w:hAnsi="Times New Roman" w:cs="Times New Roman"/>
          <w:color w:val="000000"/>
          <w:sz w:val="24"/>
          <w:szCs w:val="24"/>
        </w:rPr>
        <w:t>)</w:t>
      </w:r>
      <w:r w:rsidR="00175172" w:rsidRPr="008C01A6">
        <w:rPr>
          <w:rFonts w:ascii="Times New Roman" w:eastAsia="Calibri" w:hAnsi="Times New Roman" w:cs="Times New Roman"/>
          <w:color w:val="000000"/>
          <w:sz w:val="24"/>
          <w:szCs w:val="24"/>
        </w:rPr>
        <w:t xml:space="preserve">. </w:t>
      </w:r>
      <w:r w:rsidRPr="008C01A6">
        <w:rPr>
          <w:rFonts w:ascii="Times New Roman" w:eastAsia="Calibri" w:hAnsi="Times New Roman" w:cs="Times New Roman"/>
          <w:color w:val="000000"/>
          <w:sz w:val="24"/>
          <w:szCs w:val="24"/>
        </w:rPr>
        <w:t>Similarly here, it is</w:t>
      </w:r>
      <w:r w:rsidR="00AD1155" w:rsidRPr="008C01A6">
        <w:rPr>
          <w:rFonts w:ascii="Times New Roman" w:eastAsia="Calibri" w:hAnsi="Times New Roman" w:cs="Times New Roman"/>
          <w:color w:val="000000"/>
          <w:sz w:val="24"/>
          <w:szCs w:val="24"/>
        </w:rPr>
        <w:t xml:space="preserve"> Harris County’s responsib</w:t>
      </w:r>
      <w:r w:rsidR="006A5610">
        <w:rPr>
          <w:rFonts w:ascii="Times New Roman" w:eastAsia="Calibri" w:hAnsi="Times New Roman" w:cs="Times New Roman"/>
          <w:color w:val="000000"/>
          <w:sz w:val="24"/>
          <w:szCs w:val="24"/>
        </w:rPr>
        <w:t>ility</w:t>
      </w:r>
      <w:r w:rsidR="00AD1155" w:rsidRPr="008C01A6">
        <w:rPr>
          <w:rFonts w:ascii="Times New Roman" w:eastAsia="Calibri" w:hAnsi="Times New Roman" w:cs="Times New Roman"/>
          <w:color w:val="000000"/>
          <w:sz w:val="24"/>
          <w:szCs w:val="24"/>
        </w:rPr>
        <w:t xml:space="preserve"> to select sites—county owned or otherwise—that are accessible at the outset, or to select </w:t>
      </w:r>
      <w:r w:rsidR="008577E2" w:rsidRPr="008C01A6">
        <w:rPr>
          <w:rFonts w:ascii="Times New Roman" w:eastAsia="Calibri" w:hAnsi="Times New Roman" w:cs="Times New Roman"/>
          <w:color w:val="000000"/>
          <w:sz w:val="24"/>
          <w:szCs w:val="24"/>
        </w:rPr>
        <w:t>sites that can be made accessible with temporary modifications that the County provides</w:t>
      </w:r>
      <w:r w:rsidR="00175172" w:rsidRPr="008C01A6">
        <w:rPr>
          <w:rFonts w:ascii="Times New Roman" w:eastAsia="Calibri" w:hAnsi="Times New Roman" w:cs="Times New Roman"/>
          <w:color w:val="000000"/>
          <w:sz w:val="24"/>
          <w:szCs w:val="24"/>
        </w:rPr>
        <w:t xml:space="preserve">. </w:t>
      </w:r>
      <w:proofErr w:type="gramStart"/>
      <w:r w:rsidR="00372FB9" w:rsidRPr="008C01A6">
        <w:rPr>
          <w:rFonts w:ascii="Times New Roman" w:eastAsia="Calibri" w:hAnsi="Times New Roman" w:cs="Times New Roman"/>
          <w:i/>
          <w:color w:val="000000"/>
          <w:sz w:val="24"/>
          <w:szCs w:val="24"/>
        </w:rPr>
        <w:t>Id.</w:t>
      </w:r>
      <w:r w:rsidR="00372FB9" w:rsidRPr="008C01A6">
        <w:rPr>
          <w:rFonts w:ascii="Times New Roman" w:eastAsia="Calibri" w:hAnsi="Times New Roman" w:cs="Times New Roman"/>
          <w:color w:val="000000"/>
          <w:sz w:val="24"/>
          <w:szCs w:val="24"/>
        </w:rPr>
        <w:t>; Texas Elec. Code §43.034(b)</w:t>
      </w:r>
      <w:r w:rsidR="00175172" w:rsidRPr="008C01A6">
        <w:rPr>
          <w:rFonts w:ascii="Times New Roman" w:eastAsia="Calibri" w:hAnsi="Times New Roman" w:cs="Times New Roman"/>
          <w:color w:val="000000"/>
          <w:sz w:val="24"/>
          <w:szCs w:val="24"/>
        </w:rPr>
        <w:t>.</w:t>
      </w:r>
      <w:proofErr w:type="gramEnd"/>
      <w:r w:rsidR="00175172" w:rsidRPr="008C01A6">
        <w:rPr>
          <w:rFonts w:ascii="Times New Roman" w:eastAsia="Calibri" w:hAnsi="Times New Roman" w:cs="Times New Roman"/>
          <w:color w:val="000000"/>
          <w:sz w:val="24"/>
          <w:szCs w:val="24"/>
        </w:rPr>
        <w:t xml:space="preserve"> </w:t>
      </w:r>
      <w:r w:rsidR="00AD1155" w:rsidRPr="008C01A6">
        <w:rPr>
          <w:rFonts w:ascii="Times New Roman" w:eastAsia="Calibri" w:hAnsi="Times New Roman" w:cs="Times New Roman"/>
          <w:color w:val="000000"/>
          <w:sz w:val="24"/>
          <w:szCs w:val="24"/>
        </w:rPr>
        <w:t>Harris County has not alleged that there are an insufficient number of buildings within Harris County that are or can be made accessible.</w:t>
      </w:r>
    </w:p>
    <w:p w:rsidR="00B52105" w:rsidRPr="008C01A6" w:rsidRDefault="00372FB9">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t xml:space="preserve">Harris County relies on </w:t>
      </w:r>
      <w:r w:rsidRPr="008C01A6">
        <w:rPr>
          <w:rFonts w:ascii="Times New Roman" w:eastAsia="Calibri" w:hAnsi="Times New Roman" w:cs="Times New Roman"/>
          <w:i/>
          <w:color w:val="000000"/>
          <w:sz w:val="24"/>
          <w:szCs w:val="24"/>
        </w:rPr>
        <w:t>Westchester Disabled on the Move, Inc., v. County of Westchester</w:t>
      </w:r>
      <w:r w:rsidRPr="008C01A6">
        <w:rPr>
          <w:rFonts w:ascii="Times New Roman" w:eastAsia="Calibri" w:hAnsi="Times New Roman" w:cs="Times New Roman"/>
          <w:color w:val="000000"/>
          <w:sz w:val="24"/>
          <w:szCs w:val="24"/>
        </w:rPr>
        <w:t>, 346 F. Supp. 2d 473</w:t>
      </w:r>
      <w:r w:rsidR="00190763" w:rsidRPr="008C01A6">
        <w:rPr>
          <w:rFonts w:ascii="Times New Roman" w:eastAsia="Calibri" w:hAnsi="Times New Roman" w:cs="Times New Roman"/>
          <w:color w:val="000000"/>
          <w:sz w:val="24"/>
          <w:szCs w:val="24"/>
        </w:rPr>
        <w:t>, 480</w:t>
      </w:r>
      <w:r w:rsidRPr="008C01A6">
        <w:rPr>
          <w:rFonts w:ascii="Times New Roman" w:eastAsia="Calibri" w:hAnsi="Times New Roman" w:cs="Times New Roman"/>
          <w:color w:val="000000"/>
          <w:sz w:val="24"/>
          <w:szCs w:val="24"/>
        </w:rPr>
        <w:t xml:space="preserve"> (S.D.</w:t>
      </w:r>
      <w:r w:rsidR="00FE124E" w:rsidRPr="008C01A6">
        <w:rPr>
          <w:rFonts w:ascii="Times New Roman" w:eastAsia="Calibri" w:hAnsi="Times New Roman" w:cs="Times New Roman"/>
          <w:color w:val="000000"/>
          <w:sz w:val="24"/>
          <w:szCs w:val="24"/>
        </w:rPr>
        <w:t>N.Y.</w:t>
      </w:r>
      <w:r w:rsidRPr="008C01A6">
        <w:rPr>
          <w:rFonts w:ascii="Times New Roman" w:eastAsia="Calibri" w:hAnsi="Times New Roman" w:cs="Times New Roman"/>
          <w:color w:val="000000"/>
          <w:sz w:val="24"/>
          <w:szCs w:val="24"/>
        </w:rPr>
        <w:t xml:space="preserve"> </w:t>
      </w:r>
      <w:r w:rsidR="00190763" w:rsidRPr="008C01A6">
        <w:rPr>
          <w:rFonts w:ascii="Times New Roman" w:eastAsia="Calibri" w:hAnsi="Times New Roman" w:cs="Times New Roman"/>
          <w:color w:val="000000"/>
          <w:sz w:val="24"/>
          <w:szCs w:val="24"/>
        </w:rPr>
        <w:t>2004)</w:t>
      </w:r>
      <w:r w:rsidR="001D7DF4" w:rsidRPr="008C01A6">
        <w:rPr>
          <w:rFonts w:ascii="Times New Roman" w:eastAsia="Calibri" w:hAnsi="Times New Roman" w:cs="Times New Roman"/>
          <w:color w:val="000000"/>
          <w:sz w:val="24"/>
          <w:szCs w:val="24"/>
        </w:rPr>
        <w:t xml:space="preserve"> (citing </w:t>
      </w:r>
      <w:r w:rsidR="001D7DF4" w:rsidRPr="008C01A6">
        <w:rPr>
          <w:rFonts w:ascii="Times New Roman" w:eastAsia="Calibri" w:hAnsi="Times New Roman" w:cs="Times New Roman"/>
          <w:i/>
          <w:color w:val="000000"/>
          <w:sz w:val="24"/>
          <w:szCs w:val="24"/>
        </w:rPr>
        <w:t>People of New York ex rel. Spitzer v. County of Delaware</w:t>
      </w:r>
      <w:r w:rsidR="001D7DF4" w:rsidRPr="008C01A6">
        <w:rPr>
          <w:rFonts w:ascii="Times New Roman" w:eastAsia="Calibri" w:hAnsi="Times New Roman" w:cs="Times New Roman"/>
          <w:color w:val="000000"/>
          <w:sz w:val="24"/>
          <w:szCs w:val="24"/>
        </w:rPr>
        <w:t>, 82 F. Supp. 2d 12, 15 (N.D.N.Y. 2000))</w:t>
      </w:r>
      <w:r w:rsidR="00190763" w:rsidRPr="008C01A6">
        <w:rPr>
          <w:rFonts w:ascii="Times New Roman" w:eastAsia="Calibri" w:hAnsi="Times New Roman" w:cs="Times New Roman"/>
          <w:color w:val="000000"/>
          <w:sz w:val="24"/>
          <w:szCs w:val="24"/>
        </w:rPr>
        <w:t>, where the court held that the municipalities that</w:t>
      </w:r>
      <w:r w:rsidR="00B80BDE" w:rsidRPr="008C01A6">
        <w:rPr>
          <w:rFonts w:ascii="Times New Roman" w:eastAsia="Calibri" w:hAnsi="Times New Roman" w:cs="Times New Roman"/>
          <w:color w:val="000000"/>
          <w:sz w:val="24"/>
          <w:szCs w:val="24"/>
        </w:rPr>
        <w:t xml:space="preserve"> owned or controlled various polling places </w:t>
      </w:r>
      <w:r w:rsidR="00190763" w:rsidRPr="008C01A6">
        <w:rPr>
          <w:rFonts w:ascii="Times New Roman" w:eastAsia="Calibri" w:hAnsi="Times New Roman" w:cs="Times New Roman"/>
          <w:color w:val="000000"/>
          <w:sz w:val="24"/>
          <w:szCs w:val="24"/>
        </w:rPr>
        <w:t>were necessary</w:t>
      </w:r>
      <w:r w:rsidR="0078584C" w:rsidRPr="008C01A6">
        <w:rPr>
          <w:rFonts w:ascii="Times New Roman" w:eastAsia="Calibri" w:hAnsi="Times New Roman" w:cs="Times New Roman"/>
          <w:color w:val="000000"/>
          <w:sz w:val="24"/>
          <w:szCs w:val="24"/>
        </w:rPr>
        <w:t xml:space="preserve"> parties</w:t>
      </w:r>
      <w:r w:rsidR="00175172" w:rsidRPr="008C01A6">
        <w:rPr>
          <w:rFonts w:ascii="Times New Roman" w:eastAsia="Calibri" w:hAnsi="Times New Roman" w:cs="Times New Roman"/>
          <w:color w:val="000000"/>
          <w:sz w:val="24"/>
          <w:szCs w:val="24"/>
        </w:rPr>
        <w:t xml:space="preserve">. </w:t>
      </w:r>
      <w:proofErr w:type="gramStart"/>
      <w:r w:rsidR="00190763" w:rsidRPr="008C01A6">
        <w:rPr>
          <w:rFonts w:ascii="Times New Roman" w:eastAsia="Calibri" w:hAnsi="Times New Roman" w:cs="Times New Roman"/>
          <w:color w:val="000000"/>
          <w:sz w:val="24"/>
          <w:szCs w:val="24"/>
        </w:rPr>
        <w:t>MTD at 12</w:t>
      </w:r>
      <w:r w:rsidR="00175172" w:rsidRPr="008C01A6">
        <w:rPr>
          <w:rFonts w:ascii="Times New Roman" w:eastAsia="Calibri" w:hAnsi="Times New Roman" w:cs="Times New Roman"/>
          <w:color w:val="000000"/>
          <w:sz w:val="24"/>
          <w:szCs w:val="24"/>
        </w:rPr>
        <w:t>.</w:t>
      </w:r>
      <w:proofErr w:type="gramEnd"/>
      <w:r w:rsidR="00175172" w:rsidRPr="008C01A6">
        <w:rPr>
          <w:rFonts w:ascii="Times New Roman" w:eastAsia="Calibri" w:hAnsi="Times New Roman" w:cs="Times New Roman"/>
          <w:color w:val="000000"/>
          <w:sz w:val="24"/>
          <w:szCs w:val="24"/>
        </w:rPr>
        <w:t xml:space="preserve"> </w:t>
      </w:r>
      <w:r w:rsidR="00190763" w:rsidRPr="008C01A6">
        <w:rPr>
          <w:rFonts w:ascii="Times New Roman" w:eastAsia="Calibri" w:hAnsi="Times New Roman" w:cs="Times New Roman"/>
          <w:color w:val="000000"/>
          <w:sz w:val="24"/>
          <w:szCs w:val="24"/>
        </w:rPr>
        <w:t xml:space="preserve">But the municipalities in </w:t>
      </w:r>
      <w:r w:rsidR="00005752" w:rsidRPr="008C01A6">
        <w:rPr>
          <w:rFonts w:ascii="Times New Roman" w:eastAsia="Calibri" w:hAnsi="Times New Roman" w:cs="Times New Roman"/>
          <w:i/>
          <w:color w:val="000000"/>
          <w:sz w:val="24"/>
          <w:szCs w:val="24"/>
        </w:rPr>
        <w:t>Westchester</w:t>
      </w:r>
      <w:r w:rsidR="00005752" w:rsidRPr="008C01A6">
        <w:rPr>
          <w:rFonts w:ascii="Times New Roman" w:eastAsia="Calibri" w:hAnsi="Times New Roman" w:cs="Times New Roman"/>
          <w:color w:val="000000"/>
          <w:sz w:val="24"/>
          <w:szCs w:val="24"/>
        </w:rPr>
        <w:t>, unlike the facility owners or election judges here, had significant responsibilities to select poll sites and manage the election</w:t>
      </w:r>
      <w:r w:rsidR="00175172" w:rsidRPr="008C01A6">
        <w:rPr>
          <w:rFonts w:ascii="Times New Roman" w:eastAsia="Calibri" w:hAnsi="Times New Roman" w:cs="Times New Roman"/>
          <w:color w:val="000000"/>
          <w:sz w:val="24"/>
          <w:szCs w:val="24"/>
        </w:rPr>
        <w:t xml:space="preserve">. </w:t>
      </w:r>
      <w:proofErr w:type="gramStart"/>
      <w:r w:rsidR="00005752" w:rsidRPr="008C01A6">
        <w:rPr>
          <w:rFonts w:ascii="Times New Roman" w:eastAsia="Calibri" w:hAnsi="Times New Roman" w:cs="Times New Roman"/>
          <w:i/>
          <w:color w:val="000000"/>
          <w:sz w:val="24"/>
          <w:szCs w:val="24"/>
        </w:rPr>
        <w:t xml:space="preserve">Id. </w:t>
      </w:r>
      <w:r w:rsidR="00D84230" w:rsidRPr="008C01A6">
        <w:rPr>
          <w:rFonts w:ascii="Times New Roman" w:eastAsia="Calibri" w:hAnsi="Times New Roman" w:cs="Times New Roman"/>
          <w:color w:val="000000"/>
          <w:sz w:val="24"/>
          <w:szCs w:val="24"/>
        </w:rPr>
        <w:t>at 476-80</w:t>
      </w:r>
      <w:r w:rsidR="00175172" w:rsidRPr="008C01A6">
        <w:rPr>
          <w:rFonts w:ascii="Times New Roman" w:eastAsia="Calibri" w:hAnsi="Times New Roman" w:cs="Times New Roman"/>
          <w:color w:val="000000"/>
          <w:sz w:val="24"/>
          <w:szCs w:val="24"/>
        </w:rPr>
        <w:t>.</w:t>
      </w:r>
      <w:proofErr w:type="gramEnd"/>
      <w:r w:rsidR="00175172" w:rsidRPr="008C01A6">
        <w:rPr>
          <w:rFonts w:ascii="Times New Roman" w:eastAsia="Calibri" w:hAnsi="Times New Roman" w:cs="Times New Roman"/>
          <w:color w:val="000000"/>
          <w:sz w:val="24"/>
          <w:szCs w:val="24"/>
        </w:rPr>
        <w:t xml:space="preserve"> </w:t>
      </w:r>
      <w:bookmarkStart w:id="16" w:name="_GoBack"/>
      <w:bookmarkEnd w:id="16"/>
      <w:r w:rsidR="00D84230" w:rsidRPr="008C01A6">
        <w:rPr>
          <w:rFonts w:ascii="Times New Roman" w:eastAsia="Calibri" w:hAnsi="Times New Roman" w:cs="Times New Roman"/>
          <w:color w:val="000000"/>
          <w:sz w:val="24"/>
          <w:szCs w:val="24"/>
        </w:rPr>
        <w:t>And i</w:t>
      </w:r>
      <w:r w:rsidR="00005752" w:rsidRPr="008C01A6">
        <w:rPr>
          <w:rFonts w:ascii="Times New Roman" w:eastAsia="Calibri" w:hAnsi="Times New Roman" w:cs="Times New Roman"/>
          <w:color w:val="000000"/>
          <w:sz w:val="24"/>
          <w:szCs w:val="24"/>
        </w:rPr>
        <w:t xml:space="preserve">n contrast to what Harris County requests here, the </w:t>
      </w:r>
      <w:r w:rsidR="00005752" w:rsidRPr="008C01A6">
        <w:rPr>
          <w:rFonts w:ascii="Times New Roman" w:eastAsia="Calibri" w:hAnsi="Times New Roman" w:cs="Times New Roman"/>
          <w:i/>
          <w:color w:val="000000"/>
          <w:sz w:val="24"/>
          <w:szCs w:val="24"/>
        </w:rPr>
        <w:t xml:space="preserve">Westchester </w:t>
      </w:r>
      <w:r w:rsidR="00005752" w:rsidRPr="008C01A6">
        <w:rPr>
          <w:rFonts w:ascii="Times New Roman" w:eastAsia="Calibri" w:hAnsi="Times New Roman" w:cs="Times New Roman"/>
          <w:color w:val="000000"/>
          <w:sz w:val="24"/>
          <w:szCs w:val="24"/>
        </w:rPr>
        <w:t xml:space="preserve">court did </w:t>
      </w:r>
      <w:r w:rsidR="00005752" w:rsidRPr="008C01A6">
        <w:rPr>
          <w:rFonts w:ascii="Times New Roman" w:eastAsia="Calibri" w:hAnsi="Times New Roman" w:cs="Times New Roman"/>
          <w:i/>
          <w:color w:val="000000"/>
          <w:sz w:val="24"/>
          <w:szCs w:val="24"/>
        </w:rPr>
        <w:t>not</w:t>
      </w:r>
      <w:r w:rsidR="00005752" w:rsidRPr="008C01A6">
        <w:rPr>
          <w:rFonts w:ascii="Times New Roman" w:eastAsia="Calibri" w:hAnsi="Times New Roman" w:cs="Times New Roman"/>
          <w:color w:val="000000"/>
          <w:sz w:val="24"/>
          <w:szCs w:val="24"/>
        </w:rPr>
        <w:t xml:space="preserve"> require that the owners of any private facilities used </w:t>
      </w:r>
      <w:r w:rsidR="00D84230" w:rsidRPr="008C01A6">
        <w:rPr>
          <w:rFonts w:ascii="Times New Roman" w:eastAsia="Calibri" w:hAnsi="Times New Roman" w:cs="Times New Roman"/>
          <w:color w:val="000000"/>
          <w:sz w:val="24"/>
          <w:szCs w:val="24"/>
        </w:rPr>
        <w:t>as polling places be joined as parties</w:t>
      </w:r>
      <w:r w:rsidR="0099367B" w:rsidRPr="008C01A6">
        <w:rPr>
          <w:rFonts w:ascii="Times New Roman" w:eastAsia="Calibri" w:hAnsi="Times New Roman" w:cs="Times New Roman"/>
          <w:color w:val="000000"/>
          <w:sz w:val="24"/>
          <w:szCs w:val="24"/>
        </w:rPr>
        <w:t xml:space="preserve">. </w:t>
      </w:r>
      <w:r w:rsidR="0078584C" w:rsidRPr="008C01A6">
        <w:rPr>
          <w:rFonts w:ascii="Times New Roman" w:eastAsia="Calibri" w:hAnsi="Times New Roman" w:cs="Times New Roman"/>
          <w:i/>
          <w:color w:val="000000"/>
          <w:sz w:val="24"/>
          <w:szCs w:val="24"/>
        </w:rPr>
        <w:t>Id.</w:t>
      </w:r>
    </w:p>
    <w:p w:rsidR="00B52105" w:rsidRPr="008C01A6" w:rsidRDefault="001D7DF4" w:rsidP="00FE168C">
      <w:pPr>
        <w:widowControl w:val="0"/>
        <w:autoSpaceDE w:val="0"/>
        <w:autoSpaceDN w:val="0"/>
        <w:adjustRightInd w:val="0"/>
        <w:spacing w:line="480" w:lineRule="auto"/>
        <w:rPr>
          <w:rFonts w:ascii="Times New Roman" w:eastAsia="Times New Roman" w:hAnsi="Times New Roman" w:cs="Times New Roman"/>
          <w:sz w:val="24"/>
          <w:szCs w:val="24"/>
        </w:rPr>
      </w:pPr>
      <w:r w:rsidRPr="008C01A6">
        <w:rPr>
          <w:rFonts w:ascii="Times New Roman" w:eastAsia="Calibri" w:hAnsi="Times New Roman" w:cs="Times New Roman"/>
          <w:color w:val="000000"/>
          <w:sz w:val="24"/>
          <w:szCs w:val="24"/>
        </w:rPr>
        <w:tab/>
        <w:t xml:space="preserve">Moreover, </w:t>
      </w:r>
      <w:r w:rsidRPr="008C01A6">
        <w:rPr>
          <w:rFonts w:ascii="Times New Roman" w:eastAsia="Calibri" w:hAnsi="Times New Roman" w:cs="Times New Roman"/>
          <w:i/>
          <w:color w:val="000000"/>
          <w:sz w:val="24"/>
          <w:szCs w:val="24"/>
        </w:rPr>
        <w:t>Spitzer</w:t>
      </w:r>
      <w:r w:rsidRPr="008C01A6">
        <w:rPr>
          <w:rFonts w:ascii="Times New Roman" w:eastAsia="Calibri" w:hAnsi="Times New Roman" w:cs="Times New Roman"/>
          <w:color w:val="000000"/>
          <w:sz w:val="24"/>
          <w:szCs w:val="24"/>
        </w:rPr>
        <w:t xml:space="preserve">—the only case </w:t>
      </w:r>
      <w:r w:rsidRPr="008C01A6">
        <w:rPr>
          <w:rFonts w:ascii="Times New Roman" w:eastAsia="Calibri" w:hAnsi="Times New Roman" w:cs="Times New Roman"/>
          <w:i/>
          <w:color w:val="000000"/>
          <w:sz w:val="24"/>
          <w:szCs w:val="24"/>
        </w:rPr>
        <w:t xml:space="preserve">Westchester </w:t>
      </w:r>
      <w:r w:rsidRPr="008C01A6">
        <w:rPr>
          <w:rFonts w:ascii="Times New Roman" w:eastAsia="Calibri" w:hAnsi="Times New Roman" w:cs="Times New Roman"/>
          <w:color w:val="000000"/>
          <w:sz w:val="24"/>
          <w:szCs w:val="24"/>
        </w:rPr>
        <w:t xml:space="preserve">cited in support of its holding—actually held that owners of facilities were </w:t>
      </w:r>
      <w:r w:rsidRPr="008C01A6">
        <w:rPr>
          <w:rFonts w:ascii="Times New Roman" w:eastAsia="Calibri" w:hAnsi="Times New Roman" w:cs="Times New Roman"/>
          <w:i/>
          <w:color w:val="000000"/>
          <w:sz w:val="24"/>
          <w:szCs w:val="24"/>
        </w:rPr>
        <w:t>not</w:t>
      </w:r>
      <w:r w:rsidRPr="008C01A6">
        <w:rPr>
          <w:rFonts w:ascii="Times New Roman" w:eastAsia="Calibri" w:hAnsi="Times New Roman" w:cs="Times New Roman"/>
          <w:color w:val="000000"/>
          <w:sz w:val="24"/>
          <w:szCs w:val="24"/>
        </w:rPr>
        <w:t xml:space="preserve"> necessary parties. </w:t>
      </w:r>
      <w:r w:rsidR="00FF1F77" w:rsidRPr="008C01A6">
        <w:rPr>
          <w:rFonts w:ascii="Times New Roman" w:eastAsia="Calibri" w:hAnsi="Times New Roman" w:cs="Times New Roman"/>
          <w:color w:val="000000"/>
          <w:sz w:val="24"/>
          <w:szCs w:val="24"/>
        </w:rPr>
        <w:t xml:space="preserve">As the </w:t>
      </w:r>
      <w:r w:rsidR="00FF1F77" w:rsidRPr="008C01A6">
        <w:rPr>
          <w:rFonts w:ascii="Times New Roman" w:eastAsia="Calibri" w:hAnsi="Times New Roman" w:cs="Times New Roman"/>
          <w:i/>
          <w:color w:val="000000"/>
          <w:sz w:val="24"/>
          <w:szCs w:val="24"/>
        </w:rPr>
        <w:t>Spitzer</w:t>
      </w:r>
      <w:r w:rsidR="00FF1F77" w:rsidRPr="008C01A6">
        <w:rPr>
          <w:rFonts w:ascii="Times New Roman" w:eastAsia="Calibri" w:hAnsi="Times New Roman" w:cs="Times New Roman"/>
          <w:color w:val="000000"/>
          <w:sz w:val="24"/>
          <w:szCs w:val="24"/>
        </w:rPr>
        <w:t xml:space="preserve"> court explained</w:t>
      </w:r>
      <w:r w:rsidR="00B06F56" w:rsidRPr="008C01A6">
        <w:rPr>
          <w:rFonts w:ascii="Times New Roman" w:eastAsia="Times New Roman" w:hAnsi="Times New Roman" w:cs="Times New Roman"/>
          <w:sz w:val="24"/>
          <w:szCs w:val="24"/>
        </w:rPr>
        <w:t xml:space="preserve">, it was the </w:t>
      </w:r>
      <w:r w:rsidR="00FA7886" w:rsidRPr="008C01A6">
        <w:rPr>
          <w:rFonts w:ascii="Times New Roman" w:eastAsia="Times New Roman" w:hAnsi="Times New Roman" w:cs="Times New Roman"/>
          <w:sz w:val="24"/>
          <w:szCs w:val="24"/>
        </w:rPr>
        <w:t xml:space="preserve">County’s </w:t>
      </w:r>
      <w:r w:rsidR="0078584C" w:rsidRPr="008C01A6">
        <w:rPr>
          <w:rFonts w:ascii="Times New Roman" w:eastAsia="Times New Roman" w:hAnsi="Times New Roman" w:cs="Times New Roman"/>
          <w:sz w:val="24"/>
          <w:szCs w:val="24"/>
        </w:rPr>
        <w:t>responsibility under the s</w:t>
      </w:r>
      <w:r w:rsidR="00B06F56" w:rsidRPr="008C01A6">
        <w:rPr>
          <w:rFonts w:ascii="Times New Roman" w:eastAsia="Times New Roman" w:hAnsi="Times New Roman" w:cs="Times New Roman"/>
          <w:sz w:val="24"/>
          <w:szCs w:val="24"/>
        </w:rPr>
        <w:t xml:space="preserve">tate’s election law to </w:t>
      </w:r>
      <w:r w:rsidR="00223216" w:rsidRPr="008C01A6">
        <w:rPr>
          <w:rFonts w:ascii="Times New Roman" w:eastAsia="Times New Roman" w:hAnsi="Times New Roman" w:cs="Times New Roman"/>
          <w:sz w:val="24"/>
          <w:szCs w:val="24"/>
        </w:rPr>
        <w:t>select suitable (i.e., accessible) polling sites. “</w:t>
      </w:r>
      <w:r w:rsidR="00372FB9" w:rsidRPr="008C01A6">
        <w:rPr>
          <w:rFonts w:ascii="Times New Roman" w:eastAsia="Times New Roman" w:hAnsi="Times New Roman" w:cs="Times New Roman"/>
          <w:sz w:val="24"/>
          <w:szCs w:val="24"/>
        </w:rPr>
        <w:t>That they did not do so</w:t>
      </w:r>
      <w:r w:rsidR="00B80BDE" w:rsidRPr="008C01A6">
        <w:rPr>
          <w:rFonts w:ascii="Times New Roman" w:eastAsia="Times New Roman" w:hAnsi="Times New Roman" w:cs="Times New Roman"/>
          <w:sz w:val="24"/>
          <w:szCs w:val="24"/>
        </w:rPr>
        <w:t xml:space="preserve"> . . .</w:t>
      </w:r>
      <w:r w:rsidR="00372FB9" w:rsidRPr="008C01A6">
        <w:rPr>
          <w:rFonts w:ascii="Times New Roman" w:eastAsia="Times New Roman" w:hAnsi="Times New Roman" w:cs="Times New Roman"/>
          <w:sz w:val="24"/>
          <w:szCs w:val="24"/>
        </w:rPr>
        <w:t xml:space="preserve"> is not plaintiffs</w:t>
      </w:r>
      <w:r w:rsidR="008C59A7" w:rsidRPr="008C01A6">
        <w:rPr>
          <w:rFonts w:ascii="Times New Roman" w:eastAsia="Times New Roman" w:hAnsi="Times New Roman" w:cs="Times New Roman"/>
          <w:sz w:val="24"/>
          <w:szCs w:val="24"/>
        </w:rPr>
        <w:t>’</w:t>
      </w:r>
      <w:r w:rsidR="00372FB9" w:rsidRPr="008C01A6">
        <w:rPr>
          <w:rFonts w:ascii="Times New Roman" w:eastAsia="Times New Roman" w:hAnsi="Times New Roman" w:cs="Times New Roman"/>
          <w:sz w:val="24"/>
          <w:szCs w:val="24"/>
        </w:rPr>
        <w:t xml:space="preserve"> fault</w:t>
      </w:r>
      <w:r w:rsidR="00175172" w:rsidRPr="008C01A6">
        <w:rPr>
          <w:rFonts w:ascii="Times New Roman" w:eastAsia="Times New Roman" w:hAnsi="Times New Roman" w:cs="Times New Roman"/>
          <w:sz w:val="24"/>
          <w:szCs w:val="24"/>
        </w:rPr>
        <w:t xml:space="preserve">. </w:t>
      </w:r>
      <w:r w:rsidR="00372FB9" w:rsidRPr="008C01A6">
        <w:rPr>
          <w:rFonts w:ascii="Times New Roman" w:eastAsia="Times New Roman" w:hAnsi="Times New Roman" w:cs="Times New Roman"/>
          <w:sz w:val="24"/>
          <w:szCs w:val="24"/>
        </w:rPr>
        <w:t>Defendants are admonished to use their abilities to insure compliance with this Order</w:t>
      </w:r>
      <w:r w:rsidR="008F1E3D" w:rsidRPr="008C01A6">
        <w:rPr>
          <w:rFonts w:ascii="Times New Roman" w:eastAsia="Times New Roman" w:hAnsi="Times New Roman" w:cs="Times New Roman"/>
          <w:sz w:val="24"/>
          <w:szCs w:val="24"/>
        </w:rPr>
        <w:t>.</w:t>
      </w:r>
      <w:r w:rsidR="00D51E91" w:rsidRPr="008C01A6">
        <w:rPr>
          <w:rFonts w:ascii="Times New Roman" w:eastAsia="Times New Roman" w:hAnsi="Times New Roman" w:cs="Times New Roman"/>
          <w:sz w:val="24"/>
          <w:szCs w:val="24"/>
        </w:rPr>
        <w:t xml:space="preserve">” </w:t>
      </w:r>
      <w:proofErr w:type="gramStart"/>
      <w:r w:rsidR="00FF1F77" w:rsidRPr="008C01A6">
        <w:rPr>
          <w:rFonts w:ascii="Times New Roman" w:eastAsia="Calibri" w:hAnsi="Times New Roman" w:cs="Times New Roman"/>
          <w:color w:val="000000"/>
          <w:sz w:val="24"/>
          <w:szCs w:val="24"/>
        </w:rPr>
        <w:t>82 F.</w:t>
      </w:r>
      <w:r w:rsidR="00FF1F77" w:rsidRPr="008C01A6">
        <w:rPr>
          <w:rFonts w:ascii="Times New Roman" w:hAnsi="Times New Roman" w:cs="Times New Roman"/>
          <w:color w:val="000000"/>
          <w:sz w:val="24"/>
          <w:szCs w:val="24"/>
        </w:rPr>
        <w:t xml:space="preserve"> Supp. </w:t>
      </w:r>
      <w:r w:rsidR="00FF1F77" w:rsidRPr="008C01A6">
        <w:rPr>
          <w:rFonts w:ascii="Times New Roman" w:eastAsia="Calibri" w:hAnsi="Times New Roman" w:cs="Times New Roman"/>
          <w:color w:val="000000"/>
          <w:sz w:val="24"/>
          <w:szCs w:val="24"/>
        </w:rPr>
        <w:t>2d at 18.</w:t>
      </w:r>
      <w:proofErr w:type="gramEnd"/>
      <w:r w:rsidR="00FF1F77" w:rsidRPr="008C01A6">
        <w:rPr>
          <w:rFonts w:ascii="Times New Roman" w:eastAsia="Calibri" w:hAnsi="Times New Roman" w:cs="Times New Roman"/>
          <w:color w:val="000000"/>
          <w:sz w:val="24"/>
          <w:szCs w:val="24"/>
        </w:rPr>
        <w:t xml:space="preserve"> </w:t>
      </w:r>
      <w:r w:rsidR="00223216" w:rsidRPr="008C01A6">
        <w:rPr>
          <w:rFonts w:ascii="Times New Roman" w:eastAsia="Times New Roman" w:hAnsi="Times New Roman" w:cs="Times New Roman"/>
          <w:sz w:val="24"/>
          <w:szCs w:val="24"/>
        </w:rPr>
        <w:t xml:space="preserve">The </w:t>
      </w:r>
      <w:r w:rsidR="00223216" w:rsidRPr="008C01A6">
        <w:rPr>
          <w:rFonts w:ascii="Times New Roman" w:eastAsia="Times New Roman" w:hAnsi="Times New Roman" w:cs="Times New Roman"/>
          <w:i/>
          <w:sz w:val="24"/>
          <w:szCs w:val="24"/>
        </w:rPr>
        <w:t>Spitzer</w:t>
      </w:r>
      <w:r w:rsidR="00223216" w:rsidRPr="008C01A6">
        <w:rPr>
          <w:rFonts w:ascii="Times New Roman" w:eastAsia="Times New Roman" w:hAnsi="Times New Roman" w:cs="Times New Roman"/>
          <w:sz w:val="24"/>
          <w:szCs w:val="24"/>
        </w:rPr>
        <w:t xml:space="preserve"> court noted that </w:t>
      </w:r>
      <w:r w:rsidR="00FE168C" w:rsidRPr="008C01A6">
        <w:rPr>
          <w:rFonts w:ascii="Times New Roman" w:eastAsia="Times New Roman" w:hAnsi="Times New Roman" w:cs="Times New Roman"/>
          <w:sz w:val="24"/>
          <w:szCs w:val="24"/>
        </w:rPr>
        <w:t>it had the authority to reconsider its order if an individual unreasonably refused to comply with the County’s instructions.</w:t>
      </w:r>
      <w:r w:rsidR="00175172" w:rsidRPr="008C01A6">
        <w:rPr>
          <w:rFonts w:ascii="Times New Roman" w:eastAsia="Times New Roman" w:hAnsi="Times New Roman" w:cs="Times New Roman"/>
          <w:sz w:val="24"/>
          <w:szCs w:val="24"/>
        </w:rPr>
        <w:t xml:space="preserve"> </w:t>
      </w:r>
      <w:proofErr w:type="gramStart"/>
      <w:r w:rsidR="00223216" w:rsidRPr="008C01A6">
        <w:rPr>
          <w:rFonts w:ascii="Times New Roman" w:eastAsia="Times New Roman" w:hAnsi="Times New Roman" w:cs="Times New Roman"/>
          <w:i/>
          <w:sz w:val="24"/>
          <w:szCs w:val="24"/>
        </w:rPr>
        <w:t>Id.</w:t>
      </w:r>
      <w:r w:rsidR="00711D45" w:rsidRPr="008C01A6">
        <w:rPr>
          <w:rFonts w:ascii="Times New Roman" w:eastAsia="Times New Roman" w:hAnsi="Times New Roman" w:cs="Times New Roman"/>
          <w:sz w:val="24"/>
          <w:szCs w:val="24"/>
        </w:rPr>
        <w:t xml:space="preserve"> at 19.</w:t>
      </w:r>
      <w:proofErr w:type="gramEnd"/>
    </w:p>
    <w:p w:rsidR="00B52105" w:rsidRPr="008C01A6" w:rsidRDefault="00223216">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r>
      <w:r w:rsidR="00190763" w:rsidRPr="008C01A6">
        <w:rPr>
          <w:rFonts w:ascii="Times New Roman" w:eastAsia="Calibri" w:hAnsi="Times New Roman" w:cs="Times New Roman"/>
          <w:color w:val="000000"/>
          <w:sz w:val="24"/>
          <w:szCs w:val="24"/>
        </w:rPr>
        <w:t>Similarly here, should some election judge unreasonably refuse to comply with, for instance, Harris County’s direction that a door be propped open or a van accessible space be marked out</w:t>
      </w:r>
      <w:r w:rsidR="00FF1F77" w:rsidRPr="008C01A6">
        <w:rPr>
          <w:rFonts w:ascii="Times New Roman" w:eastAsia="Calibri" w:hAnsi="Times New Roman" w:cs="Times New Roman"/>
          <w:color w:val="000000"/>
          <w:sz w:val="24"/>
          <w:szCs w:val="24"/>
        </w:rPr>
        <w:t xml:space="preserve"> on the day of the election</w:t>
      </w:r>
      <w:r w:rsidR="00190763" w:rsidRPr="008C01A6">
        <w:rPr>
          <w:rFonts w:ascii="Times New Roman" w:eastAsia="Calibri" w:hAnsi="Times New Roman" w:cs="Times New Roman"/>
          <w:color w:val="000000"/>
          <w:sz w:val="24"/>
          <w:szCs w:val="24"/>
        </w:rPr>
        <w:t>, the Court can attend to the issue</w:t>
      </w:r>
      <w:r w:rsidR="00D84230" w:rsidRPr="008C01A6">
        <w:rPr>
          <w:rFonts w:ascii="Times New Roman" w:eastAsia="Calibri" w:hAnsi="Times New Roman" w:cs="Times New Roman"/>
          <w:color w:val="000000"/>
          <w:sz w:val="24"/>
          <w:szCs w:val="24"/>
        </w:rPr>
        <w:t xml:space="preserve"> at the appropriate time</w:t>
      </w:r>
      <w:r w:rsidR="00175172" w:rsidRPr="008C01A6">
        <w:rPr>
          <w:rFonts w:ascii="Times New Roman" w:eastAsia="Calibri" w:hAnsi="Times New Roman" w:cs="Times New Roman"/>
          <w:color w:val="000000"/>
          <w:sz w:val="24"/>
          <w:szCs w:val="24"/>
        </w:rPr>
        <w:t xml:space="preserve">. </w:t>
      </w:r>
      <w:r w:rsidR="00190763" w:rsidRPr="008C01A6">
        <w:rPr>
          <w:rFonts w:ascii="Times New Roman" w:eastAsia="Calibri" w:hAnsi="Times New Roman" w:cs="Times New Roman"/>
          <w:color w:val="000000"/>
          <w:sz w:val="24"/>
          <w:szCs w:val="24"/>
        </w:rPr>
        <w:t>But common sense suggests that the overwhelming majority of election judges will comply with whatever direction Harris County gives</w:t>
      </w:r>
      <w:r w:rsidR="00175172" w:rsidRPr="008C01A6">
        <w:rPr>
          <w:rFonts w:ascii="Times New Roman" w:eastAsia="Calibri" w:hAnsi="Times New Roman" w:cs="Times New Roman"/>
          <w:color w:val="000000"/>
          <w:sz w:val="24"/>
          <w:szCs w:val="24"/>
        </w:rPr>
        <w:t xml:space="preserve">. </w:t>
      </w:r>
      <w:r w:rsidR="00190763" w:rsidRPr="008C01A6">
        <w:rPr>
          <w:rFonts w:ascii="Times New Roman" w:eastAsia="Calibri" w:hAnsi="Times New Roman" w:cs="Times New Roman"/>
          <w:color w:val="000000"/>
          <w:sz w:val="24"/>
          <w:szCs w:val="24"/>
        </w:rPr>
        <w:t xml:space="preserve">Harris County should not be able to delay this litigation by seeking the </w:t>
      </w:r>
      <w:proofErr w:type="spellStart"/>
      <w:r w:rsidR="00190763" w:rsidRPr="008C01A6">
        <w:rPr>
          <w:rFonts w:ascii="Times New Roman" w:eastAsia="Calibri" w:hAnsi="Times New Roman" w:cs="Times New Roman"/>
          <w:color w:val="000000"/>
          <w:sz w:val="24"/>
          <w:szCs w:val="24"/>
        </w:rPr>
        <w:t>joinder</w:t>
      </w:r>
      <w:proofErr w:type="spellEnd"/>
      <w:r w:rsidR="00190763" w:rsidRPr="008C01A6">
        <w:rPr>
          <w:rFonts w:ascii="Times New Roman" w:eastAsia="Calibri" w:hAnsi="Times New Roman" w:cs="Times New Roman"/>
          <w:color w:val="000000"/>
          <w:sz w:val="24"/>
          <w:szCs w:val="24"/>
        </w:rPr>
        <w:t xml:space="preserve"> of hundreds of </w:t>
      </w:r>
      <w:r w:rsidR="00FE168C" w:rsidRPr="008C01A6">
        <w:rPr>
          <w:rFonts w:ascii="Times New Roman" w:eastAsia="Calibri" w:hAnsi="Times New Roman" w:cs="Times New Roman"/>
          <w:color w:val="000000"/>
          <w:sz w:val="24"/>
          <w:szCs w:val="24"/>
        </w:rPr>
        <w:t>individuals.</w:t>
      </w:r>
    </w:p>
    <w:p w:rsidR="00B52105" w:rsidRPr="008C01A6" w:rsidRDefault="000A6A92">
      <w:pPr>
        <w:pStyle w:val="Heading1"/>
        <w:keepNext w:val="0"/>
        <w:keepLines w:val="0"/>
        <w:widowControl w:val="0"/>
        <w:rPr>
          <w:rFonts w:eastAsia="Calibri" w:cs="Times New Roman"/>
          <w:szCs w:val="24"/>
        </w:rPr>
      </w:pPr>
      <w:bookmarkStart w:id="17" w:name="_Toc465681946"/>
      <w:r w:rsidRPr="008C01A6">
        <w:rPr>
          <w:rFonts w:eastAsia="Calibri" w:cs="Times New Roman"/>
          <w:szCs w:val="24"/>
        </w:rPr>
        <w:t xml:space="preserve">Harris County’s Motion </w:t>
      </w:r>
      <w:proofErr w:type="gramStart"/>
      <w:r w:rsidR="00920628">
        <w:rPr>
          <w:rFonts w:eastAsia="Calibri" w:cs="Times New Roman"/>
          <w:szCs w:val="24"/>
        </w:rPr>
        <w:t>F</w:t>
      </w:r>
      <w:r w:rsidRPr="008C01A6">
        <w:rPr>
          <w:rFonts w:eastAsia="Calibri" w:cs="Times New Roman"/>
          <w:szCs w:val="24"/>
        </w:rPr>
        <w:t>or</w:t>
      </w:r>
      <w:proofErr w:type="gramEnd"/>
      <w:r w:rsidRPr="008C01A6">
        <w:rPr>
          <w:rFonts w:eastAsia="Calibri" w:cs="Times New Roman"/>
          <w:szCs w:val="24"/>
        </w:rPr>
        <w:t xml:space="preserve"> </w:t>
      </w:r>
      <w:r w:rsidR="00920628">
        <w:rPr>
          <w:rFonts w:eastAsia="Calibri" w:cs="Times New Roman"/>
          <w:szCs w:val="24"/>
        </w:rPr>
        <w:t>A</w:t>
      </w:r>
      <w:r w:rsidRPr="008C01A6">
        <w:rPr>
          <w:rFonts w:eastAsia="Calibri" w:cs="Times New Roman"/>
          <w:szCs w:val="24"/>
        </w:rPr>
        <w:t xml:space="preserve"> More Definite Statement Should be Denied</w:t>
      </w:r>
      <w:bookmarkEnd w:id="17"/>
      <w:r w:rsidRPr="008C01A6">
        <w:rPr>
          <w:rFonts w:eastAsia="Calibri" w:cs="Times New Roman"/>
          <w:szCs w:val="24"/>
        </w:rPr>
        <w:t xml:space="preserve"> </w:t>
      </w:r>
    </w:p>
    <w:p w:rsidR="00B52105" w:rsidRPr="008C01A6" w:rsidRDefault="00B52105">
      <w:pPr>
        <w:widowControl w:val="0"/>
        <w:rPr>
          <w:rFonts w:ascii="Times New Roman" w:hAnsi="Times New Roman" w:cs="Times New Roman"/>
          <w:sz w:val="24"/>
          <w:szCs w:val="24"/>
        </w:rPr>
      </w:pPr>
    </w:p>
    <w:p w:rsidR="00B52105" w:rsidRPr="008C01A6" w:rsidRDefault="000A6A92">
      <w:pPr>
        <w:widowControl w:val="0"/>
        <w:autoSpaceDE w:val="0"/>
        <w:autoSpaceDN w:val="0"/>
        <w:adjustRightInd w:val="0"/>
        <w:spacing w:line="480" w:lineRule="auto"/>
        <w:rPr>
          <w:rFonts w:ascii="Times New Roman" w:eastAsia="Calibri" w:hAnsi="Times New Roman" w:cs="Times New Roman"/>
          <w:color w:val="000000"/>
          <w:sz w:val="24"/>
          <w:szCs w:val="24"/>
        </w:rPr>
      </w:pPr>
      <w:r w:rsidRPr="008C01A6">
        <w:rPr>
          <w:rFonts w:ascii="Times New Roman" w:eastAsia="Calibri" w:hAnsi="Times New Roman" w:cs="Times New Roman"/>
          <w:color w:val="000000"/>
          <w:sz w:val="24"/>
          <w:szCs w:val="24"/>
        </w:rPr>
        <w:tab/>
      </w:r>
      <w:r w:rsidR="004D1655" w:rsidRPr="008C01A6">
        <w:rPr>
          <w:rFonts w:ascii="Times New Roman" w:eastAsia="Calibri" w:hAnsi="Times New Roman" w:cs="Times New Roman"/>
          <w:color w:val="000000"/>
          <w:sz w:val="24"/>
          <w:szCs w:val="24"/>
        </w:rPr>
        <w:t>Lastly, Harris County requests the Court to order the United States to provide a more definite statement under Fed. R. Civ. P. 12(e)</w:t>
      </w:r>
      <w:r w:rsidR="00433AA5" w:rsidRPr="008C01A6">
        <w:rPr>
          <w:rFonts w:ascii="Times New Roman" w:eastAsia="Calibri" w:hAnsi="Times New Roman" w:cs="Times New Roman"/>
          <w:color w:val="000000"/>
          <w:sz w:val="24"/>
          <w:szCs w:val="24"/>
        </w:rPr>
        <w:t xml:space="preserve"> regarding the polling places surveyed in the May 2016 election</w:t>
      </w:r>
      <w:r w:rsidR="00175172" w:rsidRPr="008C01A6">
        <w:rPr>
          <w:rFonts w:ascii="Times New Roman" w:eastAsia="Calibri" w:hAnsi="Times New Roman" w:cs="Times New Roman"/>
          <w:color w:val="000000"/>
          <w:sz w:val="24"/>
          <w:szCs w:val="24"/>
        </w:rPr>
        <w:t xml:space="preserve">. </w:t>
      </w:r>
      <w:r w:rsidR="00563615" w:rsidRPr="008C01A6">
        <w:rPr>
          <w:rFonts w:ascii="Times New Roman" w:eastAsia="Calibri" w:hAnsi="Times New Roman" w:cs="Times New Roman"/>
          <w:color w:val="000000"/>
          <w:sz w:val="24"/>
          <w:szCs w:val="24"/>
        </w:rPr>
        <w:t xml:space="preserve">As explained above, the United States conducted the 2016 election merely to verify </w:t>
      </w:r>
      <w:r w:rsidR="00920628">
        <w:rPr>
          <w:rFonts w:ascii="Times New Roman" w:eastAsia="Calibri" w:hAnsi="Times New Roman" w:cs="Times New Roman"/>
          <w:color w:val="000000"/>
          <w:sz w:val="24"/>
          <w:szCs w:val="24"/>
        </w:rPr>
        <w:t xml:space="preserve">whether Harris County had made </w:t>
      </w:r>
      <w:r w:rsidR="00563615" w:rsidRPr="008C01A6">
        <w:rPr>
          <w:rFonts w:ascii="Times New Roman" w:eastAsia="Calibri" w:hAnsi="Times New Roman" w:cs="Times New Roman"/>
          <w:color w:val="000000"/>
          <w:sz w:val="24"/>
          <w:szCs w:val="24"/>
        </w:rPr>
        <w:t>system-wide improvement</w:t>
      </w:r>
      <w:r w:rsidR="00920628">
        <w:rPr>
          <w:rFonts w:ascii="Times New Roman" w:eastAsia="Calibri" w:hAnsi="Times New Roman" w:cs="Times New Roman"/>
          <w:color w:val="000000"/>
          <w:sz w:val="24"/>
          <w:szCs w:val="24"/>
        </w:rPr>
        <w:t>s</w:t>
      </w:r>
      <w:r w:rsidR="00563615" w:rsidRPr="008C01A6">
        <w:rPr>
          <w:rFonts w:ascii="Times New Roman" w:eastAsia="Calibri" w:hAnsi="Times New Roman" w:cs="Times New Roman"/>
          <w:color w:val="000000"/>
          <w:sz w:val="24"/>
          <w:szCs w:val="24"/>
        </w:rPr>
        <w:t xml:space="preserve">. The accessibility problems at these sites thus did not form the basis of the Letter of Findings determining that the County </w:t>
      </w:r>
      <w:r w:rsidR="0076682E" w:rsidRPr="008C01A6">
        <w:rPr>
          <w:rFonts w:ascii="Times New Roman" w:eastAsia="Calibri" w:hAnsi="Times New Roman" w:cs="Times New Roman"/>
          <w:color w:val="000000"/>
          <w:sz w:val="24"/>
          <w:szCs w:val="24"/>
        </w:rPr>
        <w:t>was not complying with the ADA</w:t>
      </w:r>
      <w:r w:rsidR="00563615" w:rsidRPr="008C01A6">
        <w:rPr>
          <w:rFonts w:ascii="Times New Roman" w:eastAsia="Calibri" w:hAnsi="Times New Roman" w:cs="Times New Roman"/>
          <w:color w:val="000000"/>
          <w:sz w:val="24"/>
          <w:szCs w:val="24"/>
        </w:rPr>
        <w:t xml:space="preserve">. Nonetheless, as a courtesy, and so that any issues </w:t>
      </w:r>
      <w:r w:rsidR="00FA7886" w:rsidRPr="008C01A6">
        <w:rPr>
          <w:rFonts w:ascii="Times New Roman" w:eastAsia="Calibri" w:hAnsi="Times New Roman" w:cs="Times New Roman"/>
          <w:color w:val="000000"/>
          <w:sz w:val="24"/>
          <w:szCs w:val="24"/>
        </w:rPr>
        <w:t xml:space="preserve">at these sites </w:t>
      </w:r>
      <w:r w:rsidR="00563615" w:rsidRPr="008C01A6">
        <w:rPr>
          <w:rFonts w:ascii="Times New Roman" w:eastAsia="Calibri" w:hAnsi="Times New Roman" w:cs="Times New Roman"/>
          <w:color w:val="000000"/>
          <w:sz w:val="24"/>
          <w:szCs w:val="24"/>
        </w:rPr>
        <w:t xml:space="preserve">may be corrected, </w:t>
      </w:r>
      <w:r w:rsidRPr="008C01A6">
        <w:rPr>
          <w:rFonts w:ascii="Times New Roman" w:eastAsia="Calibri" w:hAnsi="Times New Roman" w:cs="Times New Roman"/>
          <w:color w:val="000000"/>
          <w:sz w:val="24"/>
          <w:szCs w:val="24"/>
        </w:rPr>
        <w:t xml:space="preserve">the </w:t>
      </w:r>
      <w:r w:rsidR="004D1655" w:rsidRPr="008C01A6">
        <w:rPr>
          <w:rFonts w:ascii="Times New Roman" w:eastAsia="Calibri" w:hAnsi="Times New Roman" w:cs="Times New Roman"/>
          <w:color w:val="000000"/>
          <w:sz w:val="24"/>
          <w:szCs w:val="24"/>
        </w:rPr>
        <w:t xml:space="preserve">United States provided </w:t>
      </w:r>
      <w:r w:rsidRPr="008C01A6">
        <w:rPr>
          <w:rFonts w:ascii="Times New Roman" w:eastAsia="Calibri" w:hAnsi="Times New Roman" w:cs="Times New Roman"/>
          <w:color w:val="000000"/>
          <w:sz w:val="24"/>
          <w:szCs w:val="24"/>
        </w:rPr>
        <w:t>Harris County</w:t>
      </w:r>
      <w:r w:rsidR="004D1655" w:rsidRPr="008C01A6">
        <w:rPr>
          <w:rFonts w:ascii="Times New Roman" w:eastAsia="Calibri" w:hAnsi="Times New Roman" w:cs="Times New Roman"/>
          <w:color w:val="000000"/>
          <w:sz w:val="24"/>
          <w:szCs w:val="24"/>
        </w:rPr>
        <w:t xml:space="preserve"> </w:t>
      </w:r>
      <w:r w:rsidR="000A3ABB" w:rsidRPr="008C01A6">
        <w:rPr>
          <w:rFonts w:ascii="Times New Roman" w:eastAsia="Calibri" w:hAnsi="Times New Roman" w:cs="Times New Roman"/>
          <w:color w:val="000000"/>
          <w:sz w:val="24"/>
          <w:szCs w:val="24"/>
        </w:rPr>
        <w:t xml:space="preserve">with a list of non-compliant elements at polling places </w:t>
      </w:r>
      <w:r w:rsidRPr="008C01A6">
        <w:rPr>
          <w:rFonts w:ascii="Times New Roman" w:eastAsia="Calibri" w:hAnsi="Times New Roman" w:cs="Times New Roman"/>
          <w:color w:val="000000"/>
          <w:sz w:val="24"/>
          <w:szCs w:val="24"/>
        </w:rPr>
        <w:t xml:space="preserve">surveyed during the </w:t>
      </w:r>
      <w:r w:rsidR="00433AA5" w:rsidRPr="008C01A6">
        <w:rPr>
          <w:rFonts w:ascii="Times New Roman" w:eastAsia="Calibri" w:hAnsi="Times New Roman" w:cs="Times New Roman"/>
          <w:color w:val="000000"/>
          <w:sz w:val="24"/>
          <w:szCs w:val="24"/>
        </w:rPr>
        <w:t xml:space="preserve">May </w:t>
      </w:r>
      <w:r w:rsidRPr="008C01A6">
        <w:rPr>
          <w:rFonts w:ascii="Times New Roman" w:eastAsia="Calibri" w:hAnsi="Times New Roman" w:cs="Times New Roman"/>
          <w:color w:val="000000"/>
          <w:sz w:val="24"/>
          <w:szCs w:val="24"/>
        </w:rPr>
        <w:t xml:space="preserve">2016 </w:t>
      </w:r>
      <w:r w:rsidR="00433AA5" w:rsidRPr="008C01A6">
        <w:rPr>
          <w:rFonts w:ascii="Times New Roman" w:eastAsia="Calibri" w:hAnsi="Times New Roman" w:cs="Times New Roman"/>
          <w:color w:val="000000"/>
          <w:sz w:val="24"/>
          <w:szCs w:val="24"/>
        </w:rPr>
        <w:t xml:space="preserve">election </w:t>
      </w:r>
      <w:r w:rsidR="004D1655" w:rsidRPr="008C01A6">
        <w:rPr>
          <w:rFonts w:ascii="Times New Roman" w:eastAsia="Calibri" w:hAnsi="Times New Roman" w:cs="Times New Roman"/>
          <w:color w:val="000000"/>
          <w:sz w:val="24"/>
          <w:szCs w:val="24"/>
        </w:rPr>
        <w:t xml:space="preserve">by letter dated </w:t>
      </w:r>
      <w:r w:rsidR="00674790" w:rsidRPr="008C01A6">
        <w:rPr>
          <w:rFonts w:ascii="Times New Roman" w:eastAsia="Calibri" w:hAnsi="Times New Roman" w:cs="Times New Roman"/>
          <w:color w:val="000000"/>
          <w:sz w:val="24"/>
          <w:szCs w:val="24"/>
        </w:rPr>
        <w:t xml:space="preserve">October </w:t>
      </w:r>
      <w:r w:rsidR="00AE4AD4" w:rsidRPr="008C01A6">
        <w:rPr>
          <w:rFonts w:ascii="Times New Roman" w:eastAsia="Calibri" w:hAnsi="Times New Roman" w:cs="Times New Roman"/>
          <w:color w:val="000000"/>
          <w:sz w:val="24"/>
          <w:szCs w:val="24"/>
        </w:rPr>
        <w:t>24</w:t>
      </w:r>
      <w:r w:rsidRPr="008C01A6">
        <w:rPr>
          <w:rFonts w:ascii="Times New Roman" w:eastAsia="Calibri" w:hAnsi="Times New Roman" w:cs="Times New Roman"/>
          <w:color w:val="000000"/>
          <w:sz w:val="24"/>
          <w:szCs w:val="24"/>
        </w:rPr>
        <w:t>, 2016</w:t>
      </w:r>
      <w:r w:rsidR="00563615" w:rsidRPr="008C01A6">
        <w:rPr>
          <w:rFonts w:ascii="Times New Roman" w:eastAsia="Calibri" w:hAnsi="Times New Roman" w:cs="Times New Roman"/>
          <w:color w:val="000000"/>
          <w:sz w:val="24"/>
          <w:szCs w:val="24"/>
        </w:rPr>
        <w:t>.</w:t>
      </w:r>
      <w:r w:rsidR="00175172" w:rsidRPr="008C01A6">
        <w:rPr>
          <w:rFonts w:ascii="Times New Roman" w:eastAsia="Calibri" w:hAnsi="Times New Roman" w:cs="Times New Roman"/>
          <w:color w:val="000000"/>
          <w:sz w:val="24"/>
          <w:szCs w:val="24"/>
        </w:rPr>
        <w:t xml:space="preserve"> </w:t>
      </w:r>
    </w:p>
    <w:p w:rsidR="00B52105" w:rsidRPr="008C01A6" w:rsidRDefault="00E07A0A">
      <w:pPr>
        <w:widowControl w:val="0"/>
        <w:autoSpaceDE w:val="0"/>
        <w:autoSpaceDN w:val="0"/>
        <w:adjustRightInd w:val="0"/>
        <w:spacing w:line="480" w:lineRule="auto"/>
        <w:jc w:val="center"/>
        <w:rPr>
          <w:rFonts w:ascii="Times New Roman" w:eastAsia="Calibri" w:hAnsi="Times New Roman" w:cs="Times New Roman"/>
          <w:b/>
          <w:color w:val="000000"/>
          <w:sz w:val="24"/>
          <w:szCs w:val="24"/>
        </w:rPr>
      </w:pPr>
      <w:r w:rsidRPr="008C01A6">
        <w:rPr>
          <w:rFonts w:ascii="Times New Roman" w:eastAsia="Calibri" w:hAnsi="Times New Roman" w:cs="Times New Roman"/>
          <w:b/>
          <w:color w:val="000000"/>
          <w:sz w:val="24"/>
          <w:szCs w:val="24"/>
        </w:rPr>
        <w:t>CONCLUSION</w:t>
      </w:r>
    </w:p>
    <w:p w:rsidR="008449B2" w:rsidRDefault="00E07A0A">
      <w:pPr>
        <w:widowControl w:val="0"/>
        <w:spacing w:line="480" w:lineRule="auto"/>
        <w:rPr>
          <w:rFonts w:ascii="Times New Roman" w:hAnsi="Times New Roman" w:cs="Times New Roman"/>
          <w:sz w:val="24"/>
          <w:szCs w:val="24"/>
        </w:rPr>
      </w:pPr>
      <w:r w:rsidRPr="008C01A6">
        <w:rPr>
          <w:rFonts w:ascii="Times New Roman" w:hAnsi="Times New Roman" w:cs="Times New Roman"/>
          <w:sz w:val="24"/>
          <w:szCs w:val="24"/>
        </w:rPr>
        <w:tab/>
        <w:t>For the foregoing reasons, the Court should deny Harris County’s motion to dismiss.</w:t>
      </w:r>
      <w:r w:rsidR="00433AA5" w:rsidRPr="008C01A6">
        <w:rPr>
          <w:rFonts w:ascii="Times New Roman" w:hAnsi="Times New Roman" w:cs="Times New Roman"/>
          <w:sz w:val="24"/>
          <w:szCs w:val="24"/>
        </w:rPr>
        <w:t xml:space="preserve"> The United States respectfully requests oral argument on th</w:t>
      </w:r>
      <w:r w:rsidR="005F0C45" w:rsidRPr="008C01A6">
        <w:rPr>
          <w:rFonts w:ascii="Times New Roman" w:hAnsi="Times New Roman" w:cs="Times New Roman"/>
          <w:sz w:val="24"/>
          <w:szCs w:val="24"/>
        </w:rPr>
        <w:t>e</w:t>
      </w:r>
      <w:r w:rsidR="00433AA5" w:rsidRPr="008C01A6">
        <w:rPr>
          <w:rFonts w:ascii="Times New Roman" w:hAnsi="Times New Roman" w:cs="Times New Roman"/>
          <w:sz w:val="24"/>
          <w:szCs w:val="24"/>
        </w:rPr>
        <w:t xml:space="preserve"> motion.</w:t>
      </w:r>
    </w:p>
    <w:p w:rsidR="009F09B5" w:rsidRDefault="009F09B5">
      <w:pPr>
        <w:widowControl w:val="0"/>
        <w:spacing w:line="480" w:lineRule="auto"/>
        <w:rPr>
          <w:rFonts w:ascii="Times New Roman" w:hAnsi="Times New Roman" w:cs="Times New Roman"/>
          <w:sz w:val="24"/>
          <w:szCs w:val="24"/>
        </w:rPr>
      </w:pPr>
    </w:p>
    <w:p w:rsidR="009F09B5" w:rsidRDefault="00920628">
      <w:pPr>
        <w:widowControl w:val="0"/>
        <w:spacing w:line="480" w:lineRule="auto"/>
        <w:rPr>
          <w:rFonts w:ascii="Times New Roman" w:hAnsi="Times New Roman" w:cs="Times New Roman"/>
          <w:sz w:val="24"/>
          <w:szCs w:val="24"/>
        </w:rPr>
      </w:pPr>
      <w:r>
        <w:rPr>
          <w:rFonts w:ascii="Times New Roman" w:hAnsi="Times New Roman" w:cs="Times New Roman"/>
          <w:sz w:val="24"/>
          <w:szCs w:val="24"/>
        </w:rPr>
        <w:br/>
      </w:r>
    </w:p>
    <w:p w:rsidR="00920628" w:rsidRPr="008C01A6" w:rsidRDefault="00920628">
      <w:pPr>
        <w:widowControl w:val="0"/>
        <w:spacing w:line="480" w:lineRule="auto"/>
        <w:rPr>
          <w:rFonts w:ascii="Times New Roman" w:hAnsi="Times New Roman" w:cs="Times New Roman"/>
          <w:sz w:val="24"/>
          <w:szCs w:val="24"/>
        </w:rPr>
      </w:pP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Respectfully submitted,</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04091F">
      <w:pPr>
        <w:widowControl w:val="0"/>
        <w:autoSpaceDE w:val="0"/>
        <w:autoSpaceDN w:val="0"/>
        <w:adjustRightInd w:val="0"/>
        <w:jc w:val="center"/>
        <w:rPr>
          <w:rFonts w:ascii="Times New Roman" w:eastAsia="Calibri" w:hAnsi="Times New Roman" w:cs="Times New Roman"/>
          <w:sz w:val="24"/>
          <w:szCs w:val="24"/>
        </w:rPr>
      </w:pPr>
      <w:r w:rsidRPr="008C01A6">
        <w:rPr>
          <w:rFonts w:ascii="Times New Roman" w:eastAsia="Calibri" w:hAnsi="Times New Roman" w:cs="Times New Roman"/>
          <w:sz w:val="24"/>
          <w:szCs w:val="24"/>
        </w:rPr>
        <w:t>LORETTA E. LYNCH</w:t>
      </w:r>
    </w:p>
    <w:p w:rsidR="00B52105" w:rsidRPr="008C01A6" w:rsidRDefault="0004091F">
      <w:pPr>
        <w:widowControl w:val="0"/>
        <w:autoSpaceDE w:val="0"/>
        <w:autoSpaceDN w:val="0"/>
        <w:adjustRightInd w:val="0"/>
        <w:jc w:val="center"/>
        <w:rPr>
          <w:rFonts w:ascii="Times New Roman" w:eastAsia="Calibri" w:hAnsi="Times New Roman" w:cs="Times New Roman"/>
          <w:sz w:val="24"/>
          <w:szCs w:val="24"/>
        </w:rPr>
      </w:pPr>
      <w:r w:rsidRPr="008C01A6">
        <w:rPr>
          <w:rFonts w:ascii="Times New Roman" w:eastAsia="Calibri" w:hAnsi="Times New Roman" w:cs="Times New Roman"/>
          <w:sz w:val="24"/>
          <w:szCs w:val="24"/>
        </w:rPr>
        <w:t>Attorney General of the United States</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4091F" w:rsidRPr="008C01A6" w:rsidTr="0004091F">
        <w:tc>
          <w:tcPr>
            <w:tcW w:w="4788" w:type="dxa"/>
          </w:tcPr>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KENNETH MAGIDSON</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United States Attorney</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Southern District of Texas</w:t>
            </w:r>
          </w:p>
          <w:p w:rsidR="00B52105" w:rsidRPr="008C01A6" w:rsidRDefault="00B52105">
            <w:pPr>
              <w:widowControl w:val="0"/>
              <w:autoSpaceDE w:val="0"/>
              <w:autoSpaceDN w:val="0"/>
              <w:adjustRightInd w:val="0"/>
              <w:rPr>
                <w:rFonts w:ascii="Times New Roman" w:eastAsia="Calibri" w:hAnsi="Times New Roman" w:cs="Times New Roman"/>
                <w:color w:val="FF0000"/>
                <w:sz w:val="24"/>
                <w:szCs w:val="24"/>
              </w:rPr>
            </w:pP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KEITH EDWARD WYATT</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Assistant United States Attorney</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Chief, Civil Division</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04091F">
            <w:pPr>
              <w:widowControl w:val="0"/>
              <w:rPr>
                <w:rFonts w:ascii="Times New Roman" w:eastAsia="Calibri" w:hAnsi="Times New Roman" w:cs="Times New Roman"/>
                <w:sz w:val="24"/>
                <w:szCs w:val="24"/>
              </w:rPr>
            </w:pPr>
            <w:r w:rsidRPr="008C01A6">
              <w:rPr>
                <w:rFonts w:ascii="Times New Roman" w:eastAsia="Calibri" w:hAnsi="Times New Roman" w:cs="Times New Roman"/>
                <w:sz w:val="24"/>
                <w:szCs w:val="24"/>
              </w:rPr>
              <w:t>JOHN A. SMITH, III</w:t>
            </w:r>
          </w:p>
          <w:p w:rsidR="00B52105" w:rsidRPr="008C01A6" w:rsidRDefault="0004091F">
            <w:pPr>
              <w:widowControl w:val="0"/>
              <w:rPr>
                <w:rFonts w:ascii="Times New Roman" w:eastAsia="Calibri" w:hAnsi="Times New Roman" w:cs="Times New Roman"/>
                <w:sz w:val="24"/>
                <w:szCs w:val="24"/>
              </w:rPr>
            </w:pPr>
            <w:r w:rsidRPr="008C01A6">
              <w:rPr>
                <w:rFonts w:ascii="Times New Roman" w:eastAsia="Calibri" w:hAnsi="Times New Roman" w:cs="Times New Roman"/>
                <w:sz w:val="24"/>
                <w:szCs w:val="24"/>
              </w:rPr>
              <w:t>Assistant United States Attorney</w:t>
            </w:r>
          </w:p>
          <w:p w:rsidR="00B52105" w:rsidRPr="008C01A6" w:rsidRDefault="0004091F">
            <w:pPr>
              <w:widowControl w:val="0"/>
              <w:rPr>
                <w:rFonts w:ascii="Times New Roman" w:eastAsia="Calibri" w:hAnsi="Times New Roman" w:cs="Times New Roman"/>
                <w:sz w:val="24"/>
                <w:szCs w:val="24"/>
              </w:rPr>
            </w:pPr>
            <w:r w:rsidRPr="008C01A6">
              <w:rPr>
                <w:rFonts w:ascii="Times New Roman" w:eastAsia="Calibri" w:hAnsi="Times New Roman" w:cs="Times New Roman"/>
                <w:sz w:val="24"/>
                <w:szCs w:val="24"/>
              </w:rPr>
              <w:t>Deputy Chief, Civil Division</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 PAXTON WARNER</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Assistant United States Attorney</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Southern District No. 555957</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Texas Bar No. 24003139</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USAO-Southern District of Texas</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1701 W. Bus. Hwy. 83, Suite 600</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McAllen, Texas 78501</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Tel</w:t>
            </w:r>
            <w:r w:rsidR="00175172" w:rsidRPr="008C01A6">
              <w:rPr>
                <w:rFonts w:ascii="Times New Roman" w:eastAsia="Calibri" w:hAnsi="Times New Roman" w:cs="Times New Roman"/>
                <w:sz w:val="24"/>
                <w:szCs w:val="24"/>
              </w:rPr>
              <w:t xml:space="preserve">. </w:t>
            </w:r>
            <w:r w:rsidRPr="008C01A6">
              <w:rPr>
                <w:rFonts w:ascii="Times New Roman" w:eastAsia="Calibri" w:hAnsi="Times New Roman" w:cs="Times New Roman"/>
                <w:sz w:val="24"/>
                <w:szCs w:val="24"/>
              </w:rPr>
              <w:t>956-618-8010</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Fax. 956-618-8016</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Email:</w:t>
            </w:r>
            <w:r w:rsidRPr="008C01A6">
              <w:rPr>
                <w:rFonts w:ascii="Times New Roman" w:eastAsia="Calibri" w:hAnsi="Times New Roman" w:cs="Times New Roman"/>
                <w:color w:val="FF0000"/>
                <w:sz w:val="24"/>
                <w:szCs w:val="24"/>
              </w:rPr>
              <w:t xml:space="preserve"> </w:t>
            </w:r>
            <w:r w:rsidRPr="008C01A6">
              <w:rPr>
                <w:rFonts w:ascii="Times New Roman" w:eastAsia="Calibri" w:hAnsi="Times New Roman" w:cs="Times New Roman"/>
                <w:sz w:val="24"/>
                <w:szCs w:val="24"/>
              </w:rPr>
              <w:t>paxton.warner@usdoj.gov</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JIMMY A. RODRIGUEZ</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Assistant United States Attorney</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Southern District No. 572175</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Texas Bar No. 24037378</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USAO-Southern District of Texas</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1000 Louisiana, Suite 2300</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Houston, Texas 77002</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Tel</w:t>
            </w:r>
            <w:r w:rsidR="00175172" w:rsidRPr="008C01A6">
              <w:rPr>
                <w:rFonts w:ascii="Times New Roman" w:eastAsia="Calibri" w:hAnsi="Times New Roman" w:cs="Times New Roman"/>
                <w:sz w:val="24"/>
                <w:szCs w:val="24"/>
              </w:rPr>
              <w:t xml:space="preserve">. </w:t>
            </w:r>
            <w:r w:rsidRPr="008C01A6">
              <w:rPr>
                <w:rFonts w:ascii="Times New Roman" w:eastAsia="Calibri" w:hAnsi="Times New Roman" w:cs="Times New Roman"/>
                <w:sz w:val="24"/>
                <w:szCs w:val="24"/>
              </w:rPr>
              <w:t>713-567-9532</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Fax</w:t>
            </w:r>
            <w:r w:rsidR="00175172" w:rsidRPr="008C01A6">
              <w:rPr>
                <w:rFonts w:ascii="Times New Roman" w:eastAsia="Calibri" w:hAnsi="Times New Roman" w:cs="Times New Roman"/>
                <w:sz w:val="24"/>
                <w:szCs w:val="24"/>
              </w:rPr>
              <w:t xml:space="preserve">. </w:t>
            </w:r>
            <w:r w:rsidRPr="008C01A6">
              <w:rPr>
                <w:rFonts w:ascii="Times New Roman" w:eastAsia="Calibri" w:hAnsi="Times New Roman" w:cs="Times New Roman"/>
                <w:sz w:val="24"/>
                <w:szCs w:val="24"/>
              </w:rPr>
              <w:t>713-718-3303</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Email: jimmy.rodriguez2@usdoj.gov</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tc>
        <w:tc>
          <w:tcPr>
            <w:tcW w:w="4788" w:type="dxa"/>
          </w:tcPr>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VANITA GUPTA</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Principal Deputy Assistant Attorney General </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EVE L. HILL</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Deputy Assistant Attorney General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Civil Rights Division</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REBECCA B. BOND</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Chief</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KATHLEEN WOLFE</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Special Litigation Counsel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AMANDA MAISELS</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Deputy Chief </w:t>
            </w:r>
          </w:p>
          <w:p w:rsidR="00B52105" w:rsidRPr="008C01A6" w:rsidRDefault="00B52105">
            <w:pPr>
              <w:widowControl w:val="0"/>
              <w:autoSpaceDE w:val="0"/>
              <w:autoSpaceDN w:val="0"/>
              <w:adjustRightInd w:val="0"/>
              <w:rPr>
                <w:rFonts w:ascii="Times New Roman" w:eastAsia="Calibri" w:hAnsi="Times New Roman" w:cs="Times New Roman"/>
                <w:sz w:val="24"/>
                <w:szCs w:val="24"/>
                <w:u w:val="single"/>
              </w:rPr>
            </w:pPr>
          </w:p>
          <w:p w:rsidR="00B52105" w:rsidRPr="008C01A6" w:rsidRDefault="00B52105">
            <w:pPr>
              <w:widowControl w:val="0"/>
              <w:autoSpaceDE w:val="0"/>
              <w:autoSpaceDN w:val="0"/>
              <w:adjustRightInd w:val="0"/>
              <w:rPr>
                <w:rFonts w:ascii="Times New Roman" w:eastAsia="Calibri" w:hAnsi="Times New Roman" w:cs="Times New Roman"/>
                <w:sz w:val="24"/>
                <w:szCs w:val="24"/>
                <w:u w:val="single"/>
              </w:rPr>
            </w:pPr>
          </w:p>
          <w:p w:rsidR="00B52105" w:rsidRPr="008C01A6" w:rsidRDefault="00252485">
            <w:pPr>
              <w:widowControl w:val="0"/>
              <w:autoSpaceDE w:val="0"/>
              <w:autoSpaceDN w:val="0"/>
              <w:adjustRightInd w:val="0"/>
              <w:rPr>
                <w:rFonts w:ascii="Times New Roman" w:eastAsia="Calibri" w:hAnsi="Times New Roman" w:cs="Times New Roman"/>
                <w:sz w:val="24"/>
                <w:szCs w:val="24"/>
                <w:u w:val="single"/>
              </w:rPr>
            </w:pPr>
            <w:r w:rsidRPr="008C01A6">
              <w:rPr>
                <w:rFonts w:ascii="Times New Roman" w:eastAsia="Calibri" w:hAnsi="Times New Roman" w:cs="Times New Roman"/>
                <w:sz w:val="24"/>
                <w:szCs w:val="24"/>
                <w:u w:val="single"/>
              </w:rPr>
              <w:t>/s/ Elisabeth Oppenheimer</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ELIZABETH JOHNSON</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ELISABETH OPPENHEIMER</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Trial Attorney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Disability Rights Section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Civil Rights Division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U.S. Department of Justice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950 Pennsylvania Ave., NW-NYA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Washington, D.C. 20530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Telephone: (202) 307-3543</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ab/>
              <w:t xml:space="preserve">       (202) 616-3653</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 xml:space="preserve">Facsimile: (202) 305-9775 </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elizabeth.johnson@usdoj.gov</w:t>
            </w:r>
          </w:p>
          <w:p w:rsidR="00B52105" w:rsidRPr="008C01A6" w:rsidRDefault="0004091F">
            <w:pPr>
              <w:widowControl w:val="0"/>
              <w:autoSpaceDE w:val="0"/>
              <w:autoSpaceDN w:val="0"/>
              <w:adjustRightInd w:val="0"/>
              <w:rPr>
                <w:rFonts w:ascii="Times New Roman" w:eastAsia="Calibri" w:hAnsi="Times New Roman" w:cs="Times New Roman"/>
                <w:sz w:val="24"/>
                <w:szCs w:val="24"/>
              </w:rPr>
            </w:pPr>
            <w:r w:rsidRPr="008C01A6">
              <w:rPr>
                <w:rFonts w:ascii="Times New Roman" w:eastAsia="Calibri" w:hAnsi="Times New Roman" w:cs="Times New Roman"/>
                <w:sz w:val="24"/>
                <w:szCs w:val="24"/>
              </w:rPr>
              <w:t>elisabeth.oppenheimer@usdoj.gov</w:t>
            </w:r>
          </w:p>
          <w:p w:rsidR="00B52105" w:rsidRPr="008C01A6" w:rsidRDefault="00B52105">
            <w:pPr>
              <w:widowControl w:val="0"/>
              <w:autoSpaceDE w:val="0"/>
              <w:autoSpaceDN w:val="0"/>
              <w:adjustRightInd w:val="0"/>
              <w:rPr>
                <w:rFonts w:ascii="Times New Roman" w:eastAsia="Calibri" w:hAnsi="Times New Roman" w:cs="Times New Roman"/>
                <w:sz w:val="24"/>
                <w:szCs w:val="24"/>
              </w:rPr>
            </w:pPr>
          </w:p>
        </w:tc>
      </w:tr>
    </w:tbl>
    <w:p w:rsidR="00B52105" w:rsidRPr="008C01A6" w:rsidRDefault="0004091F">
      <w:pPr>
        <w:widowControl w:val="0"/>
        <w:autoSpaceDE w:val="0"/>
        <w:autoSpaceDN w:val="0"/>
        <w:adjustRightInd w:val="0"/>
        <w:rPr>
          <w:rFonts w:ascii="Times New Roman" w:eastAsia="Calibri" w:hAnsi="Times New Roman" w:cs="Times New Roman"/>
          <w:color w:val="000000"/>
          <w:sz w:val="24"/>
          <w:szCs w:val="24"/>
        </w:rPr>
      </w:pPr>
      <w:r w:rsidRPr="008C01A6">
        <w:rPr>
          <w:rFonts w:ascii="Times New Roman" w:eastAsia="Calibri" w:hAnsi="Times New Roman" w:cs="Times New Roman"/>
          <w:sz w:val="24"/>
          <w:szCs w:val="24"/>
        </w:rPr>
        <w:t>Dated:</w:t>
      </w:r>
      <w:r w:rsidR="00252485" w:rsidRPr="008C01A6">
        <w:rPr>
          <w:rFonts w:ascii="Times New Roman" w:eastAsia="Calibri" w:hAnsi="Times New Roman" w:cs="Times New Roman"/>
          <w:sz w:val="24"/>
          <w:szCs w:val="24"/>
        </w:rPr>
        <w:t xml:space="preserve">  October 31, 2016</w:t>
      </w:r>
    </w:p>
    <w:p w:rsidR="00252485" w:rsidRPr="008C01A6" w:rsidRDefault="00252485">
      <w:pPr>
        <w:rPr>
          <w:rFonts w:ascii="Times New Roman" w:hAnsi="Times New Roman" w:cs="Times New Roman"/>
          <w:sz w:val="24"/>
          <w:szCs w:val="24"/>
        </w:rPr>
      </w:pPr>
      <w:r w:rsidRPr="008C01A6">
        <w:rPr>
          <w:rFonts w:ascii="Times New Roman" w:hAnsi="Times New Roman" w:cs="Times New Roman"/>
          <w:sz w:val="24"/>
          <w:szCs w:val="24"/>
        </w:rPr>
        <w:br w:type="page"/>
      </w:r>
    </w:p>
    <w:p w:rsidR="0098525A" w:rsidRPr="008C01A6" w:rsidRDefault="00524DBB" w:rsidP="0098525A">
      <w:pPr>
        <w:jc w:val="center"/>
        <w:rPr>
          <w:rFonts w:ascii="Times New Roman" w:hAnsi="Times New Roman" w:cs="Times New Roman"/>
          <w:sz w:val="24"/>
          <w:szCs w:val="24"/>
          <w:u w:val="single"/>
        </w:rPr>
      </w:pPr>
      <w:r w:rsidRPr="008C01A6">
        <w:rPr>
          <w:rFonts w:ascii="Times New Roman" w:hAnsi="Times New Roman" w:cs="Times New Roman"/>
          <w:sz w:val="24"/>
          <w:szCs w:val="24"/>
          <w:u w:val="single"/>
          <w:lang w:val="en-CA"/>
        </w:rPr>
        <w:fldChar w:fldCharType="begin"/>
      </w:r>
      <w:r w:rsidR="0098525A" w:rsidRPr="008C01A6">
        <w:rPr>
          <w:rFonts w:ascii="Times New Roman" w:hAnsi="Times New Roman" w:cs="Times New Roman"/>
          <w:sz w:val="24"/>
          <w:szCs w:val="24"/>
          <w:u w:val="single"/>
          <w:lang w:val="en-CA"/>
        </w:rPr>
        <w:instrText xml:space="preserve"> SEQ CHAPTER \h \r 1</w:instrText>
      </w:r>
      <w:r w:rsidRPr="008C01A6">
        <w:rPr>
          <w:rFonts w:ascii="Times New Roman" w:hAnsi="Times New Roman" w:cs="Times New Roman"/>
          <w:sz w:val="24"/>
          <w:szCs w:val="24"/>
          <w:u w:val="single"/>
          <w:lang w:val="en-CA"/>
        </w:rPr>
        <w:fldChar w:fldCharType="end"/>
      </w:r>
      <w:r w:rsidR="0098525A" w:rsidRPr="008C01A6">
        <w:rPr>
          <w:rFonts w:ascii="Times New Roman" w:hAnsi="Times New Roman" w:cs="Times New Roman"/>
          <w:b/>
          <w:bCs/>
          <w:sz w:val="24"/>
          <w:szCs w:val="24"/>
          <w:u w:val="single"/>
        </w:rPr>
        <w:t>CERTIFICATE OF SERVICE</w:t>
      </w:r>
    </w:p>
    <w:p w:rsidR="0098525A" w:rsidRPr="008C01A6" w:rsidRDefault="0098525A" w:rsidP="0098525A">
      <w:pPr>
        <w:rPr>
          <w:rFonts w:ascii="Times New Roman" w:hAnsi="Times New Roman" w:cs="Times New Roman"/>
          <w:sz w:val="24"/>
          <w:szCs w:val="24"/>
        </w:rPr>
      </w:pPr>
    </w:p>
    <w:p w:rsidR="0098525A" w:rsidRPr="008C01A6" w:rsidRDefault="0098525A" w:rsidP="0098525A">
      <w:pPr>
        <w:rPr>
          <w:rFonts w:ascii="Times New Roman" w:hAnsi="Times New Roman" w:cs="Times New Roman"/>
          <w:sz w:val="24"/>
          <w:szCs w:val="24"/>
        </w:rPr>
      </w:pPr>
      <w:r w:rsidRPr="008C01A6">
        <w:rPr>
          <w:rFonts w:ascii="Times New Roman" w:hAnsi="Times New Roman" w:cs="Times New Roman"/>
          <w:sz w:val="24"/>
          <w:szCs w:val="24"/>
        </w:rPr>
        <w:tab/>
        <w:t>I hereby certify that a true and correct copy of the foregoing was served on all counsel via the District’s ECF system on October 31, 2016.</w:t>
      </w:r>
    </w:p>
    <w:p w:rsidR="0098525A" w:rsidRPr="008C01A6" w:rsidRDefault="0098525A" w:rsidP="0098525A">
      <w:pPr>
        <w:rPr>
          <w:rFonts w:ascii="Times New Roman" w:hAnsi="Times New Roman" w:cs="Times New Roman"/>
          <w:sz w:val="24"/>
          <w:szCs w:val="24"/>
        </w:rPr>
      </w:pPr>
    </w:p>
    <w:p w:rsidR="0098525A" w:rsidRPr="008C01A6" w:rsidRDefault="0098525A" w:rsidP="0098525A">
      <w:pPr>
        <w:rPr>
          <w:rFonts w:ascii="Times New Roman" w:hAnsi="Times New Roman" w:cs="Times New Roman"/>
          <w:sz w:val="24"/>
          <w:szCs w:val="24"/>
        </w:rPr>
      </w:pPr>
    </w:p>
    <w:p w:rsidR="0098525A" w:rsidRPr="008C01A6" w:rsidRDefault="0098525A" w:rsidP="0098525A">
      <w:pPr>
        <w:rPr>
          <w:rFonts w:ascii="Times New Roman" w:hAnsi="Times New Roman" w:cs="Times New Roman"/>
          <w:sz w:val="24"/>
          <w:szCs w:val="24"/>
        </w:rPr>
      </w:pPr>
    </w:p>
    <w:p w:rsidR="0098525A" w:rsidRPr="008C01A6" w:rsidRDefault="0098525A" w:rsidP="0098525A">
      <w:pPr>
        <w:rPr>
          <w:rFonts w:ascii="Times New Roman" w:hAnsi="Times New Roman" w:cs="Times New Roman"/>
          <w:sz w:val="24"/>
          <w:szCs w:val="24"/>
          <w:u w:val="single"/>
        </w:rPr>
      </w:pP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u w:val="single"/>
        </w:rPr>
        <w:t>/s/ Elisabeth Oppenheimer</w:t>
      </w:r>
      <w:r w:rsidRPr="008C01A6">
        <w:rPr>
          <w:rFonts w:ascii="Times New Roman" w:hAnsi="Times New Roman" w:cs="Times New Roman"/>
          <w:sz w:val="24"/>
          <w:szCs w:val="24"/>
          <w:u w:val="single"/>
        </w:rPr>
        <w:tab/>
      </w:r>
    </w:p>
    <w:p w:rsidR="0098525A" w:rsidRPr="008C01A6" w:rsidRDefault="0098525A" w:rsidP="0098525A">
      <w:pPr>
        <w:rPr>
          <w:rFonts w:ascii="Times New Roman" w:hAnsi="Times New Roman" w:cs="Times New Roman"/>
          <w:sz w:val="24"/>
          <w:szCs w:val="24"/>
        </w:rPr>
      </w:pP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r>
      <w:r w:rsidRPr="008C01A6">
        <w:rPr>
          <w:rFonts w:ascii="Times New Roman" w:hAnsi="Times New Roman" w:cs="Times New Roman"/>
          <w:sz w:val="24"/>
          <w:szCs w:val="24"/>
        </w:rPr>
        <w:tab/>
        <w:t>Elisabeth Oppenheimer</w:t>
      </w:r>
    </w:p>
    <w:p w:rsidR="00B52105" w:rsidRPr="008C01A6" w:rsidRDefault="00B52105">
      <w:pPr>
        <w:widowControl w:val="0"/>
        <w:rPr>
          <w:rFonts w:ascii="Times New Roman" w:hAnsi="Times New Roman" w:cs="Times New Roman"/>
          <w:sz w:val="24"/>
          <w:szCs w:val="24"/>
        </w:rPr>
      </w:pPr>
    </w:p>
    <w:sectPr w:rsidR="00B52105" w:rsidRPr="008C01A6" w:rsidSect="007F0152">
      <w:footerReference w:type="default" r:id="rId14"/>
      <w:footerReference w:type="first" r:id="rId15"/>
      <w:pgSz w:w="12240" w:h="15840" w:code="1"/>
      <w:pgMar w:top="1440" w:right="1440" w:bottom="1440" w:left="1440" w:header="720" w:footer="720" w:gutter="0"/>
      <w:pgNumType w:start="1"/>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53446" w15:done="0"/>
  <w15:commentEx w15:paraId="6F19E582" w15:done="0"/>
  <w15:commentEx w15:paraId="5394696C" w15:done="0"/>
  <w15:commentEx w15:paraId="55E8DA2F" w15:done="0"/>
  <w15:commentEx w15:paraId="19125F25" w15:done="0"/>
  <w15:commentEx w15:paraId="0F57AF86" w15:done="0"/>
  <w15:commentEx w15:paraId="03CEAAEF" w15:done="0"/>
  <w15:commentEx w15:paraId="31F56951" w15:done="0"/>
  <w15:commentEx w15:paraId="50180FBF" w15:done="0"/>
  <w15:commentEx w15:paraId="3F0FD318" w15:done="0"/>
  <w15:commentEx w15:paraId="5F9644BF" w15:done="0"/>
  <w15:commentEx w15:paraId="00F34C59" w15:done="0"/>
  <w15:commentEx w15:paraId="63C0805F" w15:done="0"/>
  <w15:commentEx w15:paraId="18A0AF66" w15:done="0"/>
  <w15:commentEx w15:paraId="7515DDD2" w15:done="0"/>
  <w15:commentEx w15:paraId="13871906" w15:done="0"/>
  <w15:commentEx w15:paraId="3FAFB857" w15:done="0"/>
  <w15:commentEx w15:paraId="0203081E" w15:done="0"/>
  <w15:commentEx w15:paraId="0AFA2879" w15:done="0"/>
  <w15:commentEx w15:paraId="160ED9AB" w15:done="0"/>
  <w15:commentEx w15:paraId="1F06CBC9" w15:done="0"/>
  <w15:commentEx w15:paraId="62C49BFC" w15:done="0"/>
  <w15:commentEx w15:paraId="636E827B" w15:done="0"/>
  <w15:commentEx w15:paraId="6DD3156C" w15:done="0"/>
  <w15:commentEx w15:paraId="73B6EC45" w15:done="0"/>
  <w15:commentEx w15:paraId="44502FD9" w15:done="0"/>
  <w15:commentEx w15:paraId="20196CFE" w15:done="0"/>
  <w15:commentEx w15:paraId="359C19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DD" w:rsidRDefault="00BD3FDD" w:rsidP="00C93E4D">
      <w:r>
        <w:separator/>
      </w:r>
    </w:p>
  </w:endnote>
  <w:endnote w:type="continuationSeparator" w:id="0">
    <w:p w:rsidR="00BD3FDD" w:rsidRDefault="00BD3FDD" w:rsidP="00C93E4D">
      <w:r>
        <w:continuationSeparator/>
      </w:r>
    </w:p>
  </w:endnote>
  <w:endnote w:type="continuationNotice" w:id="1">
    <w:p w:rsidR="00BD3FDD" w:rsidRDefault="00BD3F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Default="00CB1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D7" w:rsidRDefault="00B949D7">
    <w:pPr>
      <w:pStyle w:val="Footer"/>
      <w:jc w:val="center"/>
    </w:pPr>
  </w:p>
  <w:p w:rsidR="00B949D7" w:rsidRDefault="00B949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Default="00CB165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12249"/>
      <w:docPartObj>
        <w:docPartGallery w:val="Page Numbers (Bottom of Page)"/>
        <w:docPartUnique/>
      </w:docPartObj>
    </w:sdtPr>
    <w:sdtEndPr>
      <w:rPr>
        <w:rFonts w:ascii="Times New Roman" w:hAnsi="Times New Roman" w:cs="Times New Roman"/>
        <w:sz w:val="24"/>
        <w:szCs w:val="24"/>
      </w:rPr>
    </w:sdtEndPr>
    <w:sdtContent>
      <w:p w:rsidR="00B949D7" w:rsidRPr="008A0BAC" w:rsidRDefault="00524DBB">
        <w:pPr>
          <w:pStyle w:val="Footer"/>
          <w:jc w:val="center"/>
          <w:rPr>
            <w:rFonts w:ascii="Times New Roman" w:hAnsi="Times New Roman" w:cs="Times New Roman"/>
            <w:sz w:val="24"/>
            <w:szCs w:val="24"/>
          </w:rPr>
        </w:pPr>
        <w:r w:rsidRPr="008A0BAC">
          <w:rPr>
            <w:rFonts w:ascii="Times New Roman" w:hAnsi="Times New Roman" w:cs="Times New Roman"/>
            <w:sz w:val="24"/>
            <w:szCs w:val="24"/>
          </w:rPr>
          <w:fldChar w:fldCharType="begin"/>
        </w:r>
        <w:r w:rsidR="00B949D7" w:rsidRPr="008A0BAC">
          <w:rPr>
            <w:rFonts w:ascii="Times New Roman" w:hAnsi="Times New Roman" w:cs="Times New Roman"/>
            <w:sz w:val="24"/>
            <w:szCs w:val="24"/>
          </w:rPr>
          <w:instrText xml:space="preserve"> PAGE   \* MERGEFORMAT </w:instrText>
        </w:r>
        <w:r w:rsidRPr="008A0BAC">
          <w:rPr>
            <w:rFonts w:ascii="Times New Roman" w:hAnsi="Times New Roman" w:cs="Times New Roman"/>
            <w:sz w:val="24"/>
            <w:szCs w:val="24"/>
          </w:rPr>
          <w:fldChar w:fldCharType="separate"/>
        </w:r>
        <w:r w:rsidR="00CB1650">
          <w:rPr>
            <w:rFonts w:ascii="Times New Roman" w:hAnsi="Times New Roman" w:cs="Times New Roman"/>
            <w:noProof/>
            <w:sz w:val="24"/>
            <w:szCs w:val="24"/>
          </w:rPr>
          <w:t>31</w:t>
        </w:r>
        <w:r w:rsidRPr="008A0BAC">
          <w:rPr>
            <w:rFonts w:ascii="Times New Roman" w:hAnsi="Times New Roman" w:cs="Times New Roman"/>
            <w:sz w:val="24"/>
            <w:szCs w:val="24"/>
          </w:rPr>
          <w:fldChar w:fldCharType="end"/>
        </w:r>
      </w:p>
    </w:sdtContent>
  </w:sdt>
  <w:p w:rsidR="00B949D7" w:rsidRDefault="00B949D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43138"/>
      <w:docPartObj>
        <w:docPartGallery w:val="Page Numbers (Bottom of Page)"/>
        <w:docPartUnique/>
      </w:docPartObj>
    </w:sdtPr>
    <w:sdtEndPr>
      <w:rPr>
        <w:rFonts w:ascii="Times New Roman" w:hAnsi="Times New Roman" w:cs="Times New Roman"/>
        <w:sz w:val="24"/>
        <w:szCs w:val="24"/>
      </w:rPr>
    </w:sdtEndPr>
    <w:sdtContent>
      <w:p w:rsidR="00B949D7" w:rsidRPr="007F0152" w:rsidRDefault="00524DBB">
        <w:pPr>
          <w:pStyle w:val="Footer"/>
          <w:jc w:val="center"/>
          <w:rPr>
            <w:rFonts w:ascii="Times New Roman" w:hAnsi="Times New Roman" w:cs="Times New Roman"/>
            <w:sz w:val="24"/>
            <w:szCs w:val="24"/>
          </w:rPr>
        </w:pPr>
        <w:r w:rsidRPr="007F0152">
          <w:rPr>
            <w:rFonts w:ascii="Times New Roman" w:hAnsi="Times New Roman" w:cs="Times New Roman"/>
            <w:sz w:val="24"/>
            <w:szCs w:val="24"/>
          </w:rPr>
          <w:fldChar w:fldCharType="begin"/>
        </w:r>
        <w:r w:rsidR="00B949D7" w:rsidRPr="007F0152">
          <w:rPr>
            <w:rFonts w:ascii="Times New Roman" w:hAnsi="Times New Roman" w:cs="Times New Roman"/>
            <w:sz w:val="24"/>
            <w:szCs w:val="24"/>
          </w:rPr>
          <w:instrText xml:space="preserve"> PAGE   \* MERGEFORMAT </w:instrText>
        </w:r>
        <w:r w:rsidRPr="007F0152">
          <w:rPr>
            <w:rFonts w:ascii="Times New Roman" w:hAnsi="Times New Roman" w:cs="Times New Roman"/>
            <w:sz w:val="24"/>
            <w:szCs w:val="24"/>
          </w:rPr>
          <w:fldChar w:fldCharType="separate"/>
        </w:r>
        <w:r w:rsidR="00B949D7">
          <w:rPr>
            <w:rFonts w:ascii="Times New Roman" w:hAnsi="Times New Roman" w:cs="Times New Roman"/>
            <w:noProof/>
            <w:sz w:val="24"/>
            <w:szCs w:val="24"/>
          </w:rPr>
          <w:t>1</w:t>
        </w:r>
        <w:r w:rsidRPr="007F0152">
          <w:rPr>
            <w:rFonts w:ascii="Times New Roman" w:hAnsi="Times New Roman" w:cs="Times New Roman"/>
            <w:sz w:val="24"/>
            <w:szCs w:val="24"/>
          </w:rPr>
          <w:fldChar w:fldCharType="end"/>
        </w:r>
      </w:p>
    </w:sdtContent>
  </w:sdt>
  <w:p w:rsidR="00B949D7" w:rsidRDefault="00B94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DD" w:rsidRDefault="00BD3FDD" w:rsidP="00C93E4D">
      <w:r>
        <w:separator/>
      </w:r>
    </w:p>
  </w:footnote>
  <w:footnote w:type="continuationSeparator" w:id="0">
    <w:p w:rsidR="00BD3FDD" w:rsidRDefault="00BD3FDD" w:rsidP="00C93E4D">
      <w:r>
        <w:continuationSeparator/>
      </w:r>
    </w:p>
  </w:footnote>
  <w:footnote w:type="continuationNotice" w:id="1">
    <w:p w:rsidR="00BD3FDD" w:rsidRDefault="00BD3FDD"/>
  </w:footnote>
  <w:footnote w:id="2">
    <w:p w:rsidR="00B949D7" w:rsidRPr="00054536" w:rsidRDefault="00B949D7" w:rsidP="003F180B">
      <w:pPr>
        <w:pStyle w:val="Default"/>
        <w:contextualSpacing/>
        <w:mirrorIndents/>
      </w:pPr>
      <w:r w:rsidRPr="00054536">
        <w:rPr>
          <w:rStyle w:val="FootnoteReference"/>
        </w:rPr>
        <w:footnoteRef/>
      </w:r>
      <w:r w:rsidRPr="00054536">
        <w:t xml:space="preserve"> Much like this case, </w:t>
      </w:r>
      <w:r w:rsidRPr="00054536">
        <w:rPr>
          <w:i/>
        </w:rPr>
        <w:t>Cannon</w:t>
      </w:r>
      <w:r w:rsidRPr="00054536">
        <w:t xml:space="preserve"> involved a challenge to a long-established view of who could enforce a civil rights law. There, the Supreme Court held that Title IX of the Education Amendments of 1972, which was modeled on Title VI, must be construed to incorporate a private right of action</w:t>
      </w:r>
      <w:r w:rsidRPr="00591615">
        <w:t>.</w:t>
      </w:r>
      <w:r w:rsidRPr="00054536">
        <w:t xml:space="preserve"> </w:t>
      </w:r>
      <w:proofErr w:type="gramStart"/>
      <w:r>
        <w:t>441 U.S.</w:t>
      </w:r>
      <w:r w:rsidRPr="00054536">
        <w:rPr>
          <w:i/>
        </w:rPr>
        <w:t xml:space="preserve"> </w:t>
      </w:r>
      <w:r w:rsidRPr="00054536">
        <w:t xml:space="preserve">at </w:t>
      </w:r>
      <w:r>
        <w:t>694-95, 717</w:t>
      </w:r>
      <w:r w:rsidRPr="00054536">
        <w:t>.</w:t>
      </w:r>
      <w:proofErr w:type="gramEnd"/>
      <w:r w:rsidRPr="00054536">
        <w:t xml:space="preserve"> The Court’s holding was</w:t>
      </w:r>
      <w:r>
        <w:t xml:space="preserve"> </w:t>
      </w:r>
      <w:r w:rsidRPr="00054536">
        <w:t xml:space="preserve">based on the fact that Title VI had long been assumed to incorporate a private right of action, and “we are . . . justified in presuming both that [Congress was] aware of the prior interpretation of Title VI” when it adopted Title IX, and thus “that that interpretation reflects their intent with respect to Title IX.”  </w:t>
      </w:r>
      <w:proofErr w:type="gramStart"/>
      <w:r w:rsidRPr="00054536">
        <w:rPr>
          <w:i/>
        </w:rPr>
        <w:t>Id.</w:t>
      </w:r>
      <w:r w:rsidRPr="00054536">
        <w:t xml:space="preserve"> at 697-98.</w:t>
      </w:r>
      <w:proofErr w:type="gramEnd"/>
      <w:r w:rsidRPr="00054536">
        <w:t xml:space="preserve"> The Court noted that “the relevant inquiry is not whether Congress correctly perceived the then state of the law, but rather what its perception of the state of the law was.” </w:t>
      </w:r>
      <w:proofErr w:type="gramStart"/>
      <w:r w:rsidRPr="00054536">
        <w:rPr>
          <w:i/>
        </w:rPr>
        <w:t>Id.</w:t>
      </w:r>
      <w:r w:rsidRPr="00054536">
        <w:t xml:space="preserve"> at 711</w:t>
      </w:r>
      <w:r>
        <w:t xml:space="preserve"> (internal quotation marks and citation omitted)</w:t>
      </w:r>
      <w:r w:rsidRPr="00054536">
        <w:t>.</w:t>
      </w:r>
      <w:proofErr w:type="gramEnd"/>
      <w:r w:rsidRPr="00054536">
        <w:t xml:space="preserve"> The Court concluded, in reasoning that applies equally in this case: “[T]he very persistence—before 1972 and since, among judges and executive officials, as well as among litigants and their counsel, and even implicit in decisions of this Court—of the assumption that both Title VI and Title IX created a private right of action for the victims of illegal discrimination and the absence of legislative action to change that assumption provide further evidence that Congress at least acquiesces in, and apparently affirms, that assumption.” </w:t>
      </w:r>
      <w:proofErr w:type="gramStart"/>
      <w:r w:rsidRPr="00054536">
        <w:rPr>
          <w:i/>
        </w:rPr>
        <w:t>Id.</w:t>
      </w:r>
      <w:r w:rsidR="00920628">
        <w:t xml:space="preserve"> at 702-</w:t>
      </w:r>
      <w:r w:rsidRPr="00054536">
        <w:t>03.</w:t>
      </w:r>
      <w:proofErr w:type="gramEnd"/>
    </w:p>
  </w:footnote>
  <w:footnote w:id="3">
    <w:p w:rsidR="00B949D7" w:rsidRPr="00054536" w:rsidRDefault="00B949D7">
      <w:pPr>
        <w:pStyle w:val="FootnoteText"/>
        <w:rPr>
          <w:sz w:val="24"/>
          <w:szCs w:val="24"/>
        </w:rPr>
      </w:pPr>
      <w:r w:rsidRPr="00054536">
        <w:rPr>
          <w:rStyle w:val="FootnoteReference"/>
          <w:sz w:val="24"/>
          <w:szCs w:val="24"/>
        </w:rPr>
        <w:footnoteRef/>
      </w:r>
      <w:r w:rsidRPr="00054536">
        <w:rPr>
          <w:sz w:val="24"/>
          <w:szCs w:val="24"/>
        </w:rPr>
        <w:t xml:space="preserve"> In this case, the Department of Justice is the designated agency with initial responsibility over voting related matters. 28 C.F.R. </w:t>
      </w:r>
      <w:r>
        <w:rPr>
          <w:sz w:val="24"/>
          <w:szCs w:val="24"/>
        </w:rPr>
        <w:t>§ </w:t>
      </w:r>
      <w:r w:rsidRPr="00054536">
        <w:rPr>
          <w:sz w:val="24"/>
          <w:szCs w:val="24"/>
        </w:rPr>
        <w:t>35.190(b</w:t>
      </w:r>
      <w:proofErr w:type="gramStart"/>
      <w:r w:rsidRPr="00054536">
        <w:rPr>
          <w:sz w:val="24"/>
          <w:szCs w:val="24"/>
        </w:rPr>
        <w:t>)(</w:t>
      </w:r>
      <w:proofErr w:type="gramEnd"/>
      <w:r w:rsidRPr="00054536">
        <w:rPr>
          <w:sz w:val="24"/>
          <w:szCs w:val="24"/>
        </w:rPr>
        <w:t>6).</w:t>
      </w:r>
    </w:p>
    <w:p w:rsidR="00B949D7" w:rsidRPr="00054536" w:rsidRDefault="00B949D7">
      <w:pPr>
        <w:pStyle w:val="FootnoteText"/>
        <w:rPr>
          <w:sz w:val="24"/>
          <w:szCs w:val="24"/>
        </w:rPr>
      </w:pPr>
    </w:p>
  </w:footnote>
  <w:footnote w:id="4">
    <w:p w:rsidR="00B949D7" w:rsidRPr="00054536" w:rsidRDefault="00B949D7" w:rsidP="00604354">
      <w:pPr>
        <w:pStyle w:val="FootnoteText"/>
        <w:rPr>
          <w:sz w:val="24"/>
          <w:szCs w:val="24"/>
        </w:rPr>
      </w:pPr>
      <w:r w:rsidRPr="00054536">
        <w:rPr>
          <w:rStyle w:val="FootnoteReference"/>
          <w:sz w:val="24"/>
          <w:szCs w:val="24"/>
        </w:rPr>
        <w:footnoteRef/>
      </w:r>
      <w:r w:rsidRPr="00054536">
        <w:rPr>
          <w:sz w:val="24"/>
          <w:szCs w:val="24"/>
        </w:rPr>
        <w:t xml:space="preserve"> These reports accompanied an earlier draft of Title II with slightly different language. However, the change is irrelevant. The earlier draft stated that the remedies, procedures and rights of Section 505 “shall be available with respect to” any person alleging discrimination; the later draft stated that these remedies would be “provide[d] to” such persons. This change was made because the House Judiciary Committee was concerned that in Title I, concerning employment, the “shall be available” language suggested “that a plaintiff could bypass the administrative remedies of title VII and go directly to court.” </w:t>
      </w:r>
      <w:proofErr w:type="gramStart"/>
      <w:r w:rsidRPr="00054536">
        <w:rPr>
          <w:sz w:val="24"/>
          <w:szCs w:val="24"/>
        </w:rPr>
        <w:t xml:space="preserve">H.R. Rep. No. 101-485(III), at 48-49 (1990); </w:t>
      </w:r>
      <w:r w:rsidRPr="00054536">
        <w:rPr>
          <w:i/>
          <w:sz w:val="24"/>
          <w:szCs w:val="24"/>
        </w:rPr>
        <w:t>id.</w:t>
      </w:r>
      <w:proofErr w:type="gramEnd"/>
      <w:r w:rsidRPr="00054536">
        <w:rPr>
          <w:i/>
          <w:sz w:val="24"/>
          <w:szCs w:val="24"/>
        </w:rPr>
        <w:t xml:space="preserve"> </w:t>
      </w:r>
      <w:r w:rsidRPr="00054536">
        <w:rPr>
          <w:sz w:val="24"/>
          <w:szCs w:val="24"/>
        </w:rPr>
        <w:t>at 49 n.48 (“The concern</w:t>
      </w:r>
      <w:r>
        <w:rPr>
          <w:sz w:val="24"/>
          <w:szCs w:val="24"/>
        </w:rPr>
        <w:t>[]</w:t>
      </w:r>
      <w:r w:rsidRPr="00054536">
        <w:rPr>
          <w:sz w:val="24"/>
          <w:szCs w:val="24"/>
        </w:rPr>
        <w:t xml:space="preserve"> expressed was that the term ‘shall be available’ could be read to mean that the powers, remedies and procedures were merely available to a plaintiff, and that a plaintiff could choose not to avail him or </w:t>
      </w:r>
      <w:proofErr w:type="spellStart"/>
      <w:r w:rsidRPr="00054536">
        <w:rPr>
          <w:sz w:val="24"/>
          <w:szCs w:val="24"/>
        </w:rPr>
        <w:t>her</w:t>
      </w:r>
      <w:r>
        <w:rPr>
          <w:sz w:val="24"/>
          <w:szCs w:val="24"/>
        </w:rPr>
        <w:t xml:space="preserve"> </w:t>
      </w:r>
      <w:r w:rsidRPr="00054536">
        <w:rPr>
          <w:sz w:val="24"/>
          <w:szCs w:val="24"/>
        </w:rPr>
        <w:t>self</w:t>
      </w:r>
      <w:proofErr w:type="spellEnd"/>
      <w:r w:rsidRPr="00054536">
        <w:rPr>
          <w:sz w:val="24"/>
          <w:szCs w:val="24"/>
        </w:rPr>
        <w:t xml:space="preserve"> of such powers, remedies and procedures.”). The Committee then made identical changes to Titles II and III for the same reason. </w:t>
      </w:r>
      <w:r w:rsidRPr="00054536">
        <w:rPr>
          <w:i/>
          <w:sz w:val="24"/>
          <w:szCs w:val="24"/>
        </w:rPr>
        <w:t>Id.</w:t>
      </w:r>
      <w:r w:rsidRPr="00054536">
        <w:rPr>
          <w:sz w:val="24"/>
          <w:szCs w:val="24"/>
        </w:rPr>
        <w:t xml:space="preserve"> at 23, 52 (“As in title I, the Committee . . . delete[d] the term ‘shall be available’ in order to clarify that Rehabilitation Act remedies are the only remedies which title II provides for violations of title II.”). The change thus had nothing to do with removing the Attorney General’s enforcement authority. </w:t>
      </w:r>
      <w:proofErr w:type="gramStart"/>
      <w:r w:rsidRPr="00054536">
        <w:rPr>
          <w:i/>
          <w:sz w:val="24"/>
          <w:szCs w:val="24"/>
        </w:rPr>
        <w:t xml:space="preserve">Cf. Whitman v. Am. Trucking </w:t>
      </w:r>
      <w:proofErr w:type="spellStart"/>
      <w:r w:rsidRPr="00054536">
        <w:rPr>
          <w:i/>
          <w:sz w:val="24"/>
          <w:szCs w:val="24"/>
        </w:rPr>
        <w:t>Ass’ns</w:t>
      </w:r>
      <w:proofErr w:type="spellEnd"/>
      <w:r w:rsidRPr="00054536">
        <w:rPr>
          <w:i/>
          <w:sz w:val="24"/>
          <w:szCs w:val="24"/>
        </w:rPr>
        <w:t>, Inc</w:t>
      </w:r>
      <w:r w:rsidR="006A5610">
        <w:rPr>
          <w:sz w:val="24"/>
          <w:szCs w:val="24"/>
        </w:rPr>
        <w:t>., 531 U.S. 457, 468 (2001).</w:t>
      </w:r>
      <w:proofErr w:type="gramEnd"/>
    </w:p>
  </w:footnote>
  <w:footnote w:id="5">
    <w:p w:rsidR="00B949D7" w:rsidRPr="00854EF9" w:rsidRDefault="00B949D7" w:rsidP="008128FF">
      <w:pPr>
        <w:pStyle w:val="FootnoteText"/>
        <w:rPr>
          <w:sz w:val="24"/>
          <w:szCs w:val="24"/>
        </w:rPr>
      </w:pPr>
      <w:r w:rsidRPr="00854EF9">
        <w:rPr>
          <w:rStyle w:val="FootnoteReference"/>
          <w:sz w:val="24"/>
          <w:szCs w:val="24"/>
        </w:rPr>
        <w:footnoteRef/>
      </w:r>
      <w:r w:rsidRPr="00854EF9">
        <w:rPr>
          <w:sz w:val="24"/>
          <w:szCs w:val="24"/>
        </w:rPr>
        <w:t xml:space="preserve"> For the reasons explained above, both Title VI’s enforcement provision and Section 505 give the Attorney General a right of action. But even assuming </w:t>
      </w:r>
      <w:r w:rsidRPr="00854EF9">
        <w:rPr>
          <w:i/>
          <w:sz w:val="24"/>
          <w:szCs w:val="24"/>
        </w:rPr>
        <w:t>arguendo</w:t>
      </w:r>
      <w:r w:rsidRPr="00854EF9">
        <w:rPr>
          <w:sz w:val="24"/>
          <w:szCs w:val="24"/>
        </w:rPr>
        <w:t xml:space="preserve"> that Title VI did not provide such a right of </w:t>
      </w:r>
      <w:proofErr w:type="gramStart"/>
      <w:r w:rsidRPr="00854EF9">
        <w:rPr>
          <w:sz w:val="24"/>
          <w:szCs w:val="24"/>
        </w:rPr>
        <w:t>action, that</w:t>
      </w:r>
      <w:proofErr w:type="gramEnd"/>
      <w:r w:rsidRPr="00854EF9">
        <w:rPr>
          <w:sz w:val="24"/>
          <w:szCs w:val="24"/>
        </w:rPr>
        <w:t xml:space="preserve"> ultimately would not change the interpretation of Title II of the ADA. Title II incorporates Section 505, and, as discussed </w:t>
      </w:r>
      <w:r>
        <w:rPr>
          <w:i/>
          <w:sz w:val="24"/>
          <w:szCs w:val="24"/>
        </w:rPr>
        <w:t xml:space="preserve">supra </w:t>
      </w:r>
      <w:r>
        <w:rPr>
          <w:sz w:val="24"/>
          <w:szCs w:val="24"/>
        </w:rPr>
        <w:t>at 10</w:t>
      </w:r>
      <w:r w:rsidR="00CB3908">
        <w:rPr>
          <w:sz w:val="24"/>
          <w:szCs w:val="24"/>
        </w:rPr>
        <w:t>-11</w:t>
      </w:r>
      <w:r>
        <w:rPr>
          <w:sz w:val="24"/>
          <w:szCs w:val="24"/>
        </w:rPr>
        <w:t>,</w:t>
      </w:r>
      <w:r w:rsidRPr="00854EF9">
        <w:rPr>
          <w:sz w:val="24"/>
          <w:szCs w:val="24"/>
        </w:rPr>
        <w:t xml:space="preserve"> Congress specifically intended that Section 505 codify regulations providing that the Attorney General could enforce the law through litigation. </w:t>
      </w:r>
    </w:p>
  </w:footnote>
  <w:footnote w:id="6">
    <w:p w:rsidR="00B949D7" w:rsidRPr="00054536" w:rsidRDefault="00B949D7">
      <w:pPr>
        <w:contextualSpacing/>
        <w:rPr>
          <w:rFonts w:ascii="Times New Roman" w:hAnsi="Times New Roman" w:cs="Times New Roman"/>
          <w:sz w:val="24"/>
          <w:szCs w:val="24"/>
        </w:rPr>
      </w:pPr>
      <w:r w:rsidRPr="00054536">
        <w:rPr>
          <w:rStyle w:val="FootnoteReference"/>
          <w:rFonts w:ascii="Times New Roman" w:hAnsi="Times New Roman" w:cs="Times New Roman"/>
          <w:sz w:val="24"/>
          <w:szCs w:val="24"/>
        </w:rPr>
        <w:footnoteRef/>
      </w:r>
      <w:r w:rsidRPr="00054536">
        <w:rPr>
          <w:rFonts w:ascii="Times New Roman" w:hAnsi="Times New Roman" w:cs="Times New Roman"/>
          <w:sz w:val="24"/>
          <w:szCs w:val="24"/>
        </w:rPr>
        <w:t xml:space="preserve"> A review of the drafts of Title I confirms that explicitly naming the Attorney General was intended to clarify the roles of each actor, not to grant litigation authority that would not otherwise have existed. Some early versions of the bill that became Title I named the Attorney General and the EEOC, but others did not. </w:t>
      </w:r>
      <w:r w:rsidRPr="00054536">
        <w:rPr>
          <w:rFonts w:ascii="Times New Roman" w:hAnsi="Times New Roman" w:cs="Times New Roman"/>
          <w:i/>
          <w:sz w:val="24"/>
          <w:szCs w:val="24"/>
        </w:rPr>
        <w:t>Compare, e.g.</w:t>
      </w:r>
      <w:r w:rsidRPr="00054536">
        <w:rPr>
          <w:rFonts w:ascii="Times New Roman" w:hAnsi="Times New Roman" w:cs="Times New Roman"/>
          <w:sz w:val="24"/>
          <w:szCs w:val="24"/>
        </w:rPr>
        <w:t xml:space="preserve">, S. 933, 101st Cong., 1st Sess. 15 (1989) (as introduced) (§ 205: “The remedies and procedures set forth in sections 706, 709, and 710 of the Civil Rights Act of 1964   . . . shall be available, with respect to </w:t>
      </w:r>
      <w:r w:rsidRPr="00054536">
        <w:rPr>
          <w:rFonts w:ascii="Times New Roman" w:hAnsi="Times New Roman" w:cs="Times New Roman"/>
          <w:i/>
          <w:sz w:val="24"/>
          <w:szCs w:val="24"/>
        </w:rPr>
        <w:t xml:space="preserve">any individual </w:t>
      </w:r>
      <w:r w:rsidRPr="00054536">
        <w:rPr>
          <w:rFonts w:ascii="Times New Roman" w:hAnsi="Times New Roman" w:cs="Times New Roman"/>
          <w:sz w:val="24"/>
          <w:szCs w:val="24"/>
        </w:rPr>
        <w:t xml:space="preserve">. . . .”) (emphasis added);  H.R. Rep. No. 101-485(II), at </w:t>
      </w:r>
      <w:r>
        <w:rPr>
          <w:rFonts w:ascii="Times New Roman" w:hAnsi="Times New Roman" w:cs="Times New Roman"/>
          <w:sz w:val="24"/>
          <w:szCs w:val="24"/>
        </w:rPr>
        <w:t>82</w:t>
      </w:r>
      <w:r w:rsidRPr="00054536">
        <w:rPr>
          <w:rFonts w:ascii="Times New Roman" w:hAnsi="Times New Roman" w:cs="Times New Roman"/>
          <w:sz w:val="24"/>
          <w:szCs w:val="24"/>
        </w:rPr>
        <w:t xml:space="preserve"> (§ 107: “The remedies and procedures set forth in sections 706, 707, 709, and 710 of the Civil Rights Act of 1964 . . . shall be available, with respect to </w:t>
      </w:r>
      <w:r w:rsidRPr="00054536">
        <w:rPr>
          <w:rFonts w:ascii="Times New Roman" w:hAnsi="Times New Roman" w:cs="Times New Roman"/>
          <w:i/>
          <w:sz w:val="24"/>
          <w:szCs w:val="24"/>
        </w:rPr>
        <w:t>the Commission, the Attorney General, or any individual</w:t>
      </w:r>
      <w:r w:rsidRPr="00054536">
        <w:rPr>
          <w:rFonts w:ascii="Times New Roman" w:hAnsi="Times New Roman" w:cs="Times New Roman"/>
          <w:sz w:val="24"/>
          <w:szCs w:val="24"/>
        </w:rPr>
        <w:t xml:space="preserve"> . . . .”) (emphasis added); S. Rep. No. 101-116 at 43 (“Section 106 of the legislation [as amended by the committee] specifies that the remedies and procedures set forth in sections 706, 707, 709, and 710 of the Civil Rights Act of 1964 shall be available with respect to </w:t>
      </w:r>
      <w:r w:rsidRPr="00054536">
        <w:rPr>
          <w:rFonts w:ascii="Times New Roman" w:hAnsi="Times New Roman" w:cs="Times New Roman"/>
          <w:i/>
          <w:sz w:val="24"/>
          <w:szCs w:val="24"/>
        </w:rPr>
        <w:t>the Commission or any individual</w:t>
      </w:r>
      <w:r w:rsidRPr="00054536">
        <w:rPr>
          <w:rFonts w:ascii="Times New Roman" w:hAnsi="Times New Roman" w:cs="Times New Roman"/>
          <w:sz w:val="24"/>
          <w:szCs w:val="24"/>
        </w:rPr>
        <w:t xml:space="preserve"> . . . .”) (</w:t>
      </w:r>
      <w:proofErr w:type="gramStart"/>
      <w:r w:rsidRPr="00054536">
        <w:rPr>
          <w:rFonts w:ascii="Times New Roman" w:hAnsi="Times New Roman" w:cs="Times New Roman"/>
          <w:sz w:val="24"/>
          <w:szCs w:val="24"/>
        </w:rPr>
        <w:t>emphasis</w:t>
      </w:r>
      <w:proofErr w:type="gramEnd"/>
      <w:r w:rsidRPr="00054536">
        <w:rPr>
          <w:rFonts w:ascii="Times New Roman" w:hAnsi="Times New Roman" w:cs="Times New Roman"/>
          <w:sz w:val="24"/>
          <w:szCs w:val="24"/>
        </w:rPr>
        <w:t xml:space="preserve"> added). None of the committee reports suggests that the addition of the reference to the Attorney General effected any substantive change. Not only was there no discussion about whether to name the Attorney General in Title I, but the Senate committee report stated—even though the Senate draft did </w:t>
      </w:r>
      <w:r w:rsidRPr="00054536">
        <w:rPr>
          <w:rFonts w:ascii="Times New Roman" w:hAnsi="Times New Roman" w:cs="Times New Roman"/>
          <w:i/>
          <w:sz w:val="24"/>
          <w:szCs w:val="24"/>
        </w:rPr>
        <w:t>not</w:t>
      </w:r>
      <w:r w:rsidRPr="00054536">
        <w:rPr>
          <w:rFonts w:ascii="Times New Roman" w:hAnsi="Times New Roman" w:cs="Times New Roman"/>
          <w:sz w:val="24"/>
          <w:szCs w:val="24"/>
        </w:rPr>
        <w:t xml:space="preserve"> name the Attorney General—that the Attorney General would have “pattern or practice authority” to enforce the provision. </w:t>
      </w:r>
      <w:proofErr w:type="gramStart"/>
      <w:r w:rsidRPr="00054536">
        <w:rPr>
          <w:rFonts w:ascii="Times New Roman" w:hAnsi="Times New Roman" w:cs="Times New Roman"/>
          <w:sz w:val="24"/>
          <w:szCs w:val="24"/>
        </w:rPr>
        <w:t>S. Rep. No. 101-116, at 43.</w:t>
      </w:r>
      <w:proofErr w:type="gramEnd"/>
      <w:r w:rsidRPr="00054536">
        <w:rPr>
          <w:rFonts w:ascii="Times New Roman" w:hAnsi="Times New Roman" w:cs="Times New Roman"/>
          <w:sz w:val="24"/>
          <w:szCs w:val="24"/>
        </w:rPr>
        <w:t xml:space="preserve"> Eventually, the competing bills were reconciled with the unadorned statement that “The House amendment adds a reference to ‘the Attorney General.’ The Senate recedes.” </w:t>
      </w:r>
      <w:proofErr w:type="gramStart"/>
      <w:r w:rsidRPr="00054536">
        <w:rPr>
          <w:rFonts w:ascii="Times New Roman" w:hAnsi="Times New Roman" w:cs="Times New Roman"/>
          <w:sz w:val="24"/>
          <w:szCs w:val="24"/>
        </w:rPr>
        <w:t>H.R. Rep. 101-558 at 62.</w:t>
      </w:r>
      <w:proofErr w:type="gramEnd"/>
      <w:r w:rsidRPr="00054536">
        <w:rPr>
          <w:rFonts w:ascii="Times New Roman" w:hAnsi="Times New Roman" w:cs="Times New Roman"/>
          <w:sz w:val="24"/>
          <w:szCs w:val="24"/>
        </w:rPr>
        <w:t xml:space="preserve"> Nothing suggests that that naming the Attorney General was intended to grant her enforcement authority that previous drafts had lacked.</w:t>
      </w:r>
    </w:p>
    <w:p w:rsidR="00B949D7" w:rsidRPr="00054536" w:rsidRDefault="00B949D7">
      <w:pPr>
        <w:pStyle w:val="FootnoteText"/>
        <w:rPr>
          <w:sz w:val="24"/>
          <w:szCs w:val="24"/>
        </w:rPr>
      </w:pPr>
    </w:p>
  </w:footnote>
  <w:footnote w:id="7">
    <w:p w:rsidR="00B949D7" w:rsidRPr="00054536" w:rsidRDefault="00B949D7">
      <w:pPr>
        <w:contextualSpacing/>
        <w:rPr>
          <w:rFonts w:ascii="Times New Roman" w:hAnsi="Times New Roman" w:cs="Times New Roman"/>
          <w:sz w:val="24"/>
          <w:szCs w:val="24"/>
        </w:rPr>
      </w:pPr>
      <w:r w:rsidRPr="00054536">
        <w:rPr>
          <w:rStyle w:val="FootnoteReference"/>
          <w:rFonts w:ascii="Times New Roman" w:hAnsi="Times New Roman" w:cs="Times New Roman"/>
          <w:sz w:val="24"/>
          <w:szCs w:val="24"/>
        </w:rPr>
        <w:footnoteRef/>
      </w:r>
      <w:r w:rsidRPr="00054536">
        <w:rPr>
          <w:rFonts w:ascii="Times New Roman" w:hAnsi="Times New Roman" w:cs="Times New Roman"/>
          <w:sz w:val="24"/>
          <w:szCs w:val="24"/>
        </w:rPr>
        <w:t xml:space="preserve"> Harris County’s similar attempt to distinguish Title VI of the Civil Rights Act from other titles of that Act (which explicitly name the Attorney General) also fails to account for that Act’s structure. </w:t>
      </w:r>
      <w:r w:rsidRPr="00054536">
        <w:rPr>
          <w:rFonts w:ascii="Times New Roman" w:hAnsi="Times New Roman" w:cs="Times New Roman"/>
          <w:i/>
          <w:sz w:val="24"/>
          <w:szCs w:val="24"/>
        </w:rPr>
        <w:t xml:space="preserve">See </w:t>
      </w:r>
      <w:r w:rsidRPr="00054536">
        <w:rPr>
          <w:rFonts w:ascii="Times New Roman" w:hAnsi="Times New Roman" w:cs="Times New Roman"/>
          <w:sz w:val="24"/>
          <w:szCs w:val="24"/>
        </w:rPr>
        <w:t xml:space="preserve">MTD at 6. Unlike the other titles of the Civil Rights Act, Title VI bans discrimination in a wide range of contexts and is enforced by a variety of federal agencies. It would have been unnecessary and confusing for Congress to identify the head of only one of the many agencies responsible for enforcing these statutes; rather, broader language was appropriate. As another district court recently held, after examining the legislative history, Congress adopted the “any other means authorized by law” language in Title VI rather than a narrow provision stating that the Attorney General could bring suit specifically in order to ensure that enforcement procedures were as broad and flexible as possible for this complex title. </w:t>
      </w:r>
      <w:proofErr w:type="gramStart"/>
      <w:r w:rsidRPr="00054536">
        <w:rPr>
          <w:rFonts w:ascii="Times New Roman" w:hAnsi="Times New Roman" w:cs="Times New Roman"/>
          <w:i/>
          <w:sz w:val="24"/>
          <w:szCs w:val="24"/>
        </w:rPr>
        <w:t>Maricopa</w:t>
      </w:r>
      <w:r>
        <w:rPr>
          <w:rFonts w:ascii="Times New Roman" w:hAnsi="Times New Roman" w:cs="Times New Roman"/>
          <w:sz w:val="24"/>
          <w:szCs w:val="24"/>
        </w:rPr>
        <w:t>, 151 F. Supp. 3d at 1018</w:t>
      </w:r>
      <w:r w:rsidRPr="00054536">
        <w:rPr>
          <w:rFonts w:ascii="Times New Roman" w:hAnsi="Times New Roman" w:cs="Times New Roman"/>
          <w:sz w:val="24"/>
          <w:szCs w:val="24"/>
        </w:rPr>
        <w:t>.</w:t>
      </w:r>
      <w:proofErr w:type="gramEnd"/>
      <w:r w:rsidRPr="00054536">
        <w:rPr>
          <w:rFonts w:ascii="Times New Roman" w:hAnsi="Times New Roman" w:cs="Times New Roman"/>
          <w:sz w:val="24"/>
          <w:szCs w:val="24"/>
        </w:rPr>
        <w:t xml:space="preserve"> </w:t>
      </w:r>
    </w:p>
  </w:footnote>
  <w:footnote w:id="8">
    <w:p w:rsidR="00B949D7" w:rsidRPr="00054536" w:rsidRDefault="00B949D7" w:rsidP="00DE0154">
      <w:pPr>
        <w:pStyle w:val="FootnoteText"/>
        <w:rPr>
          <w:sz w:val="24"/>
          <w:szCs w:val="24"/>
        </w:rPr>
      </w:pPr>
      <w:r w:rsidRPr="00054536">
        <w:rPr>
          <w:rStyle w:val="FootnoteReference"/>
          <w:sz w:val="24"/>
          <w:szCs w:val="24"/>
        </w:rPr>
        <w:footnoteRef/>
      </w:r>
      <w:r w:rsidRPr="00054536">
        <w:rPr>
          <w:sz w:val="24"/>
          <w:szCs w:val="24"/>
        </w:rPr>
        <w:t xml:space="preserve"> The case was reassigned after the initial judge was elevated to the Eleventh Circuit. </w:t>
      </w:r>
    </w:p>
  </w:footnote>
  <w:footnote w:id="9">
    <w:p w:rsidR="00B949D7" w:rsidRPr="00054536" w:rsidRDefault="00B949D7">
      <w:pPr>
        <w:pStyle w:val="FootnoteText"/>
        <w:rPr>
          <w:sz w:val="24"/>
          <w:szCs w:val="24"/>
        </w:rPr>
      </w:pPr>
      <w:r w:rsidRPr="00054536">
        <w:rPr>
          <w:rStyle w:val="FootnoteReference"/>
          <w:sz w:val="24"/>
          <w:szCs w:val="24"/>
        </w:rPr>
        <w:footnoteRef/>
      </w:r>
      <w:r w:rsidRPr="00054536">
        <w:rPr>
          <w:sz w:val="24"/>
          <w:szCs w:val="24"/>
        </w:rPr>
        <w:t xml:space="preserve"> The United States is currently reviewing and working to verify the information in individual complaints that it has received. Frequently, verifying that information requires visiting a voter’s polling site on </w:t>
      </w:r>
      <w:proofErr w:type="gramStart"/>
      <w:r w:rsidRPr="00054536">
        <w:rPr>
          <w:sz w:val="24"/>
          <w:szCs w:val="24"/>
        </w:rPr>
        <w:t>election day</w:t>
      </w:r>
      <w:proofErr w:type="gramEnd"/>
      <w:r w:rsidRPr="00054536">
        <w:rPr>
          <w:sz w:val="24"/>
          <w:szCs w:val="24"/>
        </w:rPr>
        <w:t>. Summaries of th</w:t>
      </w:r>
      <w:r w:rsidR="00920628">
        <w:rPr>
          <w:sz w:val="24"/>
          <w:szCs w:val="24"/>
        </w:rPr>
        <w:t>e complaints the United States receives are being</w:t>
      </w:r>
      <w:r w:rsidRPr="00054536">
        <w:rPr>
          <w:sz w:val="24"/>
          <w:szCs w:val="24"/>
        </w:rPr>
        <w:t xml:space="preserve"> provided to Harris County.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Default="00CB1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D7" w:rsidRDefault="00B949D7">
    <w:pPr>
      <w:pStyle w:val="Header"/>
      <w:jc w:val="center"/>
    </w:pPr>
  </w:p>
  <w:p w:rsidR="00B949D7" w:rsidRDefault="00B949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50" w:rsidRDefault="00CB1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8B1"/>
    <w:multiLevelType w:val="hybridMultilevel"/>
    <w:tmpl w:val="FB908738"/>
    <w:styleLink w:val="ImportedStyle1"/>
    <w:lvl w:ilvl="0" w:tplc="EBACE13E">
      <w:start w:val="1"/>
      <w:numFmt w:val="upperRoman"/>
      <w:lvlText w:val="%1."/>
      <w:lvlJc w:val="left"/>
      <w:pPr>
        <w:ind w:left="720" w:hanging="720"/>
      </w:pPr>
      <w:rPr>
        <w:rFonts w:hAnsi="Arial Unicode MS"/>
        <w:b/>
        <w:bCs/>
        <w:caps w:val="0"/>
        <w:smallCaps w:val="0"/>
        <w:strike w:val="0"/>
        <w:dstrike w:val="0"/>
        <w:spacing w:val="0"/>
        <w:w w:val="100"/>
        <w:kern w:val="0"/>
        <w:position w:val="0"/>
        <w:highlight w:val="none"/>
        <w:vertAlign w:val="baseline"/>
      </w:rPr>
    </w:lvl>
    <w:lvl w:ilvl="1" w:tplc="A7D06E2E">
      <w:start w:val="1"/>
      <w:numFmt w:val="lowerLetter"/>
      <w:lvlText w:val="%2."/>
      <w:lvlJc w:val="left"/>
      <w:pPr>
        <w:ind w:left="1800" w:hanging="720"/>
      </w:pPr>
      <w:rPr>
        <w:rFonts w:hAnsi="Arial Unicode MS"/>
        <w:b/>
        <w:bCs/>
        <w:caps w:val="0"/>
        <w:smallCaps w:val="0"/>
        <w:strike w:val="0"/>
        <w:dstrike w:val="0"/>
        <w:spacing w:val="0"/>
        <w:w w:val="100"/>
        <w:kern w:val="0"/>
        <w:position w:val="0"/>
        <w:highlight w:val="none"/>
        <w:vertAlign w:val="baseline"/>
      </w:rPr>
    </w:lvl>
    <w:lvl w:ilvl="2" w:tplc="6C30D7FC">
      <w:start w:val="1"/>
      <w:numFmt w:val="lowerRoman"/>
      <w:lvlText w:val="%3."/>
      <w:lvlJc w:val="left"/>
      <w:pPr>
        <w:ind w:left="2520" w:hanging="642"/>
      </w:pPr>
      <w:rPr>
        <w:rFonts w:hAnsi="Arial Unicode MS"/>
        <w:b/>
        <w:bCs/>
        <w:caps w:val="0"/>
        <w:smallCaps w:val="0"/>
        <w:strike w:val="0"/>
        <w:dstrike w:val="0"/>
        <w:spacing w:val="0"/>
        <w:w w:val="100"/>
        <w:kern w:val="0"/>
        <w:position w:val="0"/>
        <w:highlight w:val="none"/>
        <w:vertAlign w:val="baseline"/>
      </w:rPr>
    </w:lvl>
    <w:lvl w:ilvl="3" w:tplc="A0046BEA">
      <w:start w:val="1"/>
      <w:numFmt w:val="decimal"/>
      <w:lvlText w:val="%4."/>
      <w:lvlJc w:val="left"/>
      <w:pPr>
        <w:ind w:left="3240" w:hanging="720"/>
      </w:pPr>
      <w:rPr>
        <w:rFonts w:hAnsi="Arial Unicode MS"/>
        <w:b/>
        <w:bCs/>
        <w:caps w:val="0"/>
        <w:smallCaps w:val="0"/>
        <w:strike w:val="0"/>
        <w:dstrike w:val="0"/>
        <w:spacing w:val="0"/>
        <w:w w:val="100"/>
        <w:kern w:val="0"/>
        <w:position w:val="0"/>
        <w:highlight w:val="none"/>
        <w:vertAlign w:val="baseline"/>
      </w:rPr>
    </w:lvl>
    <w:lvl w:ilvl="4" w:tplc="7F16DC28">
      <w:start w:val="1"/>
      <w:numFmt w:val="lowerLetter"/>
      <w:lvlText w:val="%5."/>
      <w:lvlJc w:val="left"/>
      <w:pPr>
        <w:ind w:left="3960" w:hanging="720"/>
      </w:pPr>
      <w:rPr>
        <w:rFonts w:hAnsi="Arial Unicode MS"/>
        <w:b/>
        <w:bCs/>
        <w:caps w:val="0"/>
        <w:smallCaps w:val="0"/>
        <w:strike w:val="0"/>
        <w:dstrike w:val="0"/>
        <w:spacing w:val="0"/>
        <w:w w:val="100"/>
        <w:kern w:val="0"/>
        <w:position w:val="0"/>
        <w:highlight w:val="none"/>
        <w:vertAlign w:val="baseline"/>
      </w:rPr>
    </w:lvl>
    <w:lvl w:ilvl="5" w:tplc="77F8EE48">
      <w:start w:val="1"/>
      <w:numFmt w:val="lowerRoman"/>
      <w:lvlText w:val="%6."/>
      <w:lvlJc w:val="left"/>
      <w:pPr>
        <w:ind w:left="4680" w:hanging="642"/>
      </w:pPr>
      <w:rPr>
        <w:rFonts w:hAnsi="Arial Unicode MS"/>
        <w:b/>
        <w:bCs/>
        <w:caps w:val="0"/>
        <w:smallCaps w:val="0"/>
        <w:strike w:val="0"/>
        <w:dstrike w:val="0"/>
        <w:spacing w:val="0"/>
        <w:w w:val="100"/>
        <w:kern w:val="0"/>
        <w:position w:val="0"/>
        <w:highlight w:val="none"/>
        <w:vertAlign w:val="baseline"/>
      </w:rPr>
    </w:lvl>
    <w:lvl w:ilvl="6" w:tplc="F9FAA388">
      <w:start w:val="1"/>
      <w:numFmt w:val="decimal"/>
      <w:lvlText w:val="%7."/>
      <w:lvlJc w:val="left"/>
      <w:pPr>
        <w:ind w:left="5400" w:hanging="720"/>
      </w:pPr>
      <w:rPr>
        <w:rFonts w:hAnsi="Arial Unicode MS"/>
        <w:b/>
        <w:bCs/>
        <w:caps w:val="0"/>
        <w:smallCaps w:val="0"/>
        <w:strike w:val="0"/>
        <w:dstrike w:val="0"/>
        <w:spacing w:val="0"/>
        <w:w w:val="100"/>
        <w:kern w:val="0"/>
        <w:position w:val="0"/>
        <w:highlight w:val="none"/>
        <w:vertAlign w:val="baseline"/>
      </w:rPr>
    </w:lvl>
    <w:lvl w:ilvl="7" w:tplc="1E6C9C1E">
      <w:start w:val="1"/>
      <w:numFmt w:val="lowerLetter"/>
      <w:lvlText w:val="%8."/>
      <w:lvlJc w:val="left"/>
      <w:pPr>
        <w:ind w:left="6120" w:hanging="720"/>
      </w:pPr>
      <w:rPr>
        <w:rFonts w:hAnsi="Arial Unicode MS"/>
        <w:b/>
        <w:bCs/>
        <w:caps w:val="0"/>
        <w:smallCaps w:val="0"/>
        <w:strike w:val="0"/>
        <w:dstrike w:val="0"/>
        <w:spacing w:val="0"/>
        <w:w w:val="100"/>
        <w:kern w:val="0"/>
        <w:position w:val="0"/>
        <w:highlight w:val="none"/>
        <w:vertAlign w:val="baseline"/>
      </w:rPr>
    </w:lvl>
    <w:lvl w:ilvl="8" w:tplc="DAEE953C">
      <w:start w:val="1"/>
      <w:numFmt w:val="lowerRoman"/>
      <w:lvlText w:val="%9."/>
      <w:lvlJc w:val="left"/>
      <w:pPr>
        <w:ind w:left="6840" w:hanging="642"/>
      </w:pPr>
      <w:rPr>
        <w:rFonts w:hAnsi="Arial Unicode MS"/>
        <w:b/>
        <w:bCs/>
        <w:caps w:val="0"/>
        <w:smallCaps w:val="0"/>
        <w:strike w:val="0"/>
        <w:dstrike w:val="0"/>
        <w:spacing w:val="0"/>
        <w:w w:val="100"/>
        <w:kern w:val="0"/>
        <w:position w:val="0"/>
        <w:highlight w:val="none"/>
        <w:vertAlign w:val="baseline"/>
      </w:rPr>
    </w:lvl>
  </w:abstractNum>
  <w:abstractNum w:abstractNumId="1">
    <w:nsid w:val="28CA7526"/>
    <w:multiLevelType w:val="hybridMultilevel"/>
    <w:tmpl w:val="31807918"/>
    <w:lvl w:ilvl="0" w:tplc="5E461EF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EE0059D"/>
    <w:multiLevelType w:val="hybridMultilevel"/>
    <w:tmpl w:val="C4881362"/>
    <w:lvl w:ilvl="0" w:tplc="C6B475D2">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C42CB3"/>
    <w:multiLevelType w:val="hybridMultilevel"/>
    <w:tmpl w:val="A13AA4F4"/>
    <w:lvl w:ilvl="0" w:tplc="FB9E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62FFD"/>
    <w:multiLevelType w:val="hybridMultilevel"/>
    <w:tmpl w:val="B10A5766"/>
    <w:lvl w:ilvl="0" w:tplc="5C1AAF4A">
      <w:start w:val="1"/>
      <w:numFmt w:val="upperRoman"/>
      <w:pStyle w:val="Heading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C1A30"/>
    <w:multiLevelType w:val="multilevel"/>
    <w:tmpl w:val="FB908738"/>
    <w:numStyleLink w:val="ImportedStyle1"/>
  </w:abstractNum>
  <w:abstractNum w:abstractNumId="6">
    <w:nsid w:val="406C394D"/>
    <w:multiLevelType w:val="hybridMultilevel"/>
    <w:tmpl w:val="FA368F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F4ED5"/>
    <w:multiLevelType w:val="hybridMultilevel"/>
    <w:tmpl w:val="093EE168"/>
    <w:lvl w:ilvl="0" w:tplc="76481EDE">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253686"/>
    <w:multiLevelType w:val="hybridMultilevel"/>
    <w:tmpl w:val="8782F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300A2"/>
    <w:multiLevelType w:val="hybridMultilevel"/>
    <w:tmpl w:val="0CFEAC16"/>
    <w:lvl w:ilvl="0" w:tplc="A2B0A4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9"/>
  </w:num>
  <w:num w:numId="5">
    <w:abstractNumId w:val="7"/>
  </w:num>
  <w:num w:numId="6">
    <w:abstractNumId w:val="2"/>
  </w:num>
  <w:num w:numId="7">
    <w:abstractNumId w:val="3"/>
  </w:num>
  <w:num w:numId="8">
    <w:abstractNumId w:val="2"/>
    <w:lvlOverride w:ilvl="0">
      <w:startOverride w:val="1"/>
    </w:lvlOverride>
  </w:num>
  <w:num w:numId="9">
    <w:abstractNumId w:val="1"/>
  </w:num>
  <w:num w:numId="10">
    <w:abstractNumId w:val="2"/>
    <w:lvlOverride w:ilvl="0">
      <w:startOverride w:val="1"/>
    </w:lvlOverride>
  </w:num>
  <w:num w:numId="11">
    <w:abstractNumId w:val="0"/>
  </w:num>
  <w:num w:numId="12">
    <w:abstractNumId w:val="5"/>
  </w:num>
  <w:num w:numId="13">
    <w:abstractNumId w:val="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Wolfe">
    <w15:presenceInfo w15:providerId="AD" w15:userId="S-1-5-21-671366142-1315730118-1538882281-7506"/>
  </w15:person>
  <w15:person w15:author="Hill, Eve L. (CRT)">
    <w15:presenceInfo w15:providerId="AD" w15:userId="S-1-5-21-671366142-1315730118-1538882281-37836"/>
  </w15:person>
  <w15:person w15:author="Kathleen Wolfe [2]">
    <w15:presenceInfo w15:providerId="AD" w15:userId="S-1-5-21-671366142-1315730118-1538882281-75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C93E4D"/>
    <w:rsid w:val="00001587"/>
    <w:rsid w:val="00005752"/>
    <w:rsid w:val="00013C87"/>
    <w:rsid w:val="00013D2F"/>
    <w:rsid w:val="00016E2C"/>
    <w:rsid w:val="00023DF1"/>
    <w:rsid w:val="000246A2"/>
    <w:rsid w:val="00031325"/>
    <w:rsid w:val="00031CC5"/>
    <w:rsid w:val="000320D1"/>
    <w:rsid w:val="0003475F"/>
    <w:rsid w:val="00034B10"/>
    <w:rsid w:val="00035002"/>
    <w:rsid w:val="0004091F"/>
    <w:rsid w:val="00043F12"/>
    <w:rsid w:val="0004444B"/>
    <w:rsid w:val="00045D03"/>
    <w:rsid w:val="00045ECB"/>
    <w:rsid w:val="00054536"/>
    <w:rsid w:val="00060357"/>
    <w:rsid w:val="000619D5"/>
    <w:rsid w:val="0006474E"/>
    <w:rsid w:val="00064B4D"/>
    <w:rsid w:val="00070066"/>
    <w:rsid w:val="00070999"/>
    <w:rsid w:val="0007140F"/>
    <w:rsid w:val="00072228"/>
    <w:rsid w:val="0007436C"/>
    <w:rsid w:val="00080196"/>
    <w:rsid w:val="0008264C"/>
    <w:rsid w:val="00083ABE"/>
    <w:rsid w:val="00086BEF"/>
    <w:rsid w:val="00087586"/>
    <w:rsid w:val="00093591"/>
    <w:rsid w:val="00094D6E"/>
    <w:rsid w:val="000971A6"/>
    <w:rsid w:val="000977AB"/>
    <w:rsid w:val="000A2491"/>
    <w:rsid w:val="000A3ABB"/>
    <w:rsid w:val="000A5CBE"/>
    <w:rsid w:val="000A6A92"/>
    <w:rsid w:val="000B0675"/>
    <w:rsid w:val="000B0B27"/>
    <w:rsid w:val="000B23F3"/>
    <w:rsid w:val="000B4503"/>
    <w:rsid w:val="000C24FB"/>
    <w:rsid w:val="000C5B1A"/>
    <w:rsid w:val="000D1943"/>
    <w:rsid w:val="000D3561"/>
    <w:rsid w:val="000D5470"/>
    <w:rsid w:val="000D62E0"/>
    <w:rsid w:val="000E3439"/>
    <w:rsid w:val="000F4B8E"/>
    <w:rsid w:val="000F6D30"/>
    <w:rsid w:val="001012FA"/>
    <w:rsid w:val="0010247C"/>
    <w:rsid w:val="00105E39"/>
    <w:rsid w:val="001115F1"/>
    <w:rsid w:val="00112C24"/>
    <w:rsid w:val="00114A8D"/>
    <w:rsid w:val="001160DF"/>
    <w:rsid w:val="00117941"/>
    <w:rsid w:val="00123402"/>
    <w:rsid w:val="001279B1"/>
    <w:rsid w:val="00132565"/>
    <w:rsid w:val="00133277"/>
    <w:rsid w:val="00133827"/>
    <w:rsid w:val="00133A9F"/>
    <w:rsid w:val="00134964"/>
    <w:rsid w:val="00137B26"/>
    <w:rsid w:val="00140FCD"/>
    <w:rsid w:val="001433BA"/>
    <w:rsid w:val="001506B1"/>
    <w:rsid w:val="00156923"/>
    <w:rsid w:val="00175172"/>
    <w:rsid w:val="00183F3D"/>
    <w:rsid w:val="00186993"/>
    <w:rsid w:val="00187245"/>
    <w:rsid w:val="00190763"/>
    <w:rsid w:val="00196F22"/>
    <w:rsid w:val="001A254D"/>
    <w:rsid w:val="001A4EC4"/>
    <w:rsid w:val="001A68D9"/>
    <w:rsid w:val="001A781B"/>
    <w:rsid w:val="001B2E65"/>
    <w:rsid w:val="001B4BD3"/>
    <w:rsid w:val="001C2DCB"/>
    <w:rsid w:val="001C4961"/>
    <w:rsid w:val="001C7BB8"/>
    <w:rsid w:val="001D2D42"/>
    <w:rsid w:val="001D5BA8"/>
    <w:rsid w:val="001D7DF4"/>
    <w:rsid w:val="001E5828"/>
    <w:rsid w:val="001F1A7F"/>
    <w:rsid w:val="001F41D3"/>
    <w:rsid w:val="001F4C15"/>
    <w:rsid w:val="00201ABE"/>
    <w:rsid w:val="00205233"/>
    <w:rsid w:val="00210A87"/>
    <w:rsid w:val="00213AE4"/>
    <w:rsid w:val="00216634"/>
    <w:rsid w:val="00216823"/>
    <w:rsid w:val="00216FB9"/>
    <w:rsid w:val="002173FB"/>
    <w:rsid w:val="00217DFF"/>
    <w:rsid w:val="00221B1F"/>
    <w:rsid w:val="00222A8A"/>
    <w:rsid w:val="00223216"/>
    <w:rsid w:val="0023153E"/>
    <w:rsid w:val="002324D1"/>
    <w:rsid w:val="00236C25"/>
    <w:rsid w:val="00242CB1"/>
    <w:rsid w:val="00245E7A"/>
    <w:rsid w:val="00247292"/>
    <w:rsid w:val="002479C1"/>
    <w:rsid w:val="00251575"/>
    <w:rsid w:val="00252485"/>
    <w:rsid w:val="002567A8"/>
    <w:rsid w:val="002570B5"/>
    <w:rsid w:val="0026715D"/>
    <w:rsid w:val="002747B0"/>
    <w:rsid w:val="0027515C"/>
    <w:rsid w:val="00275AB2"/>
    <w:rsid w:val="0028005A"/>
    <w:rsid w:val="00287017"/>
    <w:rsid w:val="002900C7"/>
    <w:rsid w:val="002945B2"/>
    <w:rsid w:val="00295F5F"/>
    <w:rsid w:val="002A4996"/>
    <w:rsid w:val="002B0D7A"/>
    <w:rsid w:val="002B6D6F"/>
    <w:rsid w:val="002C1F95"/>
    <w:rsid w:val="002C33BE"/>
    <w:rsid w:val="002C74B2"/>
    <w:rsid w:val="002C7E7D"/>
    <w:rsid w:val="002D0413"/>
    <w:rsid w:val="002D2C48"/>
    <w:rsid w:val="002E5395"/>
    <w:rsid w:val="002F1FC1"/>
    <w:rsid w:val="002F5AA9"/>
    <w:rsid w:val="00300408"/>
    <w:rsid w:val="00300578"/>
    <w:rsid w:val="00311AB0"/>
    <w:rsid w:val="00311C47"/>
    <w:rsid w:val="00320263"/>
    <w:rsid w:val="003206E6"/>
    <w:rsid w:val="00320A43"/>
    <w:rsid w:val="00335F9B"/>
    <w:rsid w:val="00340484"/>
    <w:rsid w:val="00342727"/>
    <w:rsid w:val="0034492F"/>
    <w:rsid w:val="00344DEE"/>
    <w:rsid w:val="0035590C"/>
    <w:rsid w:val="00356939"/>
    <w:rsid w:val="00367D14"/>
    <w:rsid w:val="00370087"/>
    <w:rsid w:val="00371807"/>
    <w:rsid w:val="00372FB9"/>
    <w:rsid w:val="003739E2"/>
    <w:rsid w:val="0037547E"/>
    <w:rsid w:val="00385225"/>
    <w:rsid w:val="00385935"/>
    <w:rsid w:val="00385E31"/>
    <w:rsid w:val="003865FA"/>
    <w:rsid w:val="003878D3"/>
    <w:rsid w:val="00390CB3"/>
    <w:rsid w:val="003914E9"/>
    <w:rsid w:val="00393120"/>
    <w:rsid w:val="00393C78"/>
    <w:rsid w:val="00393CE5"/>
    <w:rsid w:val="0039434C"/>
    <w:rsid w:val="00394A0B"/>
    <w:rsid w:val="003961B3"/>
    <w:rsid w:val="003A01D7"/>
    <w:rsid w:val="003A04C8"/>
    <w:rsid w:val="003A1E97"/>
    <w:rsid w:val="003A2CA9"/>
    <w:rsid w:val="003A69BF"/>
    <w:rsid w:val="003B16D2"/>
    <w:rsid w:val="003B5E0F"/>
    <w:rsid w:val="003C1627"/>
    <w:rsid w:val="003C1997"/>
    <w:rsid w:val="003C4983"/>
    <w:rsid w:val="003C7C30"/>
    <w:rsid w:val="003D457D"/>
    <w:rsid w:val="003E2A4D"/>
    <w:rsid w:val="003E53A6"/>
    <w:rsid w:val="003E571A"/>
    <w:rsid w:val="003E6C84"/>
    <w:rsid w:val="003F180B"/>
    <w:rsid w:val="003F19DA"/>
    <w:rsid w:val="003F7AB8"/>
    <w:rsid w:val="003F7DEB"/>
    <w:rsid w:val="00401CBD"/>
    <w:rsid w:val="004022F3"/>
    <w:rsid w:val="00402F0B"/>
    <w:rsid w:val="00405A2B"/>
    <w:rsid w:val="00415FAB"/>
    <w:rsid w:val="00422657"/>
    <w:rsid w:val="00424A9A"/>
    <w:rsid w:val="004250C4"/>
    <w:rsid w:val="0042716D"/>
    <w:rsid w:val="00427F42"/>
    <w:rsid w:val="00433AA5"/>
    <w:rsid w:val="00436905"/>
    <w:rsid w:val="00437284"/>
    <w:rsid w:val="004408CF"/>
    <w:rsid w:val="00443971"/>
    <w:rsid w:val="004475F6"/>
    <w:rsid w:val="004476EF"/>
    <w:rsid w:val="004519F3"/>
    <w:rsid w:val="00460A65"/>
    <w:rsid w:val="004621C9"/>
    <w:rsid w:val="004655F4"/>
    <w:rsid w:val="00480A22"/>
    <w:rsid w:val="004811DD"/>
    <w:rsid w:val="00491976"/>
    <w:rsid w:val="00491C90"/>
    <w:rsid w:val="00496200"/>
    <w:rsid w:val="004963CE"/>
    <w:rsid w:val="004A0D4F"/>
    <w:rsid w:val="004A6EB2"/>
    <w:rsid w:val="004B0184"/>
    <w:rsid w:val="004B0DE7"/>
    <w:rsid w:val="004B212D"/>
    <w:rsid w:val="004B27D4"/>
    <w:rsid w:val="004D06A2"/>
    <w:rsid w:val="004D1655"/>
    <w:rsid w:val="004D3433"/>
    <w:rsid w:val="004E06F2"/>
    <w:rsid w:val="004E2A79"/>
    <w:rsid w:val="004E2C2C"/>
    <w:rsid w:val="004E3E47"/>
    <w:rsid w:val="004E5889"/>
    <w:rsid w:val="004E6928"/>
    <w:rsid w:val="004F0079"/>
    <w:rsid w:val="004F3448"/>
    <w:rsid w:val="004F55CC"/>
    <w:rsid w:val="0050240C"/>
    <w:rsid w:val="0050263D"/>
    <w:rsid w:val="005039B6"/>
    <w:rsid w:val="005061E7"/>
    <w:rsid w:val="005074DD"/>
    <w:rsid w:val="00520E33"/>
    <w:rsid w:val="005225E5"/>
    <w:rsid w:val="005248A3"/>
    <w:rsid w:val="00524DBB"/>
    <w:rsid w:val="00526BE7"/>
    <w:rsid w:val="005301D2"/>
    <w:rsid w:val="00530B8A"/>
    <w:rsid w:val="00531079"/>
    <w:rsid w:val="00531711"/>
    <w:rsid w:val="0053424D"/>
    <w:rsid w:val="005376C9"/>
    <w:rsid w:val="005418C0"/>
    <w:rsid w:val="00542EF2"/>
    <w:rsid w:val="00551E68"/>
    <w:rsid w:val="00553AAB"/>
    <w:rsid w:val="005550D7"/>
    <w:rsid w:val="00557915"/>
    <w:rsid w:val="00562110"/>
    <w:rsid w:val="00563615"/>
    <w:rsid w:val="00565D5A"/>
    <w:rsid w:val="00574068"/>
    <w:rsid w:val="0057532B"/>
    <w:rsid w:val="005815E5"/>
    <w:rsid w:val="005817F8"/>
    <w:rsid w:val="00583AAD"/>
    <w:rsid w:val="005843EA"/>
    <w:rsid w:val="00586899"/>
    <w:rsid w:val="00586E9D"/>
    <w:rsid w:val="005870AF"/>
    <w:rsid w:val="00590848"/>
    <w:rsid w:val="00591615"/>
    <w:rsid w:val="005A011E"/>
    <w:rsid w:val="005A265A"/>
    <w:rsid w:val="005A4077"/>
    <w:rsid w:val="005A46FC"/>
    <w:rsid w:val="005A5DA6"/>
    <w:rsid w:val="005A754B"/>
    <w:rsid w:val="005A7B44"/>
    <w:rsid w:val="005B46FF"/>
    <w:rsid w:val="005C495C"/>
    <w:rsid w:val="005D415A"/>
    <w:rsid w:val="005D498C"/>
    <w:rsid w:val="005E5840"/>
    <w:rsid w:val="005F0C45"/>
    <w:rsid w:val="005F3B9B"/>
    <w:rsid w:val="005F3E21"/>
    <w:rsid w:val="005F5D72"/>
    <w:rsid w:val="00604354"/>
    <w:rsid w:val="00614F9E"/>
    <w:rsid w:val="006158BC"/>
    <w:rsid w:val="006214C9"/>
    <w:rsid w:val="006218A6"/>
    <w:rsid w:val="00627E4C"/>
    <w:rsid w:val="00630526"/>
    <w:rsid w:val="006339AD"/>
    <w:rsid w:val="00636BE7"/>
    <w:rsid w:val="00642247"/>
    <w:rsid w:val="006430FA"/>
    <w:rsid w:val="00644440"/>
    <w:rsid w:val="006450E8"/>
    <w:rsid w:val="0065081C"/>
    <w:rsid w:val="00661F76"/>
    <w:rsid w:val="0066387B"/>
    <w:rsid w:val="00670404"/>
    <w:rsid w:val="00674790"/>
    <w:rsid w:val="006829D0"/>
    <w:rsid w:val="00683E7E"/>
    <w:rsid w:val="00684535"/>
    <w:rsid w:val="00693B1A"/>
    <w:rsid w:val="00697DCF"/>
    <w:rsid w:val="006A31D3"/>
    <w:rsid w:val="006A5610"/>
    <w:rsid w:val="006B0A56"/>
    <w:rsid w:val="006B2735"/>
    <w:rsid w:val="006B4CAF"/>
    <w:rsid w:val="006B6F6D"/>
    <w:rsid w:val="006C0C2E"/>
    <w:rsid w:val="006C1293"/>
    <w:rsid w:val="006C3FF4"/>
    <w:rsid w:val="006C63F1"/>
    <w:rsid w:val="006C653F"/>
    <w:rsid w:val="006C66CF"/>
    <w:rsid w:val="006D0946"/>
    <w:rsid w:val="006D719D"/>
    <w:rsid w:val="006E15F1"/>
    <w:rsid w:val="006E34B0"/>
    <w:rsid w:val="006E5493"/>
    <w:rsid w:val="006E7126"/>
    <w:rsid w:val="006E752A"/>
    <w:rsid w:val="006F1746"/>
    <w:rsid w:val="006F4886"/>
    <w:rsid w:val="006F63CD"/>
    <w:rsid w:val="006F68A3"/>
    <w:rsid w:val="0070257B"/>
    <w:rsid w:val="007118DD"/>
    <w:rsid w:val="00711D45"/>
    <w:rsid w:val="00721636"/>
    <w:rsid w:val="00721862"/>
    <w:rsid w:val="007237BD"/>
    <w:rsid w:val="00724EF3"/>
    <w:rsid w:val="00731D10"/>
    <w:rsid w:val="00731D12"/>
    <w:rsid w:val="00732540"/>
    <w:rsid w:val="00736321"/>
    <w:rsid w:val="007411AA"/>
    <w:rsid w:val="00742825"/>
    <w:rsid w:val="007442FD"/>
    <w:rsid w:val="00747AD3"/>
    <w:rsid w:val="00763D9B"/>
    <w:rsid w:val="007656DC"/>
    <w:rsid w:val="0076682E"/>
    <w:rsid w:val="007676CB"/>
    <w:rsid w:val="00767AD9"/>
    <w:rsid w:val="007700D8"/>
    <w:rsid w:val="00771E09"/>
    <w:rsid w:val="00771E76"/>
    <w:rsid w:val="007727EE"/>
    <w:rsid w:val="0077387D"/>
    <w:rsid w:val="0077529B"/>
    <w:rsid w:val="007752A4"/>
    <w:rsid w:val="0077674F"/>
    <w:rsid w:val="00781F56"/>
    <w:rsid w:val="007822C4"/>
    <w:rsid w:val="00782DC3"/>
    <w:rsid w:val="0078584C"/>
    <w:rsid w:val="007905A0"/>
    <w:rsid w:val="007A1515"/>
    <w:rsid w:val="007A2594"/>
    <w:rsid w:val="007A36E4"/>
    <w:rsid w:val="007A41EB"/>
    <w:rsid w:val="007A4BDE"/>
    <w:rsid w:val="007B1D02"/>
    <w:rsid w:val="007B4D61"/>
    <w:rsid w:val="007B4E06"/>
    <w:rsid w:val="007C26A9"/>
    <w:rsid w:val="007C2C4D"/>
    <w:rsid w:val="007C3122"/>
    <w:rsid w:val="007C55C1"/>
    <w:rsid w:val="007C60D6"/>
    <w:rsid w:val="007D3F3C"/>
    <w:rsid w:val="007D48A8"/>
    <w:rsid w:val="007D708A"/>
    <w:rsid w:val="007E053B"/>
    <w:rsid w:val="007E5170"/>
    <w:rsid w:val="007E5275"/>
    <w:rsid w:val="007F0152"/>
    <w:rsid w:val="007F348B"/>
    <w:rsid w:val="007F41DD"/>
    <w:rsid w:val="007F5B98"/>
    <w:rsid w:val="008009F9"/>
    <w:rsid w:val="00811DE4"/>
    <w:rsid w:val="0081274E"/>
    <w:rsid w:val="008128FF"/>
    <w:rsid w:val="0082724C"/>
    <w:rsid w:val="00832369"/>
    <w:rsid w:val="00833071"/>
    <w:rsid w:val="00833539"/>
    <w:rsid w:val="0083426D"/>
    <w:rsid w:val="00834F03"/>
    <w:rsid w:val="00836919"/>
    <w:rsid w:val="00836D34"/>
    <w:rsid w:val="00841B1A"/>
    <w:rsid w:val="00842C0E"/>
    <w:rsid w:val="00842C3C"/>
    <w:rsid w:val="008449B2"/>
    <w:rsid w:val="008449E1"/>
    <w:rsid w:val="00845B39"/>
    <w:rsid w:val="00853E4A"/>
    <w:rsid w:val="00854EF9"/>
    <w:rsid w:val="0085576C"/>
    <w:rsid w:val="008577E2"/>
    <w:rsid w:val="008645C9"/>
    <w:rsid w:val="008719FA"/>
    <w:rsid w:val="00873CC8"/>
    <w:rsid w:val="008756AD"/>
    <w:rsid w:val="00875BB3"/>
    <w:rsid w:val="00877E01"/>
    <w:rsid w:val="00883E44"/>
    <w:rsid w:val="00883EA5"/>
    <w:rsid w:val="00887928"/>
    <w:rsid w:val="00887CB0"/>
    <w:rsid w:val="00890A8D"/>
    <w:rsid w:val="00892033"/>
    <w:rsid w:val="008934A1"/>
    <w:rsid w:val="0089395F"/>
    <w:rsid w:val="008951B2"/>
    <w:rsid w:val="008A0BAC"/>
    <w:rsid w:val="008A7B08"/>
    <w:rsid w:val="008B0598"/>
    <w:rsid w:val="008B157C"/>
    <w:rsid w:val="008B26E3"/>
    <w:rsid w:val="008C01A6"/>
    <w:rsid w:val="008C039D"/>
    <w:rsid w:val="008C0D93"/>
    <w:rsid w:val="008C1B0D"/>
    <w:rsid w:val="008C533E"/>
    <w:rsid w:val="008C59A7"/>
    <w:rsid w:val="008C70FE"/>
    <w:rsid w:val="008D0909"/>
    <w:rsid w:val="008D25A9"/>
    <w:rsid w:val="008D47F0"/>
    <w:rsid w:val="008D4CDD"/>
    <w:rsid w:val="008D7183"/>
    <w:rsid w:val="008E11C0"/>
    <w:rsid w:val="008E13E3"/>
    <w:rsid w:val="008E4201"/>
    <w:rsid w:val="008E6D83"/>
    <w:rsid w:val="008E711D"/>
    <w:rsid w:val="008F0645"/>
    <w:rsid w:val="008F196E"/>
    <w:rsid w:val="008F1E3D"/>
    <w:rsid w:val="008F4591"/>
    <w:rsid w:val="00900EA7"/>
    <w:rsid w:val="00903743"/>
    <w:rsid w:val="00910051"/>
    <w:rsid w:val="009105FE"/>
    <w:rsid w:val="00911138"/>
    <w:rsid w:val="009138A1"/>
    <w:rsid w:val="009163DD"/>
    <w:rsid w:val="0091649F"/>
    <w:rsid w:val="00920628"/>
    <w:rsid w:val="00932BD7"/>
    <w:rsid w:val="00934487"/>
    <w:rsid w:val="009353C9"/>
    <w:rsid w:val="00937EED"/>
    <w:rsid w:val="00944D0E"/>
    <w:rsid w:val="00955E46"/>
    <w:rsid w:val="0096261C"/>
    <w:rsid w:val="00962BE3"/>
    <w:rsid w:val="0097554A"/>
    <w:rsid w:val="0098004A"/>
    <w:rsid w:val="0098454B"/>
    <w:rsid w:val="00984FD8"/>
    <w:rsid w:val="0098525A"/>
    <w:rsid w:val="00986711"/>
    <w:rsid w:val="00992730"/>
    <w:rsid w:val="0099367B"/>
    <w:rsid w:val="009A1E3E"/>
    <w:rsid w:val="009A3768"/>
    <w:rsid w:val="009A4514"/>
    <w:rsid w:val="009B23C4"/>
    <w:rsid w:val="009C18E6"/>
    <w:rsid w:val="009C339E"/>
    <w:rsid w:val="009C605E"/>
    <w:rsid w:val="009D3C57"/>
    <w:rsid w:val="009D462E"/>
    <w:rsid w:val="009D4834"/>
    <w:rsid w:val="009D73CE"/>
    <w:rsid w:val="009E2CCD"/>
    <w:rsid w:val="009E3E91"/>
    <w:rsid w:val="009F09B5"/>
    <w:rsid w:val="009F47BA"/>
    <w:rsid w:val="009F7AB7"/>
    <w:rsid w:val="00A040A9"/>
    <w:rsid w:val="00A0586E"/>
    <w:rsid w:val="00A05E4D"/>
    <w:rsid w:val="00A12089"/>
    <w:rsid w:val="00A1284B"/>
    <w:rsid w:val="00A14D22"/>
    <w:rsid w:val="00A1693C"/>
    <w:rsid w:val="00A1788E"/>
    <w:rsid w:val="00A200F1"/>
    <w:rsid w:val="00A211AC"/>
    <w:rsid w:val="00A218C0"/>
    <w:rsid w:val="00A27557"/>
    <w:rsid w:val="00A31BF9"/>
    <w:rsid w:val="00A35AE4"/>
    <w:rsid w:val="00A35C8E"/>
    <w:rsid w:val="00A41E58"/>
    <w:rsid w:val="00A430B5"/>
    <w:rsid w:val="00A43D11"/>
    <w:rsid w:val="00A46FD7"/>
    <w:rsid w:val="00A517AC"/>
    <w:rsid w:val="00A52820"/>
    <w:rsid w:val="00A56243"/>
    <w:rsid w:val="00A636CD"/>
    <w:rsid w:val="00A63B20"/>
    <w:rsid w:val="00A64ED3"/>
    <w:rsid w:val="00A67D45"/>
    <w:rsid w:val="00A71F86"/>
    <w:rsid w:val="00A72641"/>
    <w:rsid w:val="00A73101"/>
    <w:rsid w:val="00A7707F"/>
    <w:rsid w:val="00A84F44"/>
    <w:rsid w:val="00A95B39"/>
    <w:rsid w:val="00A97F88"/>
    <w:rsid w:val="00AA0557"/>
    <w:rsid w:val="00AA10BF"/>
    <w:rsid w:val="00AA5354"/>
    <w:rsid w:val="00AB0DDB"/>
    <w:rsid w:val="00AB18C3"/>
    <w:rsid w:val="00AC181D"/>
    <w:rsid w:val="00AC4317"/>
    <w:rsid w:val="00AC49D9"/>
    <w:rsid w:val="00AD1155"/>
    <w:rsid w:val="00AD20BB"/>
    <w:rsid w:val="00AD3472"/>
    <w:rsid w:val="00AD707A"/>
    <w:rsid w:val="00AE0136"/>
    <w:rsid w:val="00AE2779"/>
    <w:rsid w:val="00AE29B6"/>
    <w:rsid w:val="00AE2BC2"/>
    <w:rsid w:val="00AE4AD4"/>
    <w:rsid w:val="00AE52C8"/>
    <w:rsid w:val="00AF370C"/>
    <w:rsid w:val="00AF5E8E"/>
    <w:rsid w:val="00AF7B5D"/>
    <w:rsid w:val="00B00FB3"/>
    <w:rsid w:val="00B01977"/>
    <w:rsid w:val="00B06F56"/>
    <w:rsid w:val="00B115A4"/>
    <w:rsid w:val="00B21D5A"/>
    <w:rsid w:val="00B273A0"/>
    <w:rsid w:val="00B30605"/>
    <w:rsid w:val="00B32ACF"/>
    <w:rsid w:val="00B35421"/>
    <w:rsid w:val="00B433C4"/>
    <w:rsid w:val="00B4411E"/>
    <w:rsid w:val="00B52105"/>
    <w:rsid w:val="00B56D61"/>
    <w:rsid w:val="00B574A2"/>
    <w:rsid w:val="00B60608"/>
    <w:rsid w:val="00B61BAA"/>
    <w:rsid w:val="00B61F77"/>
    <w:rsid w:val="00B639CC"/>
    <w:rsid w:val="00B65EBC"/>
    <w:rsid w:val="00B72CB7"/>
    <w:rsid w:val="00B80BDE"/>
    <w:rsid w:val="00B827DE"/>
    <w:rsid w:val="00B82EF2"/>
    <w:rsid w:val="00B865F9"/>
    <w:rsid w:val="00B929B2"/>
    <w:rsid w:val="00B949D7"/>
    <w:rsid w:val="00B95A3A"/>
    <w:rsid w:val="00B97DCB"/>
    <w:rsid w:val="00BA7231"/>
    <w:rsid w:val="00BB01D8"/>
    <w:rsid w:val="00BB0B53"/>
    <w:rsid w:val="00BB11E8"/>
    <w:rsid w:val="00BC0F21"/>
    <w:rsid w:val="00BC3973"/>
    <w:rsid w:val="00BC4431"/>
    <w:rsid w:val="00BC7E2E"/>
    <w:rsid w:val="00BD0A2D"/>
    <w:rsid w:val="00BD3FDD"/>
    <w:rsid w:val="00BD4A09"/>
    <w:rsid w:val="00BD7093"/>
    <w:rsid w:val="00BE08E0"/>
    <w:rsid w:val="00BE39FD"/>
    <w:rsid w:val="00BE793E"/>
    <w:rsid w:val="00BF08DA"/>
    <w:rsid w:val="00BF5251"/>
    <w:rsid w:val="00BF706E"/>
    <w:rsid w:val="00C0181B"/>
    <w:rsid w:val="00C155C9"/>
    <w:rsid w:val="00C20F71"/>
    <w:rsid w:val="00C23876"/>
    <w:rsid w:val="00C24397"/>
    <w:rsid w:val="00C25538"/>
    <w:rsid w:val="00C32C54"/>
    <w:rsid w:val="00C3471B"/>
    <w:rsid w:val="00C378F0"/>
    <w:rsid w:val="00C42535"/>
    <w:rsid w:val="00C432C3"/>
    <w:rsid w:val="00C462A9"/>
    <w:rsid w:val="00C4654F"/>
    <w:rsid w:val="00C6104A"/>
    <w:rsid w:val="00C63144"/>
    <w:rsid w:val="00C717C6"/>
    <w:rsid w:val="00C8392B"/>
    <w:rsid w:val="00C87566"/>
    <w:rsid w:val="00C92BFE"/>
    <w:rsid w:val="00C93E4D"/>
    <w:rsid w:val="00C94842"/>
    <w:rsid w:val="00C94CA8"/>
    <w:rsid w:val="00C966EA"/>
    <w:rsid w:val="00CA1B9C"/>
    <w:rsid w:val="00CA756F"/>
    <w:rsid w:val="00CB1650"/>
    <w:rsid w:val="00CB3787"/>
    <w:rsid w:val="00CB3908"/>
    <w:rsid w:val="00CB4F6B"/>
    <w:rsid w:val="00CB5E59"/>
    <w:rsid w:val="00CC0918"/>
    <w:rsid w:val="00CC4886"/>
    <w:rsid w:val="00CC716D"/>
    <w:rsid w:val="00CC7A38"/>
    <w:rsid w:val="00CD04BC"/>
    <w:rsid w:val="00CD1169"/>
    <w:rsid w:val="00CD572B"/>
    <w:rsid w:val="00CE02E6"/>
    <w:rsid w:val="00CE323C"/>
    <w:rsid w:val="00CF4F56"/>
    <w:rsid w:val="00D04B51"/>
    <w:rsid w:val="00D149CE"/>
    <w:rsid w:val="00D267A1"/>
    <w:rsid w:val="00D31AC0"/>
    <w:rsid w:val="00D3358F"/>
    <w:rsid w:val="00D34AE3"/>
    <w:rsid w:val="00D35AF9"/>
    <w:rsid w:val="00D371A7"/>
    <w:rsid w:val="00D416A2"/>
    <w:rsid w:val="00D43E92"/>
    <w:rsid w:val="00D474C5"/>
    <w:rsid w:val="00D512D5"/>
    <w:rsid w:val="00D51E91"/>
    <w:rsid w:val="00D5243B"/>
    <w:rsid w:val="00D52BF0"/>
    <w:rsid w:val="00D548F9"/>
    <w:rsid w:val="00D54B7C"/>
    <w:rsid w:val="00D54DD8"/>
    <w:rsid w:val="00D62E26"/>
    <w:rsid w:val="00D63422"/>
    <w:rsid w:val="00D63AC1"/>
    <w:rsid w:val="00D64282"/>
    <w:rsid w:val="00D663F5"/>
    <w:rsid w:val="00D67B8E"/>
    <w:rsid w:val="00D708AD"/>
    <w:rsid w:val="00D724E7"/>
    <w:rsid w:val="00D76B1C"/>
    <w:rsid w:val="00D80ACB"/>
    <w:rsid w:val="00D827B8"/>
    <w:rsid w:val="00D83969"/>
    <w:rsid w:val="00D84230"/>
    <w:rsid w:val="00D84925"/>
    <w:rsid w:val="00D84F06"/>
    <w:rsid w:val="00D84FDA"/>
    <w:rsid w:val="00D851FA"/>
    <w:rsid w:val="00DA25B2"/>
    <w:rsid w:val="00DA6CA6"/>
    <w:rsid w:val="00DA7908"/>
    <w:rsid w:val="00DB0950"/>
    <w:rsid w:val="00DB2DFE"/>
    <w:rsid w:val="00DB4D3D"/>
    <w:rsid w:val="00DB689C"/>
    <w:rsid w:val="00DB78FB"/>
    <w:rsid w:val="00DC56A3"/>
    <w:rsid w:val="00DD2D5A"/>
    <w:rsid w:val="00DD4BB6"/>
    <w:rsid w:val="00DD7455"/>
    <w:rsid w:val="00DD769E"/>
    <w:rsid w:val="00DE0154"/>
    <w:rsid w:val="00DE2AD7"/>
    <w:rsid w:val="00DE38A3"/>
    <w:rsid w:val="00DE77EE"/>
    <w:rsid w:val="00DF2478"/>
    <w:rsid w:val="00E0016A"/>
    <w:rsid w:val="00E01ED7"/>
    <w:rsid w:val="00E04955"/>
    <w:rsid w:val="00E07391"/>
    <w:rsid w:val="00E07A0A"/>
    <w:rsid w:val="00E103F2"/>
    <w:rsid w:val="00E16278"/>
    <w:rsid w:val="00E24522"/>
    <w:rsid w:val="00E36238"/>
    <w:rsid w:val="00E36B58"/>
    <w:rsid w:val="00E53DE2"/>
    <w:rsid w:val="00E65B2B"/>
    <w:rsid w:val="00E67D1D"/>
    <w:rsid w:val="00E703DA"/>
    <w:rsid w:val="00E80E1A"/>
    <w:rsid w:val="00E8683A"/>
    <w:rsid w:val="00E87426"/>
    <w:rsid w:val="00E901D1"/>
    <w:rsid w:val="00E90540"/>
    <w:rsid w:val="00E95A6B"/>
    <w:rsid w:val="00EA4427"/>
    <w:rsid w:val="00EA4E1E"/>
    <w:rsid w:val="00EA58B2"/>
    <w:rsid w:val="00EA62FB"/>
    <w:rsid w:val="00EA6C7E"/>
    <w:rsid w:val="00EB0F6F"/>
    <w:rsid w:val="00EB1505"/>
    <w:rsid w:val="00EB6F5A"/>
    <w:rsid w:val="00EC0D9C"/>
    <w:rsid w:val="00EC1DA4"/>
    <w:rsid w:val="00EC348B"/>
    <w:rsid w:val="00EC5125"/>
    <w:rsid w:val="00EC6BC9"/>
    <w:rsid w:val="00ED05C9"/>
    <w:rsid w:val="00ED135A"/>
    <w:rsid w:val="00ED2A3D"/>
    <w:rsid w:val="00ED4734"/>
    <w:rsid w:val="00ED4D31"/>
    <w:rsid w:val="00ED5AE2"/>
    <w:rsid w:val="00EE13BB"/>
    <w:rsid w:val="00EE220E"/>
    <w:rsid w:val="00EE2236"/>
    <w:rsid w:val="00EE275E"/>
    <w:rsid w:val="00EF57CF"/>
    <w:rsid w:val="00EF64D3"/>
    <w:rsid w:val="00EF6605"/>
    <w:rsid w:val="00F06A2C"/>
    <w:rsid w:val="00F12408"/>
    <w:rsid w:val="00F14357"/>
    <w:rsid w:val="00F4317E"/>
    <w:rsid w:val="00F456FB"/>
    <w:rsid w:val="00F51153"/>
    <w:rsid w:val="00F52DF6"/>
    <w:rsid w:val="00F54DC0"/>
    <w:rsid w:val="00F56B28"/>
    <w:rsid w:val="00F5726F"/>
    <w:rsid w:val="00F6103B"/>
    <w:rsid w:val="00F612DF"/>
    <w:rsid w:val="00F622A1"/>
    <w:rsid w:val="00F62803"/>
    <w:rsid w:val="00F72793"/>
    <w:rsid w:val="00F72795"/>
    <w:rsid w:val="00F7379E"/>
    <w:rsid w:val="00F75857"/>
    <w:rsid w:val="00F758E0"/>
    <w:rsid w:val="00F7789B"/>
    <w:rsid w:val="00F815E8"/>
    <w:rsid w:val="00F828E1"/>
    <w:rsid w:val="00F87F94"/>
    <w:rsid w:val="00F9117C"/>
    <w:rsid w:val="00F92AF0"/>
    <w:rsid w:val="00F96797"/>
    <w:rsid w:val="00FA32F7"/>
    <w:rsid w:val="00FA52BA"/>
    <w:rsid w:val="00FA7886"/>
    <w:rsid w:val="00FB2896"/>
    <w:rsid w:val="00FB492B"/>
    <w:rsid w:val="00FC166F"/>
    <w:rsid w:val="00FC4C9F"/>
    <w:rsid w:val="00FD438C"/>
    <w:rsid w:val="00FE124E"/>
    <w:rsid w:val="00FE168C"/>
    <w:rsid w:val="00FE1CAE"/>
    <w:rsid w:val="00FE2FE1"/>
    <w:rsid w:val="00FF1CB0"/>
    <w:rsid w:val="00FF1F77"/>
    <w:rsid w:val="00FF2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4D"/>
    <w:rPr>
      <w:rFonts w:eastAsiaTheme="minorEastAsia"/>
    </w:rPr>
  </w:style>
  <w:style w:type="paragraph" w:styleId="Heading1">
    <w:name w:val="heading 1"/>
    <w:basedOn w:val="Normal"/>
    <w:next w:val="Normal"/>
    <w:link w:val="Heading1Char"/>
    <w:uiPriority w:val="9"/>
    <w:qFormat/>
    <w:rsid w:val="00F52DF6"/>
    <w:pPr>
      <w:keepNext/>
      <w:keepLines/>
      <w:numPr>
        <w:numId w:val="3"/>
      </w:numPr>
      <w:ind w:left="720" w:hanging="720"/>
      <w:contextualSpacing/>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34AE3"/>
    <w:pPr>
      <w:keepNext/>
      <w:keepLines/>
      <w:numPr>
        <w:numId w:val="5"/>
      </w:numPr>
      <w:contextualSpacing/>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0B23F3"/>
    <w:pPr>
      <w:keepNext/>
      <w:keepLines/>
      <w:numPr>
        <w:numId w:val="6"/>
      </w:numPr>
      <w:contextualSpacing/>
      <w:outlineLvl w:val="2"/>
    </w:pPr>
    <w:rPr>
      <w:rFonts w:ascii="Times New Roman" w:eastAsiaTheme="majorEastAsia" w:hAnsi="Times New Roman"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E4D"/>
    <w:pPr>
      <w:widowControl w:val="0"/>
      <w:autoSpaceDE w:val="0"/>
      <w:autoSpaceDN w:val="0"/>
      <w:adjustRightInd w:val="0"/>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unhideWhenUsed/>
    <w:rsid w:val="00C93E4D"/>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93E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3E4D"/>
    <w:rPr>
      <w:vertAlign w:val="superscript"/>
    </w:rPr>
  </w:style>
  <w:style w:type="character" w:customStyle="1" w:styleId="Heading1Char">
    <w:name w:val="Heading 1 Char"/>
    <w:basedOn w:val="DefaultParagraphFont"/>
    <w:link w:val="Heading1"/>
    <w:uiPriority w:val="9"/>
    <w:rsid w:val="00F52DF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34AE3"/>
    <w:rPr>
      <w:rFonts w:ascii="Times New Roman" w:eastAsiaTheme="majorEastAsia" w:hAnsi="Times New Roman" w:cstheme="majorBidi"/>
      <w:bCs/>
      <w:i/>
      <w:sz w:val="24"/>
      <w:szCs w:val="26"/>
    </w:rPr>
  </w:style>
  <w:style w:type="paragraph" w:styleId="ListParagraph">
    <w:name w:val="List Paragraph"/>
    <w:basedOn w:val="Normal"/>
    <w:uiPriority w:val="34"/>
    <w:qFormat/>
    <w:rsid w:val="00D34AE3"/>
    <w:pPr>
      <w:ind w:left="720"/>
      <w:contextualSpacing/>
    </w:pPr>
  </w:style>
  <w:style w:type="character" w:customStyle="1" w:styleId="Heading3Char">
    <w:name w:val="Heading 3 Char"/>
    <w:basedOn w:val="DefaultParagraphFont"/>
    <w:link w:val="Heading3"/>
    <w:uiPriority w:val="9"/>
    <w:rsid w:val="000B23F3"/>
    <w:rPr>
      <w:rFonts w:ascii="Times New Roman" w:eastAsiaTheme="majorEastAsia" w:hAnsi="Times New Roman" w:cstheme="majorBidi"/>
      <w:bCs/>
      <w:sz w:val="24"/>
      <w:u w:val="single"/>
    </w:rPr>
  </w:style>
  <w:style w:type="paragraph" w:styleId="Header">
    <w:name w:val="header"/>
    <w:basedOn w:val="Normal"/>
    <w:link w:val="HeaderChar"/>
    <w:uiPriority w:val="99"/>
    <w:unhideWhenUsed/>
    <w:rsid w:val="00D34AE3"/>
    <w:pPr>
      <w:tabs>
        <w:tab w:val="center" w:pos="4680"/>
        <w:tab w:val="right" w:pos="9360"/>
      </w:tabs>
    </w:pPr>
  </w:style>
  <w:style w:type="character" w:customStyle="1" w:styleId="HeaderChar">
    <w:name w:val="Header Char"/>
    <w:basedOn w:val="DefaultParagraphFont"/>
    <w:link w:val="Header"/>
    <w:uiPriority w:val="99"/>
    <w:rsid w:val="00D34AE3"/>
    <w:rPr>
      <w:rFonts w:eastAsiaTheme="minorEastAsia"/>
    </w:rPr>
  </w:style>
  <w:style w:type="paragraph" w:styleId="Footer">
    <w:name w:val="footer"/>
    <w:basedOn w:val="Normal"/>
    <w:link w:val="FooterChar"/>
    <w:uiPriority w:val="99"/>
    <w:unhideWhenUsed/>
    <w:rsid w:val="00D34AE3"/>
    <w:pPr>
      <w:tabs>
        <w:tab w:val="center" w:pos="4680"/>
        <w:tab w:val="right" w:pos="9360"/>
      </w:tabs>
    </w:pPr>
  </w:style>
  <w:style w:type="character" w:customStyle="1" w:styleId="FooterChar">
    <w:name w:val="Footer Char"/>
    <w:basedOn w:val="DefaultParagraphFont"/>
    <w:link w:val="Footer"/>
    <w:uiPriority w:val="99"/>
    <w:rsid w:val="00D34AE3"/>
    <w:rPr>
      <w:rFonts w:eastAsiaTheme="minorEastAsia"/>
    </w:rPr>
  </w:style>
  <w:style w:type="character" w:styleId="Hyperlink">
    <w:name w:val="Hyperlink"/>
    <w:basedOn w:val="DefaultParagraphFont"/>
    <w:uiPriority w:val="99"/>
    <w:unhideWhenUsed/>
    <w:rsid w:val="001A68D9"/>
    <w:rPr>
      <w:color w:val="0000FF"/>
      <w:u w:val="single"/>
    </w:rPr>
  </w:style>
  <w:style w:type="character" w:customStyle="1" w:styleId="st">
    <w:name w:val="st"/>
    <w:basedOn w:val="DefaultParagraphFont"/>
    <w:rsid w:val="00D83969"/>
  </w:style>
  <w:style w:type="character" w:styleId="Emphasis">
    <w:name w:val="Emphasis"/>
    <w:basedOn w:val="DefaultParagraphFont"/>
    <w:uiPriority w:val="20"/>
    <w:qFormat/>
    <w:rsid w:val="00D83969"/>
    <w:rPr>
      <w:i/>
      <w:iCs/>
    </w:rPr>
  </w:style>
  <w:style w:type="table" w:styleId="TableGrid">
    <w:name w:val="Table Grid"/>
    <w:basedOn w:val="TableNormal"/>
    <w:uiPriority w:val="59"/>
    <w:rsid w:val="00040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4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1284B"/>
    <w:rPr>
      <w:sz w:val="16"/>
      <w:szCs w:val="16"/>
    </w:rPr>
  </w:style>
  <w:style w:type="paragraph" w:styleId="CommentText">
    <w:name w:val="annotation text"/>
    <w:basedOn w:val="Normal"/>
    <w:link w:val="CommentTextChar"/>
    <w:uiPriority w:val="99"/>
    <w:unhideWhenUsed/>
    <w:rsid w:val="00A1284B"/>
    <w:rPr>
      <w:sz w:val="20"/>
      <w:szCs w:val="20"/>
    </w:rPr>
  </w:style>
  <w:style w:type="character" w:customStyle="1" w:styleId="CommentTextChar">
    <w:name w:val="Comment Text Char"/>
    <w:basedOn w:val="DefaultParagraphFont"/>
    <w:link w:val="CommentText"/>
    <w:uiPriority w:val="99"/>
    <w:rsid w:val="00A128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284B"/>
    <w:rPr>
      <w:b/>
      <w:bCs/>
    </w:rPr>
  </w:style>
  <w:style w:type="character" w:customStyle="1" w:styleId="CommentSubjectChar">
    <w:name w:val="Comment Subject Char"/>
    <w:basedOn w:val="CommentTextChar"/>
    <w:link w:val="CommentSubject"/>
    <w:uiPriority w:val="99"/>
    <w:semiHidden/>
    <w:rsid w:val="00A1284B"/>
    <w:rPr>
      <w:rFonts w:eastAsiaTheme="minorEastAsia"/>
      <w:b/>
      <w:bCs/>
      <w:sz w:val="20"/>
      <w:szCs w:val="20"/>
    </w:rPr>
  </w:style>
  <w:style w:type="character" w:customStyle="1" w:styleId="gmail-st">
    <w:name w:val="gmail-st"/>
    <w:basedOn w:val="DefaultParagraphFont"/>
    <w:rsid w:val="00CD1169"/>
  </w:style>
  <w:style w:type="paragraph" w:styleId="Revision">
    <w:name w:val="Revision"/>
    <w:hidden/>
    <w:uiPriority w:val="99"/>
    <w:semiHidden/>
    <w:rsid w:val="00213AE4"/>
    <w:rPr>
      <w:rFonts w:eastAsiaTheme="minorEastAsia"/>
    </w:rPr>
  </w:style>
  <w:style w:type="character" w:customStyle="1" w:styleId="cosearchterm">
    <w:name w:val="co_searchterm"/>
    <w:basedOn w:val="DefaultParagraphFont"/>
    <w:rsid w:val="00AD3472"/>
  </w:style>
  <w:style w:type="character" w:customStyle="1" w:styleId="costarpage">
    <w:name w:val="co_starpage"/>
    <w:basedOn w:val="DefaultParagraphFont"/>
    <w:rsid w:val="00742825"/>
  </w:style>
  <w:style w:type="character" w:styleId="FollowedHyperlink">
    <w:name w:val="FollowedHyperlink"/>
    <w:basedOn w:val="DefaultParagraphFont"/>
    <w:uiPriority w:val="99"/>
    <w:semiHidden/>
    <w:unhideWhenUsed/>
    <w:rsid w:val="00EE220E"/>
    <w:rPr>
      <w:color w:val="800080" w:themeColor="followedHyperlink"/>
      <w:u w:val="single"/>
    </w:rPr>
  </w:style>
  <w:style w:type="character" w:customStyle="1" w:styleId="cosearchdetaillevel1">
    <w:name w:val="co_search_detaillevel_1"/>
    <w:basedOn w:val="DefaultParagraphFont"/>
    <w:rsid w:val="00187245"/>
  </w:style>
  <w:style w:type="paragraph" w:customStyle="1" w:styleId="Body">
    <w:name w:val="Body"/>
    <w:rsid w:val="00FF1F77"/>
    <w:pPr>
      <w:pBdr>
        <w:top w:val="nil"/>
        <w:left w:val="nil"/>
        <w:bottom w:val="nil"/>
        <w:right w:val="nil"/>
        <w:between w:val="nil"/>
        <w:bar w:val="nil"/>
      </w:pBdr>
    </w:pPr>
    <w:rPr>
      <w:rFonts w:ascii="Calibri" w:eastAsia="Calibri" w:hAnsi="Calibri" w:cs="Calibri"/>
      <w:color w:val="000000"/>
      <w:u w:color="000000"/>
      <w:bdr w:val="nil"/>
      <w:lang w:val="de-DE"/>
    </w:rPr>
  </w:style>
  <w:style w:type="paragraph" w:customStyle="1" w:styleId="Heading">
    <w:name w:val="Heading"/>
    <w:next w:val="Body"/>
    <w:rsid w:val="009138A1"/>
    <w:pPr>
      <w:keepNext/>
      <w:keepLines/>
      <w:pBdr>
        <w:top w:val="nil"/>
        <w:left w:val="nil"/>
        <w:bottom w:val="nil"/>
        <w:right w:val="nil"/>
        <w:between w:val="nil"/>
        <w:bar w:val="nil"/>
      </w:pBdr>
      <w:outlineLvl w:val="0"/>
    </w:pPr>
    <w:rPr>
      <w:rFonts w:ascii="Times New Roman" w:eastAsia="Times New Roman" w:hAnsi="Times New Roman" w:cs="Times New Roman"/>
      <w:b/>
      <w:bCs/>
      <w:color w:val="000000"/>
      <w:sz w:val="24"/>
      <w:szCs w:val="24"/>
      <w:u w:color="000000"/>
      <w:bdr w:val="nil"/>
    </w:rPr>
  </w:style>
  <w:style w:type="numbering" w:customStyle="1" w:styleId="ImportedStyle1">
    <w:name w:val="Imported Style 1"/>
    <w:rsid w:val="009138A1"/>
    <w:pPr>
      <w:numPr>
        <w:numId w:val="11"/>
      </w:numPr>
    </w:pPr>
  </w:style>
  <w:style w:type="paragraph" w:styleId="TOCHeading">
    <w:name w:val="TOC Heading"/>
    <w:basedOn w:val="Heading1"/>
    <w:next w:val="Normal"/>
    <w:uiPriority w:val="39"/>
    <w:semiHidden/>
    <w:unhideWhenUsed/>
    <w:qFormat/>
    <w:rsid w:val="00FB492B"/>
    <w:pPr>
      <w:numPr>
        <w:numId w:val="0"/>
      </w:numPr>
      <w:spacing w:before="480" w:line="276" w:lineRule="auto"/>
      <w:contextualSpacing w:val="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D63422"/>
    <w:pPr>
      <w:tabs>
        <w:tab w:val="left" w:pos="660"/>
        <w:tab w:val="right" w:leader="dot" w:pos="9350"/>
      </w:tabs>
      <w:spacing w:after="100"/>
      <w:ind w:left="720" w:hanging="720"/>
    </w:pPr>
  </w:style>
  <w:style w:type="paragraph" w:styleId="TOC2">
    <w:name w:val="toc 2"/>
    <w:basedOn w:val="Normal"/>
    <w:next w:val="Normal"/>
    <w:autoRedefine/>
    <w:uiPriority w:val="39"/>
    <w:unhideWhenUsed/>
    <w:rsid w:val="008C01A6"/>
    <w:pPr>
      <w:tabs>
        <w:tab w:val="left" w:pos="660"/>
        <w:tab w:val="right" w:leader="dot" w:pos="9350"/>
      </w:tabs>
      <w:ind w:left="720" w:hanging="360"/>
      <w:contextualSpacing/>
    </w:pPr>
  </w:style>
  <w:style w:type="paragraph" w:styleId="TOC3">
    <w:name w:val="toc 3"/>
    <w:basedOn w:val="Normal"/>
    <w:next w:val="Normal"/>
    <w:autoRedefine/>
    <w:uiPriority w:val="39"/>
    <w:unhideWhenUsed/>
    <w:rsid w:val="00FB492B"/>
    <w:pPr>
      <w:spacing w:after="100"/>
      <w:ind w:left="440"/>
    </w:pPr>
  </w:style>
  <w:style w:type="paragraph" w:styleId="TOAHeading">
    <w:name w:val="toa heading"/>
    <w:basedOn w:val="Normal"/>
    <w:next w:val="Normal"/>
    <w:uiPriority w:val="99"/>
    <w:semiHidden/>
    <w:unhideWhenUsed/>
    <w:rsid w:val="00B949D7"/>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B949D7"/>
    <w:pPr>
      <w:ind w:left="220" w:hanging="220"/>
    </w:pPr>
  </w:style>
</w:styles>
</file>

<file path=word/webSettings.xml><?xml version="1.0" encoding="utf-8"?>
<w:webSettings xmlns:r="http://schemas.openxmlformats.org/officeDocument/2006/relationships" xmlns:w="http://schemas.openxmlformats.org/wordprocessingml/2006/main">
  <w:divs>
    <w:div w:id="91709490">
      <w:bodyDiv w:val="1"/>
      <w:marLeft w:val="0"/>
      <w:marRight w:val="0"/>
      <w:marTop w:val="0"/>
      <w:marBottom w:val="0"/>
      <w:divBdr>
        <w:top w:val="none" w:sz="0" w:space="0" w:color="auto"/>
        <w:left w:val="none" w:sz="0" w:space="0" w:color="auto"/>
        <w:bottom w:val="none" w:sz="0" w:space="0" w:color="auto"/>
        <w:right w:val="none" w:sz="0" w:space="0" w:color="auto"/>
      </w:divBdr>
      <w:divsChild>
        <w:div w:id="712776799">
          <w:marLeft w:val="0"/>
          <w:marRight w:val="0"/>
          <w:marTop w:val="0"/>
          <w:marBottom w:val="0"/>
          <w:divBdr>
            <w:top w:val="none" w:sz="0" w:space="0" w:color="auto"/>
            <w:left w:val="none" w:sz="0" w:space="0" w:color="auto"/>
            <w:bottom w:val="none" w:sz="0" w:space="0" w:color="auto"/>
            <w:right w:val="none" w:sz="0" w:space="0" w:color="auto"/>
          </w:divBdr>
        </w:div>
      </w:divsChild>
    </w:div>
    <w:div w:id="150878626">
      <w:bodyDiv w:val="1"/>
      <w:marLeft w:val="0"/>
      <w:marRight w:val="0"/>
      <w:marTop w:val="0"/>
      <w:marBottom w:val="0"/>
      <w:divBdr>
        <w:top w:val="none" w:sz="0" w:space="0" w:color="auto"/>
        <w:left w:val="none" w:sz="0" w:space="0" w:color="auto"/>
        <w:bottom w:val="none" w:sz="0" w:space="0" w:color="auto"/>
        <w:right w:val="none" w:sz="0" w:space="0" w:color="auto"/>
      </w:divBdr>
      <w:divsChild>
        <w:div w:id="1531455417">
          <w:marLeft w:val="0"/>
          <w:marRight w:val="0"/>
          <w:marTop w:val="0"/>
          <w:marBottom w:val="0"/>
          <w:divBdr>
            <w:top w:val="none" w:sz="0" w:space="0" w:color="auto"/>
            <w:left w:val="none" w:sz="0" w:space="0" w:color="auto"/>
            <w:bottom w:val="none" w:sz="0" w:space="0" w:color="auto"/>
            <w:right w:val="none" w:sz="0" w:space="0" w:color="auto"/>
          </w:divBdr>
        </w:div>
      </w:divsChild>
    </w:div>
    <w:div w:id="188224923">
      <w:bodyDiv w:val="1"/>
      <w:marLeft w:val="0"/>
      <w:marRight w:val="0"/>
      <w:marTop w:val="0"/>
      <w:marBottom w:val="0"/>
      <w:divBdr>
        <w:top w:val="none" w:sz="0" w:space="0" w:color="auto"/>
        <w:left w:val="none" w:sz="0" w:space="0" w:color="auto"/>
        <w:bottom w:val="none" w:sz="0" w:space="0" w:color="auto"/>
        <w:right w:val="none" w:sz="0" w:space="0" w:color="auto"/>
      </w:divBdr>
    </w:div>
    <w:div w:id="211967425">
      <w:bodyDiv w:val="1"/>
      <w:marLeft w:val="0"/>
      <w:marRight w:val="0"/>
      <w:marTop w:val="0"/>
      <w:marBottom w:val="0"/>
      <w:divBdr>
        <w:top w:val="none" w:sz="0" w:space="0" w:color="auto"/>
        <w:left w:val="none" w:sz="0" w:space="0" w:color="auto"/>
        <w:bottom w:val="none" w:sz="0" w:space="0" w:color="auto"/>
        <w:right w:val="none" w:sz="0" w:space="0" w:color="auto"/>
      </w:divBdr>
      <w:divsChild>
        <w:div w:id="88163226">
          <w:marLeft w:val="0"/>
          <w:marRight w:val="0"/>
          <w:marTop w:val="0"/>
          <w:marBottom w:val="0"/>
          <w:divBdr>
            <w:top w:val="none" w:sz="0" w:space="0" w:color="auto"/>
            <w:left w:val="none" w:sz="0" w:space="0" w:color="auto"/>
            <w:bottom w:val="none" w:sz="0" w:space="0" w:color="auto"/>
            <w:right w:val="none" w:sz="0" w:space="0" w:color="auto"/>
          </w:divBdr>
        </w:div>
      </w:divsChild>
    </w:div>
    <w:div w:id="212622831">
      <w:bodyDiv w:val="1"/>
      <w:marLeft w:val="0"/>
      <w:marRight w:val="0"/>
      <w:marTop w:val="0"/>
      <w:marBottom w:val="0"/>
      <w:divBdr>
        <w:top w:val="none" w:sz="0" w:space="0" w:color="auto"/>
        <w:left w:val="none" w:sz="0" w:space="0" w:color="auto"/>
        <w:bottom w:val="none" w:sz="0" w:space="0" w:color="auto"/>
        <w:right w:val="none" w:sz="0" w:space="0" w:color="auto"/>
      </w:divBdr>
    </w:div>
    <w:div w:id="295525712">
      <w:bodyDiv w:val="1"/>
      <w:marLeft w:val="0"/>
      <w:marRight w:val="0"/>
      <w:marTop w:val="0"/>
      <w:marBottom w:val="0"/>
      <w:divBdr>
        <w:top w:val="none" w:sz="0" w:space="0" w:color="auto"/>
        <w:left w:val="none" w:sz="0" w:space="0" w:color="auto"/>
        <w:bottom w:val="none" w:sz="0" w:space="0" w:color="auto"/>
        <w:right w:val="none" w:sz="0" w:space="0" w:color="auto"/>
      </w:divBdr>
    </w:div>
    <w:div w:id="298804166">
      <w:bodyDiv w:val="1"/>
      <w:marLeft w:val="0"/>
      <w:marRight w:val="0"/>
      <w:marTop w:val="0"/>
      <w:marBottom w:val="0"/>
      <w:divBdr>
        <w:top w:val="none" w:sz="0" w:space="0" w:color="auto"/>
        <w:left w:val="none" w:sz="0" w:space="0" w:color="auto"/>
        <w:bottom w:val="none" w:sz="0" w:space="0" w:color="auto"/>
        <w:right w:val="none" w:sz="0" w:space="0" w:color="auto"/>
      </w:divBdr>
      <w:divsChild>
        <w:div w:id="1375500620">
          <w:marLeft w:val="0"/>
          <w:marRight w:val="0"/>
          <w:marTop w:val="0"/>
          <w:marBottom w:val="0"/>
          <w:divBdr>
            <w:top w:val="none" w:sz="0" w:space="0" w:color="auto"/>
            <w:left w:val="none" w:sz="0" w:space="0" w:color="auto"/>
            <w:bottom w:val="none" w:sz="0" w:space="0" w:color="auto"/>
            <w:right w:val="none" w:sz="0" w:space="0" w:color="auto"/>
          </w:divBdr>
          <w:divsChild>
            <w:div w:id="666640265">
              <w:marLeft w:val="0"/>
              <w:marRight w:val="0"/>
              <w:marTop w:val="0"/>
              <w:marBottom w:val="0"/>
              <w:divBdr>
                <w:top w:val="none" w:sz="0" w:space="0" w:color="auto"/>
                <w:left w:val="none" w:sz="0" w:space="0" w:color="auto"/>
                <w:bottom w:val="none" w:sz="0" w:space="0" w:color="auto"/>
                <w:right w:val="none" w:sz="0" w:space="0" w:color="auto"/>
              </w:divBdr>
              <w:divsChild>
                <w:div w:id="416823728">
                  <w:marLeft w:val="0"/>
                  <w:marRight w:val="0"/>
                  <w:marTop w:val="0"/>
                  <w:marBottom w:val="0"/>
                  <w:divBdr>
                    <w:top w:val="none" w:sz="0" w:space="0" w:color="auto"/>
                    <w:left w:val="none" w:sz="0" w:space="0" w:color="auto"/>
                    <w:bottom w:val="none" w:sz="0" w:space="0" w:color="auto"/>
                    <w:right w:val="none" w:sz="0" w:space="0" w:color="auto"/>
                  </w:divBdr>
                  <w:divsChild>
                    <w:div w:id="204874612">
                      <w:marLeft w:val="0"/>
                      <w:marRight w:val="0"/>
                      <w:marTop w:val="0"/>
                      <w:marBottom w:val="0"/>
                      <w:divBdr>
                        <w:top w:val="none" w:sz="0" w:space="0" w:color="auto"/>
                        <w:left w:val="none" w:sz="0" w:space="0" w:color="auto"/>
                        <w:bottom w:val="none" w:sz="0" w:space="0" w:color="auto"/>
                        <w:right w:val="none" w:sz="0" w:space="0" w:color="auto"/>
                      </w:divBdr>
                      <w:divsChild>
                        <w:div w:id="177432827">
                          <w:marLeft w:val="0"/>
                          <w:marRight w:val="0"/>
                          <w:marTop w:val="0"/>
                          <w:marBottom w:val="0"/>
                          <w:divBdr>
                            <w:top w:val="none" w:sz="0" w:space="0" w:color="auto"/>
                            <w:left w:val="none" w:sz="0" w:space="0" w:color="auto"/>
                            <w:bottom w:val="none" w:sz="0" w:space="0" w:color="auto"/>
                            <w:right w:val="none" w:sz="0" w:space="0" w:color="auto"/>
                          </w:divBdr>
                          <w:divsChild>
                            <w:div w:id="7229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5114">
                      <w:marLeft w:val="0"/>
                      <w:marRight w:val="0"/>
                      <w:marTop w:val="0"/>
                      <w:marBottom w:val="0"/>
                      <w:divBdr>
                        <w:top w:val="none" w:sz="0" w:space="0" w:color="auto"/>
                        <w:left w:val="none" w:sz="0" w:space="0" w:color="auto"/>
                        <w:bottom w:val="none" w:sz="0" w:space="0" w:color="auto"/>
                        <w:right w:val="none" w:sz="0" w:space="0" w:color="auto"/>
                      </w:divBdr>
                      <w:divsChild>
                        <w:div w:id="37708824">
                          <w:marLeft w:val="0"/>
                          <w:marRight w:val="0"/>
                          <w:marTop w:val="0"/>
                          <w:marBottom w:val="0"/>
                          <w:divBdr>
                            <w:top w:val="none" w:sz="0" w:space="0" w:color="auto"/>
                            <w:left w:val="none" w:sz="0" w:space="0" w:color="auto"/>
                            <w:bottom w:val="none" w:sz="0" w:space="0" w:color="auto"/>
                            <w:right w:val="none" w:sz="0" w:space="0" w:color="auto"/>
                          </w:divBdr>
                          <w:divsChild>
                            <w:div w:id="6510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0684">
      <w:bodyDiv w:val="1"/>
      <w:marLeft w:val="0"/>
      <w:marRight w:val="0"/>
      <w:marTop w:val="0"/>
      <w:marBottom w:val="0"/>
      <w:divBdr>
        <w:top w:val="none" w:sz="0" w:space="0" w:color="auto"/>
        <w:left w:val="none" w:sz="0" w:space="0" w:color="auto"/>
        <w:bottom w:val="none" w:sz="0" w:space="0" w:color="auto"/>
        <w:right w:val="none" w:sz="0" w:space="0" w:color="auto"/>
      </w:divBdr>
      <w:divsChild>
        <w:div w:id="2056928140">
          <w:marLeft w:val="0"/>
          <w:marRight w:val="0"/>
          <w:marTop w:val="0"/>
          <w:marBottom w:val="0"/>
          <w:divBdr>
            <w:top w:val="none" w:sz="0" w:space="0" w:color="auto"/>
            <w:left w:val="none" w:sz="0" w:space="0" w:color="auto"/>
            <w:bottom w:val="none" w:sz="0" w:space="0" w:color="auto"/>
            <w:right w:val="none" w:sz="0" w:space="0" w:color="auto"/>
          </w:divBdr>
          <w:divsChild>
            <w:div w:id="959410594">
              <w:marLeft w:val="0"/>
              <w:marRight w:val="0"/>
              <w:marTop w:val="0"/>
              <w:marBottom w:val="0"/>
              <w:divBdr>
                <w:top w:val="none" w:sz="0" w:space="0" w:color="auto"/>
                <w:left w:val="none" w:sz="0" w:space="0" w:color="auto"/>
                <w:bottom w:val="none" w:sz="0" w:space="0" w:color="auto"/>
                <w:right w:val="none" w:sz="0" w:space="0" w:color="auto"/>
              </w:divBdr>
              <w:divsChild>
                <w:div w:id="1802307919">
                  <w:marLeft w:val="0"/>
                  <w:marRight w:val="0"/>
                  <w:marTop w:val="0"/>
                  <w:marBottom w:val="0"/>
                  <w:divBdr>
                    <w:top w:val="none" w:sz="0" w:space="0" w:color="auto"/>
                    <w:left w:val="none" w:sz="0" w:space="0" w:color="auto"/>
                    <w:bottom w:val="none" w:sz="0" w:space="0" w:color="auto"/>
                    <w:right w:val="none" w:sz="0" w:space="0" w:color="auto"/>
                  </w:divBdr>
                  <w:divsChild>
                    <w:div w:id="12865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17660">
      <w:bodyDiv w:val="1"/>
      <w:marLeft w:val="0"/>
      <w:marRight w:val="0"/>
      <w:marTop w:val="0"/>
      <w:marBottom w:val="0"/>
      <w:divBdr>
        <w:top w:val="none" w:sz="0" w:space="0" w:color="auto"/>
        <w:left w:val="none" w:sz="0" w:space="0" w:color="auto"/>
        <w:bottom w:val="none" w:sz="0" w:space="0" w:color="auto"/>
        <w:right w:val="none" w:sz="0" w:space="0" w:color="auto"/>
      </w:divBdr>
      <w:divsChild>
        <w:div w:id="1123766421">
          <w:marLeft w:val="0"/>
          <w:marRight w:val="0"/>
          <w:marTop w:val="0"/>
          <w:marBottom w:val="0"/>
          <w:divBdr>
            <w:top w:val="none" w:sz="0" w:space="0" w:color="auto"/>
            <w:left w:val="none" w:sz="0" w:space="0" w:color="auto"/>
            <w:bottom w:val="none" w:sz="0" w:space="0" w:color="auto"/>
            <w:right w:val="none" w:sz="0" w:space="0" w:color="auto"/>
          </w:divBdr>
          <w:divsChild>
            <w:div w:id="206068557">
              <w:marLeft w:val="0"/>
              <w:marRight w:val="0"/>
              <w:marTop w:val="0"/>
              <w:marBottom w:val="0"/>
              <w:divBdr>
                <w:top w:val="none" w:sz="0" w:space="0" w:color="auto"/>
                <w:left w:val="none" w:sz="0" w:space="0" w:color="auto"/>
                <w:bottom w:val="none" w:sz="0" w:space="0" w:color="auto"/>
                <w:right w:val="none" w:sz="0" w:space="0" w:color="auto"/>
              </w:divBdr>
              <w:divsChild>
                <w:div w:id="336738999">
                  <w:marLeft w:val="0"/>
                  <w:marRight w:val="0"/>
                  <w:marTop w:val="0"/>
                  <w:marBottom w:val="0"/>
                  <w:divBdr>
                    <w:top w:val="none" w:sz="0" w:space="0" w:color="auto"/>
                    <w:left w:val="none" w:sz="0" w:space="0" w:color="auto"/>
                    <w:bottom w:val="none" w:sz="0" w:space="0" w:color="auto"/>
                    <w:right w:val="none" w:sz="0" w:space="0" w:color="auto"/>
                  </w:divBdr>
                  <w:divsChild>
                    <w:div w:id="13708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5173">
      <w:bodyDiv w:val="1"/>
      <w:marLeft w:val="0"/>
      <w:marRight w:val="0"/>
      <w:marTop w:val="0"/>
      <w:marBottom w:val="0"/>
      <w:divBdr>
        <w:top w:val="none" w:sz="0" w:space="0" w:color="auto"/>
        <w:left w:val="none" w:sz="0" w:space="0" w:color="auto"/>
        <w:bottom w:val="none" w:sz="0" w:space="0" w:color="auto"/>
        <w:right w:val="none" w:sz="0" w:space="0" w:color="auto"/>
      </w:divBdr>
      <w:divsChild>
        <w:div w:id="1192572122">
          <w:marLeft w:val="0"/>
          <w:marRight w:val="0"/>
          <w:marTop w:val="0"/>
          <w:marBottom w:val="0"/>
          <w:divBdr>
            <w:top w:val="none" w:sz="0" w:space="0" w:color="auto"/>
            <w:left w:val="none" w:sz="0" w:space="0" w:color="auto"/>
            <w:bottom w:val="none" w:sz="0" w:space="0" w:color="auto"/>
            <w:right w:val="none" w:sz="0" w:space="0" w:color="auto"/>
          </w:divBdr>
        </w:div>
      </w:divsChild>
    </w:div>
    <w:div w:id="387729414">
      <w:bodyDiv w:val="1"/>
      <w:marLeft w:val="0"/>
      <w:marRight w:val="0"/>
      <w:marTop w:val="0"/>
      <w:marBottom w:val="0"/>
      <w:divBdr>
        <w:top w:val="none" w:sz="0" w:space="0" w:color="auto"/>
        <w:left w:val="none" w:sz="0" w:space="0" w:color="auto"/>
        <w:bottom w:val="none" w:sz="0" w:space="0" w:color="auto"/>
        <w:right w:val="none" w:sz="0" w:space="0" w:color="auto"/>
      </w:divBdr>
      <w:divsChild>
        <w:div w:id="127288202">
          <w:marLeft w:val="0"/>
          <w:marRight w:val="0"/>
          <w:marTop w:val="0"/>
          <w:marBottom w:val="0"/>
          <w:divBdr>
            <w:top w:val="none" w:sz="0" w:space="0" w:color="auto"/>
            <w:left w:val="none" w:sz="0" w:space="0" w:color="auto"/>
            <w:bottom w:val="none" w:sz="0" w:space="0" w:color="auto"/>
            <w:right w:val="none" w:sz="0" w:space="0" w:color="auto"/>
          </w:divBdr>
        </w:div>
      </w:divsChild>
    </w:div>
    <w:div w:id="396443077">
      <w:bodyDiv w:val="1"/>
      <w:marLeft w:val="0"/>
      <w:marRight w:val="0"/>
      <w:marTop w:val="0"/>
      <w:marBottom w:val="0"/>
      <w:divBdr>
        <w:top w:val="none" w:sz="0" w:space="0" w:color="auto"/>
        <w:left w:val="none" w:sz="0" w:space="0" w:color="auto"/>
        <w:bottom w:val="none" w:sz="0" w:space="0" w:color="auto"/>
        <w:right w:val="none" w:sz="0" w:space="0" w:color="auto"/>
      </w:divBdr>
      <w:divsChild>
        <w:div w:id="1548569949">
          <w:marLeft w:val="0"/>
          <w:marRight w:val="0"/>
          <w:marTop w:val="0"/>
          <w:marBottom w:val="0"/>
          <w:divBdr>
            <w:top w:val="none" w:sz="0" w:space="0" w:color="auto"/>
            <w:left w:val="none" w:sz="0" w:space="0" w:color="auto"/>
            <w:bottom w:val="none" w:sz="0" w:space="0" w:color="auto"/>
            <w:right w:val="none" w:sz="0" w:space="0" w:color="auto"/>
          </w:divBdr>
        </w:div>
      </w:divsChild>
    </w:div>
    <w:div w:id="397049118">
      <w:bodyDiv w:val="1"/>
      <w:marLeft w:val="0"/>
      <w:marRight w:val="0"/>
      <w:marTop w:val="0"/>
      <w:marBottom w:val="0"/>
      <w:divBdr>
        <w:top w:val="none" w:sz="0" w:space="0" w:color="auto"/>
        <w:left w:val="none" w:sz="0" w:space="0" w:color="auto"/>
        <w:bottom w:val="none" w:sz="0" w:space="0" w:color="auto"/>
        <w:right w:val="none" w:sz="0" w:space="0" w:color="auto"/>
      </w:divBdr>
    </w:div>
    <w:div w:id="446242969">
      <w:bodyDiv w:val="1"/>
      <w:marLeft w:val="0"/>
      <w:marRight w:val="0"/>
      <w:marTop w:val="0"/>
      <w:marBottom w:val="0"/>
      <w:divBdr>
        <w:top w:val="none" w:sz="0" w:space="0" w:color="auto"/>
        <w:left w:val="none" w:sz="0" w:space="0" w:color="auto"/>
        <w:bottom w:val="none" w:sz="0" w:space="0" w:color="auto"/>
        <w:right w:val="none" w:sz="0" w:space="0" w:color="auto"/>
      </w:divBdr>
    </w:div>
    <w:div w:id="471756191">
      <w:bodyDiv w:val="1"/>
      <w:marLeft w:val="0"/>
      <w:marRight w:val="0"/>
      <w:marTop w:val="0"/>
      <w:marBottom w:val="0"/>
      <w:divBdr>
        <w:top w:val="none" w:sz="0" w:space="0" w:color="auto"/>
        <w:left w:val="none" w:sz="0" w:space="0" w:color="auto"/>
        <w:bottom w:val="none" w:sz="0" w:space="0" w:color="auto"/>
        <w:right w:val="none" w:sz="0" w:space="0" w:color="auto"/>
      </w:divBdr>
      <w:divsChild>
        <w:div w:id="1385908109">
          <w:marLeft w:val="0"/>
          <w:marRight w:val="0"/>
          <w:marTop w:val="0"/>
          <w:marBottom w:val="0"/>
          <w:divBdr>
            <w:top w:val="none" w:sz="0" w:space="0" w:color="auto"/>
            <w:left w:val="none" w:sz="0" w:space="0" w:color="auto"/>
            <w:bottom w:val="none" w:sz="0" w:space="0" w:color="auto"/>
            <w:right w:val="none" w:sz="0" w:space="0" w:color="auto"/>
          </w:divBdr>
        </w:div>
      </w:divsChild>
    </w:div>
    <w:div w:id="533926272">
      <w:bodyDiv w:val="1"/>
      <w:marLeft w:val="0"/>
      <w:marRight w:val="0"/>
      <w:marTop w:val="0"/>
      <w:marBottom w:val="0"/>
      <w:divBdr>
        <w:top w:val="none" w:sz="0" w:space="0" w:color="auto"/>
        <w:left w:val="none" w:sz="0" w:space="0" w:color="auto"/>
        <w:bottom w:val="none" w:sz="0" w:space="0" w:color="auto"/>
        <w:right w:val="none" w:sz="0" w:space="0" w:color="auto"/>
      </w:divBdr>
    </w:div>
    <w:div w:id="573666863">
      <w:bodyDiv w:val="1"/>
      <w:marLeft w:val="0"/>
      <w:marRight w:val="0"/>
      <w:marTop w:val="0"/>
      <w:marBottom w:val="0"/>
      <w:divBdr>
        <w:top w:val="none" w:sz="0" w:space="0" w:color="auto"/>
        <w:left w:val="none" w:sz="0" w:space="0" w:color="auto"/>
        <w:bottom w:val="none" w:sz="0" w:space="0" w:color="auto"/>
        <w:right w:val="none" w:sz="0" w:space="0" w:color="auto"/>
      </w:divBdr>
      <w:divsChild>
        <w:div w:id="267667262">
          <w:marLeft w:val="0"/>
          <w:marRight w:val="0"/>
          <w:marTop w:val="0"/>
          <w:marBottom w:val="0"/>
          <w:divBdr>
            <w:top w:val="none" w:sz="0" w:space="0" w:color="auto"/>
            <w:left w:val="none" w:sz="0" w:space="0" w:color="auto"/>
            <w:bottom w:val="none" w:sz="0" w:space="0" w:color="auto"/>
            <w:right w:val="none" w:sz="0" w:space="0" w:color="auto"/>
          </w:divBdr>
        </w:div>
      </w:divsChild>
    </w:div>
    <w:div w:id="632178671">
      <w:bodyDiv w:val="1"/>
      <w:marLeft w:val="0"/>
      <w:marRight w:val="0"/>
      <w:marTop w:val="0"/>
      <w:marBottom w:val="0"/>
      <w:divBdr>
        <w:top w:val="none" w:sz="0" w:space="0" w:color="auto"/>
        <w:left w:val="none" w:sz="0" w:space="0" w:color="auto"/>
        <w:bottom w:val="none" w:sz="0" w:space="0" w:color="auto"/>
        <w:right w:val="none" w:sz="0" w:space="0" w:color="auto"/>
      </w:divBdr>
      <w:divsChild>
        <w:div w:id="1826555962">
          <w:marLeft w:val="0"/>
          <w:marRight w:val="0"/>
          <w:marTop w:val="0"/>
          <w:marBottom w:val="0"/>
          <w:divBdr>
            <w:top w:val="none" w:sz="0" w:space="0" w:color="auto"/>
            <w:left w:val="none" w:sz="0" w:space="0" w:color="auto"/>
            <w:bottom w:val="none" w:sz="0" w:space="0" w:color="auto"/>
            <w:right w:val="none" w:sz="0" w:space="0" w:color="auto"/>
          </w:divBdr>
        </w:div>
      </w:divsChild>
    </w:div>
    <w:div w:id="633950455">
      <w:bodyDiv w:val="1"/>
      <w:marLeft w:val="0"/>
      <w:marRight w:val="0"/>
      <w:marTop w:val="0"/>
      <w:marBottom w:val="0"/>
      <w:divBdr>
        <w:top w:val="none" w:sz="0" w:space="0" w:color="auto"/>
        <w:left w:val="none" w:sz="0" w:space="0" w:color="auto"/>
        <w:bottom w:val="none" w:sz="0" w:space="0" w:color="auto"/>
        <w:right w:val="none" w:sz="0" w:space="0" w:color="auto"/>
      </w:divBdr>
      <w:divsChild>
        <w:div w:id="1120491815">
          <w:marLeft w:val="0"/>
          <w:marRight w:val="0"/>
          <w:marTop w:val="0"/>
          <w:marBottom w:val="0"/>
          <w:divBdr>
            <w:top w:val="none" w:sz="0" w:space="0" w:color="auto"/>
            <w:left w:val="none" w:sz="0" w:space="0" w:color="auto"/>
            <w:bottom w:val="none" w:sz="0" w:space="0" w:color="auto"/>
            <w:right w:val="none" w:sz="0" w:space="0" w:color="auto"/>
          </w:divBdr>
        </w:div>
        <w:div w:id="1057045887">
          <w:marLeft w:val="0"/>
          <w:marRight w:val="0"/>
          <w:marTop w:val="0"/>
          <w:marBottom w:val="0"/>
          <w:divBdr>
            <w:top w:val="none" w:sz="0" w:space="0" w:color="auto"/>
            <w:left w:val="none" w:sz="0" w:space="0" w:color="auto"/>
            <w:bottom w:val="none" w:sz="0" w:space="0" w:color="auto"/>
            <w:right w:val="none" w:sz="0" w:space="0" w:color="auto"/>
          </w:divBdr>
        </w:div>
        <w:div w:id="1427725206">
          <w:marLeft w:val="0"/>
          <w:marRight w:val="0"/>
          <w:marTop w:val="0"/>
          <w:marBottom w:val="0"/>
          <w:divBdr>
            <w:top w:val="none" w:sz="0" w:space="0" w:color="auto"/>
            <w:left w:val="none" w:sz="0" w:space="0" w:color="auto"/>
            <w:bottom w:val="none" w:sz="0" w:space="0" w:color="auto"/>
            <w:right w:val="none" w:sz="0" w:space="0" w:color="auto"/>
          </w:divBdr>
        </w:div>
      </w:divsChild>
    </w:div>
    <w:div w:id="682316348">
      <w:bodyDiv w:val="1"/>
      <w:marLeft w:val="0"/>
      <w:marRight w:val="0"/>
      <w:marTop w:val="0"/>
      <w:marBottom w:val="0"/>
      <w:divBdr>
        <w:top w:val="none" w:sz="0" w:space="0" w:color="auto"/>
        <w:left w:val="none" w:sz="0" w:space="0" w:color="auto"/>
        <w:bottom w:val="none" w:sz="0" w:space="0" w:color="auto"/>
        <w:right w:val="none" w:sz="0" w:space="0" w:color="auto"/>
      </w:divBdr>
    </w:div>
    <w:div w:id="690573279">
      <w:bodyDiv w:val="1"/>
      <w:marLeft w:val="0"/>
      <w:marRight w:val="0"/>
      <w:marTop w:val="0"/>
      <w:marBottom w:val="0"/>
      <w:divBdr>
        <w:top w:val="none" w:sz="0" w:space="0" w:color="auto"/>
        <w:left w:val="none" w:sz="0" w:space="0" w:color="auto"/>
        <w:bottom w:val="none" w:sz="0" w:space="0" w:color="auto"/>
        <w:right w:val="none" w:sz="0" w:space="0" w:color="auto"/>
      </w:divBdr>
      <w:divsChild>
        <w:div w:id="350496275">
          <w:marLeft w:val="0"/>
          <w:marRight w:val="0"/>
          <w:marTop w:val="0"/>
          <w:marBottom w:val="0"/>
          <w:divBdr>
            <w:top w:val="none" w:sz="0" w:space="0" w:color="auto"/>
            <w:left w:val="none" w:sz="0" w:space="0" w:color="auto"/>
            <w:bottom w:val="none" w:sz="0" w:space="0" w:color="auto"/>
            <w:right w:val="none" w:sz="0" w:space="0" w:color="auto"/>
          </w:divBdr>
        </w:div>
      </w:divsChild>
    </w:div>
    <w:div w:id="735199186">
      <w:bodyDiv w:val="1"/>
      <w:marLeft w:val="0"/>
      <w:marRight w:val="0"/>
      <w:marTop w:val="0"/>
      <w:marBottom w:val="0"/>
      <w:divBdr>
        <w:top w:val="none" w:sz="0" w:space="0" w:color="auto"/>
        <w:left w:val="none" w:sz="0" w:space="0" w:color="auto"/>
        <w:bottom w:val="none" w:sz="0" w:space="0" w:color="auto"/>
        <w:right w:val="none" w:sz="0" w:space="0" w:color="auto"/>
      </w:divBdr>
      <w:divsChild>
        <w:div w:id="1995375724">
          <w:marLeft w:val="0"/>
          <w:marRight w:val="0"/>
          <w:marTop w:val="0"/>
          <w:marBottom w:val="0"/>
          <w:divBdr>
            <w:top w:val="none" w:sz="0" w:space="0" w:color="auto"/>
            <w:left w:val="none" w:sz="0" w:space="0" w:color="auto"/>
            <w:bottom w:val="none" w:sz="0" w:space="0" w:color="auto"/>
            <w:right w:val="none" w:sz="0" w:space="0" w:color="auto"/>
          </w:divBdr>
        </w:div>
      </w:divsChild>
    </w:div>
    <w:div w:id="737173615">
      <w:bodyDiv w:val="1"/>
      <w:marLeft w:val="0"/>
      <w:marRight w:val="0"/>
      <w:marTop w:val="0"/>
      <w:marBottom w:val="0"/>
      <w:divBdr>
        <w:top w:val="none" w:sz="0" w:space="0" w:color="auto"/>
        <w:left w:val="none" w:sz="0" w:space="0" w:color="auto"/>
        <w:bottom w:val="none" w:sz="0" w:space="0" w:color="auto"/>
        <w:right w:val="none" w:sz="0" w:space="0" w:color="auto"/>
      </w:divBdr>
      <w:divsChild>
        <w:div w:id="1671326518">
          <w:marLeft w:val="0"/>
          <w:marRight w:val="0"/>
          <w:marTop w:val="0"/>
          <w:marBottom w:val="0"/>
          <w:divBdr>
            <w:top w:val="none" w:sz="0" w:space="0" w:color="auto"/>
            <w:left w:val="none" w:sz="0" w:space="0" w:color="auto"/>
            <w:bottom w:val="none" w:sz="0" w:space="0" w:color="auto"/>
            <w:right w:val="none" w:sz="0" w:space="0" w:color="auto"/>
          </w:divBdr>
        </w:div>
      </w:divsChild>
    </w:div>
    <w:div w:id="774053857">
      <w:bodyDiv w:val="1"/>
      <w:marLeft w:val="0"/>
      <w:marRight w:val="0"/>
      <w:marTop w:val="0"/>
      <w:marBottom w:val="0"/>
      <w:divBdr>
        <w:top w:val="none" w:sz="0" w:space="0" w:color="auto"/>
        <w:left w:val="none" w:sz="0" w:space="0" w:color="auto"/>
        <w:bottom w:val="none" w:sz="0" w:space="0" w:color="auto"/>
        <w:right w:val="none" w:sz="0" w:space="0" w:color="auto"/>
      </w:divBdr>
      <w:divsChild>
        <w:div w:id="1013187635">
          <w:marLeft w:val="0"/>
          <w:marRight w:val="0"/>
          <w:marTop w:val="0"/>
          <w:marBottom w:val="0"/>
          <w:divBdr>
            <w:top w:val="none" w:sz="0" w:space="0" w:color="auto"/>
            <w:left w:val="none" w:sz="0" w:space="0" w:color="auto"/>
            <w:bottom w:val="none" w:sz="0" w:space="0" w:color="auto"/>
            <w:right w:val="none" w:sz="0" w:space="0" w:color="auto"/>
          </w:divBdr>
        </w:div>
      </w:divsChild>
    </w:div>
    <w:div w:id="791166140">
      <w:bodyDiv w:val="1"/>
      <w:marLeft w:val="0"/>
      <w:marRight w:val="0"/>
      <w:marTop w:val="0"/>
      <w:marBottom w:val="0"/>
      <w:divBdr>
        <w:top w:val="none" w:sz="0" w:space="0" w:color="auto"/>
        <w:left w:val="none" w:sz="0" w:space="0" w:color="auto"/>
        <w:bottom w:val="none" w:sz="0" w:space="0" w:color="auto"/>
        <w:right w:val="none" w:sz="0" w:space="0" w:color="auto"/>
      </w:divBdr>
    </w:div>
    <w:div w:id="867327864">
      <w:bodyDiv w:val="1"/>
      <w:marLeft w:val="0"/>
      <w:marRight w:val="0"/>
      <w:marTop w:val="0"/>
      <w:marBottom w:val="0"/>
      <w:divBdr>
        <w:top w:val="none" w:sz="0" w:space="0" w:color="auto"/>
        <w:left w:val="none" w:sz="0" w:space="0" w:color="auto"/>
        <w:bottom w:val="none" w:sz="0" w:space="0" w:color="auto"/>
        <w:right w:val="none" w:sz="0" w:space="0" w:color="auto"/>
      </w:divBdr>
    </w:div>
    <w:div w:id="913050190">
      <w:bodyDiv w:val="1"/>
      <w:marLeft w:val="0"/>
      <w:marRight w:val="0"/>
      <w:marTop w:val="0"/>
      <w:marBottom w:val="0"/>
      <w:divBdr>
        <w:top w:val="none" w:sz="0" w:space="0" w:color="auto"/>
        <w:left w:val="none" w:sz="0" w:space="0" w:color="auto"/>
        <w:bottom w:val="none" w:sz="0" w:space="0" w:color="auto"/>
        <w:right w:val="none" w:sz="0" w:space="0" w:color="auto"/>
      </w:divBdr>
      <w:divsChild>
        <w:div w:id="649406675">
          <w:marLeft w:val="0"/>
          <w:marRight w:val="0"/>
          <w:marTop w:val="0"/>
          <w:marBottom w:val="0"/>
          <w:divBdr>
            <w:top w:val="none" w:sz="0" w:space="0" w:color="auto"/>
            <w:left w:val="none" w:sz="0" w:space="0" w:color="auto"/>
            <w:bottom w:val="none" w:sz="0" w:space="0" w:color="auto"/>
            <w:right w:val="none" w:sz="0" w:space="0" w:color="auto"/>
          </w:divBdr>
        </w:div>
      </w:divsChild>
    </w:div>
    <w:div w:id="916936257">
      <w:bodyDiv w:val="1"/>
      <w:marLeft w:val="0"/>
      <w:marRight w:val="0"/>
      <w:marTop w:val="0"/>
      <w:marBottom w:val="0"/>
      <w:divBdr>
        <w:top w:val="none" w:sz="0" w:space="0" w:color="auto"/>
        <w:left w:val="none" w:sz="0" w:space="0" w:color="auto"/>
        <w:bottom w:val="none" w:sz="0" w:space="0" w:color="auto"/>
        <w:right w:val="none" w:sz="0" w:space="0" w:color="auto"/>
      </w:divBdr>
      <w:divsChild>
        <w:div w:id="2013098230">
          <w:marLeft w:val="0"/>
          <w:marRight w:val="0"/>
          <w:marTop w:val="0"/>
          <w:marBottom w:val="0"/>
          <w:divBdr>
            <w:top w:val="none" w:sz="0" w:space="0" w:color="auto"/>
            <w:left w:val="none" w:sz="0" w:space="0" w:color="auto"/>
            <w:bottom w:val="none" w:sz="0" w:space="0" w:color="auto"/>
            <w:right w:val="none" w:sz="0" w:space="0" w:color="auto"/>
          </w:divBdr>
        </w:div>
      </w:divsChild>
    </w:div>
    <w:div w:id="940840447">
      <w:bodyDiv w:val="1"/>
      <w:marLeft w:val="0"/>
      <w:marRight w:val="0"/>
      <w:marTop w:val="0"/>
      <w:marBottom w:val="0"/>
      <w:divBdr>
        <w:top w:val="none" w:sz="0" w:space="0" w:color="auto"/>
        <w:left w:val="none" w:sz="0" w:space="0" w:color="auto"/>
        <w:bottom w:val="none" w:sz="0" w:space="0" w:color="auto"/>
        <w:right w:val="none" w:sz="0" w:space="0" w:color="auto"/>
      </w:divBdr>
      <w:divsChild>
        <w:div w:id="114296430">
          <w:marLeft w:val="0"/>
          <w:marRight w:val="0"/>
          <w:marTop w:val="0"/>
          <w:marBottom w:val="0"/>
          <w:divBdr>
            <w:top w:val="none" w:sz="0" w:space="0" w:color="auto"/>
            <w:left w:val="none" w:sz="0" w:space="0" w:color="auto"/>
            <w:bottom w:val="none" w:sz="0" w:space="0" w:color="auto"/>
            <w:right w:val="none" w:sz="0" w:space="0" w:color="auto"/>
          </w:divBdr>
        </w:div>
      </w:divsChild>
    </w:div>
    <w:div w:id="944920828">
      <w:bodyDiv w:val="1"/>
      <w:marLeft w:val="0"/>
      <w:marRight w:val="0"/>
      <w:marTop w:val="0"/>
      <w:marBottom w:val="0"/>
      <w:divBdr>
        <w:top w:val="none" w:sz="0" w:space="0" w:color="auto"/>
        <w:left w:val="none" w:sz="0" w:space="0" w:color="auto"/>
        <w:bottom w:val="none" w:sz="0" w:space="0" w:color="auto"/>
        <w:right w:val="none" w:sz="0" w:space="0" w:color="auto"/>
      </w:divBdr>
    </w:div>
    <w:div w:id="986058561">
      <w:bodyDiv w:val="1"/>
      <w:marLeft w:val="0"/>
      <w:marRight w:val="0"/>
      <w:marTop w:val="0"/>
      <w:marBottom w:val="0"/>
      <w:divBdr>
        <w:top w:val="none" w:sz="0" w:space="0" w:color="auto"/>
        <w:left w:val="none" w:sz="0" w:space="0" w:color="auto"/>
        <w:bottom w:val="none" w:sz="0" w:space="0" w:color="auto"/>
        <w:right w:val="none" w:sz="0" w:space="0" w:color="auto"/>
      </w:divBdr>
      <w:divsChild>
        <w:div w:id="166362289">
          <w:marLeft w:val="0"/>
          <w:marRight w:val="0"/>
          <w:marTop w:val="0"/>
          <w:marBottom w:val="0"/>
          <w:divBdr>
            <w:top w:val="none" w:sz="0" w:space="0" w:color="auto"/>
            <w:left w:val="none" w:sz="0" w:space="0" w:color="auto"/>
            <w:bottom w:val="none" w:sz="0" w:space="0" w:color="auto"/>
            <w:right w:val="none" w:sz="0" w:space="0" w:color="auto"/>
          </w:divBdr>
        </w:div>
      </w:divsChild>
    </w:div>
    <w:div w:id="1052115087">
      <w:bodyDiv w:val="1"/>
      <w:marLeft w:val="0"/>
      <w:marRight w:val="0"/>
      <w:marTop w:val="0"/>
      <w:marBottom w:val="0"/>
      <w:divBdr>
        <w:top w:val="none" w:sz="0" w:space="0" w:color="auto"/>
        <w:left w:val="none" w:sz="0" w:space="0" w:color="auto"/>
        <w:bottom w:val="none" w:sz="0" w:space="0" w:color="auto"/>
        <w:right w:val="none" w:sz="0" w:space="0" w:color="auto"/>
      </w:divBdr>
      <w:divsChild>
        <w:div w:id="441340972">
          <w:marLeft w:val="0"/>
          <w:marRight w:val="0"/>
          <w:marTop w:val="0"/>
          <w:marBottom w:val="0"/>
          <w:divBdr>
            <w:top w:val="none" w:sz="0" w:space="0" w:color="auto"/>
            <w:left w:val="none" w:sz="0" w:space="0" w:color="auto"/>
            <w:bottom w:val="none" w:sz="0" w:space="0" w:color="auto"/>
            <w:right w:val="none" w:sz="0" w:space="0" w:color="auto"/>
          </w:divBdr>
        </w:div>
      </w:divsChild>
    </w:div>
    <w:div w:id="1097866138">
      <w:bodyDiv w:val="1"/>
      <w:marLeft w:val="0"/>
      <w:marRight w:val="0"/>
      <w:marTop w:val="0"/>
      <w:marBottom w:val="0"/>
      <w:divBdr>
        <w:top w:val="none" w:sz="0" w:space="0" w:color="auto"/>
        <w:left w:val="none" w:sz="0" w:space="0" w:color="auto"/>
        <w:bottom w:val="none" w:sz="0" w:space="0" w:color="auto"/>
        <w:right w:val="none" w:sz="0" w:space="0" w:color="auto"/>
      </w:divBdr>
      <w:divsChild>
        <w:div w:id="162820416">
          <w:marLeft w:val="0"/>
          <w:marRight w:val="0"/>
          <w:marTop w:val="0"/>
          <w:marBottom w:val="0"/>
          <w:divBdr>
            <w:top w:val="none" w:sz="0" w:space="0" w:color="auto"/>
            <w:left w:val="none" w:sz="0" w:space="0" w:color="auto"/>
            <w:bottom w:val="none" w:sz="0" w:space="0" w:color="auto"/>
            <w:right w:val="none" w:sz="0" w:space="0" w:color="auto"/>
          </w:divBdr>
        </w:div>
      </w:divsChild>
    </w:div>
    <w:div w:id="1104181435">
      <w:bodyDiv w:val="1"/>
      <w:marLeft w:val="0"/>
      <w:marRight w:val="0"/>
      <w:marTop w:val="0"/>
      <w:marBottom w:val="0"/>
      <w:divBdr>
        <w:top w:val="none" w:sz="0" w:space="0" w:color="auto"/>
        <w:left w:val="none" w:sz="0" w:space="0" w:color="auto"/>
        <w:bottom w:val="none" w:sz="0" w:space="0" w:color="auto"/>
        <w:right w:val="none" w:sz="0" w:space="0" w:color="auto"/>
      </w:divBdr>
      <w:divsChild>
        <w:div w:id="860044868">
          <w:marLeft w:val="0"/>
          <w:marRight w:val="0"/>
          <w:marTop w:val="0"/>
          <w:marBottom w:val="0"/>
          <w:divBdr>
            <w:top w:val="none" w:sz="0" w:space="0" w:color="auto"/>
            <w:left w:val="none" w:sz="0" w:space="0" w:color="auto"/>
            <w:bottom w:val="none" w:sz="0" w:space="0" w:color="auto"/>
            <w:right w:val="none" w:sz="0" w:space="0" w:color="auto"/>
          </w:divBdr>
        </w:div>
      </w:divsChild>
    </w:div>
    <w:div w:id="1155877732">
      <w:bodyDiv w:val="1"/>
      <w:marLeft w:val="0"/>
      <w:marRight w:val="0"/>
      <w:marTop w:val="0"/>
      <w:marBottom w:val="0"/>
      <w:divBdr>
        <w:top w:val="none" w:sz="0" w:space="0" w:color="auto"/>
        <w:left w:val="none" w:sz="0" w:space="0" w:color="auto"/>
        <w:bottom w:val="none" w:sz="0" w:space="0" w:color="auto"/>
        <w:right w:val="none" w:sz="0" w:space="0" w:color="auto"/>
      </w:divBdr>
      <w:divsChild>
        <w:div w:id="42023214">
          <w:marLeft w:val="0"/>
          <w:marRight w:val="0"/>
          <w:marTop w:val="0"/>
          <w:marBottom w:val="0"/>
          <w:divBdr>
            <w:top w:val="none" w:sz="0" w:space="0" w:color="auto"/>
            <w:left w:val="none" w:sz="0" w:space="0" w:color="auto"/>
            <w:bottom w:val="none" w:sz="0" w:space="0" w:color="auto"/>
            <w:right w:val="none" w:sz="0" w:space="0" w:color="auto"/>
          </w:divBdr>
          <w:divsChild>
            <w:div w:id="414322589">
              <w:marLeft w:val="0"/>
              <w:marRight w:val="0"/>
              <w:marTop w:val="0"/>
              <w:marBottom w:val="0"/>
              <w:divBdr>
                <w:top w:val="none" w:sz="0" w:space="0" w:color="auto"/>
                <w:left w:val="none" w:sz="0" w:space="0" w:color="auto"/>
                <w:bottom w:val="none" w:sz="0" w:space="0" w:color="auto"/>
                <w:right w:val="none" w:sz="0" w:space="0" w:color="auto"/>
              </w:divBdr>
              <w:divsChild>
                <w:div w:id="1319842276">
                  <w:marLeft w:val="0"/>
                  <w:marRight w:val="0"/>
                  <w:marTop w:val="0"/>
                  <w:marBottom w:val="0"/>
                  <w:divBdr>
                    <w:top w:val="none" w:sz="0" w:space="0" w:color="auto"/>
                    <w:left w:val="none" w:sz="0" w:space="0" w:color="auto"/>
                    <w:bottom w:val="none" w:sz="0" w:space="0" w:color="auto"/>
                    <w:right w:val="none" w:sz="0" w:space="0" w:color="auto"/>
                  </w:divBdr>
                  <w:divsChild>
                    <w:div w:id="1455518200">
                      <w:marLeft w:val="0"/>
                      <w:marRight w:val="0"/>
                      <w:marTop w:val="0"/>
                      <w:marBottom w:val="0"/>
                      <w:divBdr>
                        <w:top w:val="none" w:sz="0" w:space="0" w:color="auto"/>
                        <w:left w:val="none" w:sz="0" w:space="0" w:color="auto"/>
                        <w:bottom w:val="none" w:sz="0" w:space="0" w:color="auto"/>
                        <w:right w:val="none" w:sz="0" w:space="0" w:color="auto"/>
                      </w:divBdr>
                      <w:divsChild>
                        <w:div w:id="372196249">
                          <w:marLeft w:val="0"/>
                          <w:marRight w:val="0"/>
                          <w:marTop w:val="0"/>
                          <w:marBottom w:val="0"/>
                          <w:divBdr>
                            <w:top w:val="none" w:sz="0" w:space="0" w:color="auto"/>
                            <w:left w:val="none" w:sz="0" w:space="0" w:color="auto"/>
                            <w:bottom w:val="none" w:sz="0" w:space="0" w:color="auto"/>
                            <w:right w:val="none" w:sz="0" w:space="0" w:color="auto"/>
                          </w:divBdr>
                          <w:divsChild>
                            <w:div w:id="1538421889">
                              <w:marLeft w:val="0"/>
                              <w:marRight w:val="0"/>
                              <w:marTop w:val="0"/>
                              <w:marBottom w:val="0"/>
                              <w:divBdr>
                                <w:top w:val="none" w:sz="0" w:space="0" w:color="auto"/>
                                <w:left w:val="none" w:sz="0" w:space="0" w:color="auto"/>
                                <w:bottom w:val="none" w:sz="0" w:space="0" w:color="auto"/>
                                <w:right w:val="none" w:sz="0" w:space="0" w:color="auto"/>
                              </w:divBdr>
                              <w:divsChild>
                                <w:div w:id="6975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07456">
          <w:marLeft w:val="0"/>
          <w:marRight w:val="0"/>
          <w:marTop w:val="0"/>
          <w:marBottom w:val="0"/>
          <w:divBdr>
            <w:top w:val="none" w:sz="0" w:space="0" w:color="auto"/>
            <w:left w:val="none" w:sz="0" w:space="0" w:color="auto"/>
            <w:bottom w:val="none" w:sz="0" w:space="0" w:color="auto"/>
            <w:right w:val="none" w:sz="0" w:space="0" w:color="auto"/>
          </w:divBdr>
          <w:divsChild>
            <w:div w:id="845367469">
              <w:marLeft w:val="0"/>
              <w:marRight w:val="0"/>
              <w:marTop w:val="0"/>
              <w:marBottom w:val="0"/>
              <w:divBdr>
                <w:top w:val="none" w:sz="0" w:space="0" w:color="auto"/>
                <w:left w:val="none" w:sz="0" w:space="0" w:color="auto"/>
                <w:bottom w:val="none" w:sz="0" w:space="0" w:color="auto"/>
                <w:right w:val="none" w:sz="0" w:space="0" w:color="auto"/>
              </w:divBdr>
              <w:divsChild>
                <w:div w:id="13140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0113">
      <w:bodyDiv w:val="1"/>
      <w:marLeft w:val="0"/>
      <w:marRight w:val="0"/>
      <w:marTop w:val="0"/>
      <w:marBottom w:val="0"/>
      <w:divBdr>
        <w:top w:val="none" w:sz="0" w:space="0" w:color="auto"/>
        <w:left w:val="none" w:sz="0" w:space="0" w:color="auto"/>
        <w:bottom w:val="none" w:sz="0" w:space="0" w:color="auto"/>
        <w:right w:val="none" w:sz="0" w:space="0" w:color="auto"/>
      </w:divBdr>
    </w:div>
    <w:div w:id="1201631767">
      <w:bodyDiv w:val="1"/>
      <w:marLeft w:val="0"/>
      <w:marRight w:val="0"/>
      <w:marTop w:val="0"/>
      <w:marBottom w:val="0"/>
      <w:divBdr>
        <w:top w:val="none" w:sz="0" w:space="0" w:color="auto"/>
        <w:left w:val="none" w:sz="0" w:space="0" w:color="auto"/>
        <w:bottom w:val="none" w:sz="0" w:space="0" w:color="auto"/>
        <w:right w:val="none" w:sz="0" w:space="0" w:color="auto"/>
      </w:divBdr>
      <w:divsChild>
        <w:div w:id="894269654">
          <w:marLeft w:val="0"/>
          <w:marRight w:val="0"/>
          <w:marTop w:val="0"/>
          <w:marBottom w:val="0"/>
          <w:divBdr>
            <w:top w:val="none" w:sz="0" w:space="0" w:color="auto"/>
            <w:left w:val="none" w:sz="0" w:space="0" w:color="auto"/>
            <w:bottom w:val="none" w:sz="0" w:space="0" w:color="auto"/>
            <w:right w:val="none" w:sz="0" w:space="0" w:color="auto"/>
          </w:divBdr>
        </w:div>
      </w:divsChild>
    </w:div>
    <w:div w:id="1250651299">
      <w:bodyDiv w:val="1"/>
      <w:marLeft w:val="0"/>
      <w:marRight w:val="0"/>
      <w:marTop w:val="0"/>
      <w:marBottom w:val="0"/>
      <w:divBdr>
        <w:top w:val="none" w:sz="0" w:space="0" w:color="auto"/>
        <w:left w:val="none" w:sz="0" w:space="0" w:color="auto"/>
        <w:bottom w:val="none" w:sz="0" w:space="0" w:color="auto"/>
        <w:right w:val="none" w:sz="0" w:space="0" w:color="auto"/>
      </w:divBdr>
      <w:divsChild>
        <w:div w:id="480342176">
          <w:marLeft w:val="0"/>
          <w:marRight w:val="0"/>
          <w:marTop w:val="0"/>
          <w:marBottom w:val="0"/>
          <w:divBdr>
            <w:top w:val="none" w:sz="0" w:space="0" w:color="auto"/>
            <w:left w:val="none" w:sz="0" w:space="0" w:color="auto"/>
            <w:bottom w:val="none" w:sz="0" w:space="0" w:color="auto"/>
            <w:right w:val="none" w:sz="0" w:space="0" w:color="auto"/>
          </w:divBdr>
        </w:div>
      </w:divsChild>
    </w:div>
    <w:div w:id="1298102995">
      <w:bodyDiv w:val="1"/>
      <w:marLeft w:val="0"/>
      <w:marRight w:val="0"/>
      <w:marTop w:val="0"/>
      <w:marBottom w:val="0"/>
      <w:divBdr>
        <w:top w:val="none" w:sz="0" w:space="0" w:color="auto"/>
        <w:left w:val="none" w:sz="0" w:space="0" w:color="auto"/>
        <w:bottom w:val="none" w:sz="0" w:space="0" w:color="auto"/>
        <w:right w:val="none" w:sz="0" w:space="0" w:color="auto"/>
      </w:divBdr>
      <w:divsChild>
        <w:div w:id="169026738">
          <w:marLeft w:val="0"/>
          <w:marRight w:val="0"/>
          <w:marTop w:val="0"/>
          <w:marBottom w:val="0"/>
          <w:divBdr>
            <w:top w:val="none" w:sz="0" w:space="0" w:color="auto"/>
            <w:left w:val="none" w:sz="0" w:space="0" w:color="auto"/>
            <w:bottom w:val="none" w:sz="0" w:space="0" w:color="auto"/>
            <w:right w:val="none" w:sz="0" w:space="0" w:color="auto"/>
          </w:divBdr>
        </w:div>
      </w:divsChild>
    </w:div>
    <w:div w:id="1336033095">
      <w:bodyDiv w:val="1"/>
      <w:marLeft w:val="0"/>
      <w:marRight w:val="0"/>
      <w:marTop w:val="0"/>
      <w:marBottom w:val="0"/>
      <w:divBdr>
        <w:top w:val="none" w:sz="0" w:space="0" w:color="auto"/>
        <w:left w:val="none" w:sz="0" w:space="0" w:color="auto"/>
        <w:bottom w:val="none" w:sz="0" w:space="0" w:color="auto"/>
        <w:right w:val="none" w:sz="0" w:space="0" w:color="auto"/>
      </w:divBdr>
    </w:div>
    <w:div w:id="1364477216">
      <w:bodyDiv w:val="1"/>
      <w:marLeft w:val="0"/>
      <w:marRight w:val="0"/>
      <w:marTop w:val="0"/>
      <w:marBottom w:val="0"/>
      <w:divBdr>
        <w:top w:val="none" w:sz="0" w:space="0" w:color="auto"/>
        <w:left w:val="none" w:sz="0" w:space="0" w:color="auto"/>
        <w:bottom w:val="none" w:sz="0" w:space="0" w:color="auto"/>
        <w:right w:val="none" w:sz="0" w:space="0" w:color="auto"/>
      </w:divBdr>
      <w:divsChild>
        <w:div w:id="2040008377">
          <w:marLeft w:val="0"/>
          <w:marRight w:val="0"/>
          <w:marTop w:val="0"/>
          <w:marBottom w:val="0"/>
          <w:divBdr>
            <w:top w:val="none" w:sz="0" w:space="0" w:color="auto"/>
            <w:left w:val="none" w:sz="0" w:space="0" w:color="auto"/>
            <w:bottom w:val="none" w:sz="0" w:space="0" w:color="auto"/>
            <w:right w:val="none" w:sz="0" w:space="0" w:color="auto"/>
          </w:divBdr>
        </w:div>
      </w:divsChild>
    </w:div>
    <w:div w:id="1391029775">
      <w:bodyDiv w:val="1"/>
      <w:marLeft w:val="0"/>
      <w:marRight w:val="0"/>
      <w:marTop w:val="0"/>
      <w:marBottom w:val="0"/>
      <w:divBdr>
        <w:top w:val="none" w:sz="0" w:space="0" w:color="auto"/>
        <w:left w:val="none" w:sz="0" w:space="0" w:color="auto"/>
        <w:bottom w:val="none" w:sz="0" w:space="0" w:color="auto"/>
        <w:right w:val="none" w:sz="0" w:space="0" w:color="auto"/>
      </w:divBdr>
    </w:div>
    <w:div w:id="1551772027">
      <w:bodyDiv w:val="1"/>
      <w:marLeft w:val="0"/>
      <w:marRight w:val="0"/>
      <w:marTop w:val="0"/>
      <w:marBottom w:val="0"/>
      <w:divBdr>
        <w:top w:val="none" w:sz="0" w:space="0" w:color="auto"/>
        <w:left w:val="none" w:sz="0" w:space="0" w:color="auto"/>
        <w:bottom w:val="none" w:sz="0" w:space="0" w:color="auto"/>
        <w:right w:val="none" w:sz="0" w:space="0" w:color="auto"/>
      </w:divBdr>
      <w:divsChild>
        <w:div w:id="1823081531">
          <w:marLeft w:val="0"/>
          <w:marRight w:val="0"/>
          <w:marTop w:val="0"/>
          <w:marBottom w:val="0"/>
          <w:divBdr>
            <w:top w:val="none" w:sz="0" w:space="0" w:color="auto"/>
            <w:left w:val="none" w:sz="0" w:space="0" w:color="auto"/>
            <w:bottom w:val="none" w:sz="0" w:space="0" w:color="auto"/>
            <w:right w:val="none" w:sz="0" w:space="0" w:color="auto"/>
          </w:divBdr>
        </w:div>
      </w:divsChild>
    </w:div>
    <w:div w:id="1581135859">
      <w:bodyDiv w:val="1"/>
      <w:marLeft w:val="0"/>
      <w:marRight w:val="0"/>
      <w:marTop w:val="0"/>
      <w:marBottom w:val="0"/>
      <w:divBdr>
        <w:top w:val="none" w:sz="0" w:space="0" w:color="auto"/>
        <w:left w:val="none" w:sz="0" w:space="0" w:color="auto"/>
        <w:bottom w:val="none" w:sz="0" w:space="0" w:color="auto"/>
        <w:right w:val="none" w:sz="0" w:space="0" w:color="auto"/>
      </w:divBdr>
      <w:divsChild>
        <w:div w:id="327635923">
          <w:marLeft w:val="0"/>
          <w:marRight w:val="0"/>
          <w:marTop w:val="0"/>
          <w:marBottom w:val="0"/>
          <w:divBdr>
            <w:top w:val="none" w:sz="0" w:space="0" w:color="auto"/>
            <w:left w:val="none" w:sz="0" w:space="0" w:color="auto"/>
            <w:bottom w:val="none" w:sz="0" w:space="0" w:color="auto"/>
            <w:right w:val="none" w:sz="0" w:space="0" w:color="auto"/>
          </w:divBdr>
        </w:div>
      </w:divsChild>
    </w:div>
    <w:div w:id="1648238449">
      <w:bodyDiv w:val="1"/>
      <w:marLeft w:val="0"/>
      <w:marRight w:val="0"/>
      <w:marTop w:val="0"/>
      <w:marBottom w:val="0"/>
      <w:divBdr>
        <w:top w:val="none" w:sz="0" w:space="0" w:color="auto"/>
        <w:left w:val="none" w:sz="0" w:space="0" w:color="auto"/>
        <w:bottom w:val="none" w:sz="0" w:space="0" w:color="auto"/>
        <w:right w:val="none" w:sz="0" w:space="0" w:color="auto"/>
      </w:divBdr>
      <w:divsChild>
        <w:div w:id="592787616">
          <w:marLeft w:val="0"/>
          <w:marRight w:val="0"/>
          <w:marTop w:val="0"/>
          <w:marBottom w:val="0"/>
          <w:divBdr>
            <w:top w:val="none" w:sz="0" w:space="0" w:color="auto"/>
            <w:left w:val="none" w:sz="0" w:space="0" w:color="auto"/>
            <w:bottom w:val="none" w:sz="0" w:space="0" w:color="auto"/>
            <w:right w:val="none" w:sz="0" w:space="0" w:color="auto"/>
          </w:divBdr>
        </w:div>
      </w:divsChild>
    </w:div>
    <w:div w:id="1658999661">
      <w:bodyDiv w:val="1"/>
      <w:marLeft w:val="0"/>
      <w:marRight w:val="0"/>
      <w:marTop w:val="0"/>
      <w:marBottom w:val="0"/>
      <w:divBdr>
        <w:top w:val="none" w:sz="0" w:space="0" w:color="auto"/>
        <w:left w:val="none" w:sz="0" w:space="0" w:color="auto"/>
        <w:bottom w:val="none" w:sz="0" w:space="0" w:color="auto"/>
        <w:right w:val="none" w:sz="0" w:space="0" w:color="auto"/>
      </w:divBdr>
    </w:div>
    <w:div w:id="1837914825">
      <w:bodyDiv w:val="1"/>
      <w:marLeft w:val="0"/>
      <w:marRight w:val="0"/>
      <w:marTop w:val="0"/>
      <w:marBottom w:val="0"/>
      <w:divBdr>
        <w:top w:val="none" w:sz="0" w:space="0" w:color="auto"/>
        <w:left w:val="none" w:sz="0" w:space="0" w:color="auto"/>
        <w:bottom w:val="none" w:sz="0" w:space="0" w:color="auto"/>
        <w:right w:val="none" w:sz="0" w:space="0" w:color="auto"/>
      </w:divBdr>
    </w:div>
    <w:div w:id="1928689754">
      <w:bodyDiv w:val="1"/>
      <w:marLeft w:val="0"/>
      <w:marRight w:val="0"/>
      <w:marTop w:val="0"/>
      <w:marBottom w:val="0"/>
      <w:divBdr>
        <w:top w:val="none" w:sz="0" w:space="0" w:color="auto"/>
        <w:left w:val="none" w:sz="0" w:space="0" w:color="auto"/>
        <w:bottom w:val="none" w:sz="0" w:space="0" w:color="auto"/>
        <w:right w:val="none" w:sz="0" w:space="0" w:color="auto"/>
      </w:divBdr>
      <w:divsChild>
        <w:div w:id="221646075">
          <w:marLeft w:val="0"/>
          <w:marRight w:val="0"/>
          <w:marTop w:val="0"/>
          <w:marBottom w:val="0"/>
          <w:divBdr>
            <w:top w:val="none" w:sz="0" w:space="0" w:color="auto"/>
            <w:left w:val="none" w:sz="0" w:space="0" w:color="auto"/>
            <w:bottom w:val="none" w:sz="0" w:space="0" w:color="auto"/>
            <w:right w:val="none" w:sz="0" w:space="0" w:color="auto"/>
          </w:divBdr>
        </w:div>
      </w:divsChild>
    </w:div>
    <w:div w:id="1929000749">
      <w:bodyDiv w:val="1"/>
      <w:marLeft w:val="0"/>
      <w:marRight w:val="0"/>
      <w:marTop w:val="0"/>
      <w:marBottom w:val="0"/>
      <w:divBdr>
        <w:top w:val="none" w:sz="0" w:space="0" w:color="auto"/>
        <w:left w:val="none" w:sz="0" w:space="0" w:color="auto"/>
        <w:bottom w:val="none" w:sz="0" w:space="0" w:color="auto"/>
        <w:right w:val="none" w:sz="0" w:space="0" w:color="auto"/>
      </w:divBdr>
      <w:divsChild>
        <w:div w:id="885070829">
          <w:marLeft w:val="0"/>
          <w:marRight w:val="0"/>
          <w:marTop w:val="0"/>
          <w:marBottom w:val="0"/>
          <w:divBdr>
            <w:top w:val="none" w:sz="0" w:space="0" w:color="auto"/>
            <w:left w:val="none" w:sz="0" w:space="0" w:color="auto"/>
            <w:bottom w:val="none" w:sz="0" w:space="0" w:color="auto"/>
            <w:right w:val="none" w:sz="0" w:space="0" w:color="auto"/>
          </w:divBdr>
        </w:div>
      </w:divsChild>
    </w:div>
    <w:div w:id="1985504992">
      <w:bodyDiv w:val="1"/>
      <w:marLeft w:val="0"/>
      <w:marRight w:val="0"/>
      <w:marTop w:val="0"/>
      <w:marBottom w:val="0"/>
      <w:divBdr>
        <w:top w:val="none" w:sz="0" w:space="0" w:color="auto"/>
        <w:left w:val="none" w:sz="0" w:space="0" w:color="auto"/>
        <w:bottom w:val="none" w:sz="0" w:space="0" w:color="auto"/>
        <w:right w:val="none" w:sz="0" w:space="0" w:color="auto"/>
      </w:divBdr>
      <w:divsChild>
        <w:div w:id="437333025">
          <w:marLeft w:val="0"/>
          <w:marRight w:val="0"/>
          <w:marTop w:val="0"/>
          <w:marBottom w:val="0"/>
          <w:divBdr>
            <w:top w:val="none" w:sz="0" w:space="0" w:color="auto"/>
            <w:left w:val="none" w:sz="0" w:space="0" w:color="auto"/>
            <w:bottom w:val="none" w:sz="0" w:space="0" w:color="auto"/>
            <w:right w:val="none" w:sz="0" w:space="0" w:color="auto"/>
          </w:divBdr>
        </w:div>
      </w:divsChild>
    </w:div>
    <w:div w:id="2050714565">
      <w:bodyDiv w:val="1"/>
      <w:marLeft w:val="0"/>
      <w:marRight w:val="0"/>
      <w:marTop w:val="0"/>
      <w:marBottom w:val="0"/>
      <w:divBdr>
        <w:top w:val="none" w:sz="0" w:space="0" w:color="auto"/>
        <w:left w:val="none" w:sz="0" w:space="0" w:color="auto"/>
        <w:bottom w:val="none" w:sz="0" w:space="0" w:color="auto"/>
        <w:right w:val="none" w:sz="0" w:space="0" w:color="auto"/>
      </w:divBdr>
    </w:div>
    <w:div w:id="2085949843">
      <w:bodyDiv w:val="1"/>
      <w:marLeft w:val="0"/>
      <w:marRight w:val="0"/>
      <w:marTop w:val="0"/>
      <w:marBottom w:val="0"/>
      <w:divBdr>
        <w:top w:val="none" w:sz="0" w:space="0" w:color="auto"/>
        <w:left w:val="none" w:sz="0" w:space="0" w:color="auto"/>
        <w:bottom w:val="none" w:sz="0" w:space="0" w:color="auto"/>
        <w:right w:val="none" w:sz="0" w:space="0" w:color="auto"/>
      </w:divBdr>
      <w:divsChild>
        <w:div w:id="74333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9C166-DC02-42DC-956B-49487BFC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9469</Words>
  <Characters>53978</Characters>
  <Application>Microsoft Office Word</Application>
  <DocSecurity>0</DocSecurity>
  <Lines>449</Lines>
  <Paragraphs>126</Paragraphs>
  <ScaleCrop>false</ScaleCrop>
  <Company/>
  <LinksUpToDate>false</LinksUpToDate>
  <CharactersWithSpaces>63321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2016-11-03T16:02:00Z</dcterms:created>
  <dcterms:modified xsi:type="dcterms:W3CDTF">2016-11-03T16:02:00Z</dcterms:modified>
</cp:coreProperties>
</file>